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emf" ContentType="image/x-emf"/>
  <Default Extension="bmp" ContentType="image/bmp"/>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462F845">
      <w:pPr>
        <w:adjustRightInd w:val="0"/>
        <w:snapToGrid w:val="0"/>
        <w:spacing w:line="288" w:lineRule="auto"/>
        <w:jc w:val="both"/>
        <w:rPr>
          <w:rFonts w:hint="eastAsia" w:ascii="华文楷体" w:hAnsi="华文楷体" w:eastAsia="华文楷体"/>
          <w:color w:val="000000" w:themeColor="text1"/>
          <w:sz w:val="36"/>
          <w:szCs w:val="36"/>
          <w:lang w:eastAsia="zh-CN"/>
          <w14:textFill>
            <w14:solidFill>
              <w14:schemeClr w14:val="tx1"/>
            </w14:solidFill>
          </w14:textFill>
        </w:rPr>
      </w:pPr>
      <w:r>
        <w:rPr>
          <w:rFonts w:hint="eastAsia" w:ascii="华文楷体" w:hAnsi="华文楷体" w:eastAsia="华文楷体"/>
          <w:color w:val="000000" w:themeColor="text1"/>
          <w:sz w:val="36"/>
          <w:szCs w:val="36"/>
          <w:lang w:eastAsia="zh-CN"/>
          <w14:textFill>
            <w14:solidFill>
              <w14:schemeClr w14:val="tx1"/>
            </w14:solidFill>
          </w14:textFill>
        </w:rPr>
        <w:drawing>
          <wp:inline distT="0" distB="0" distL="114300" distR="114300">
            <wp:extent cx="5608955" cy="7924800"/>
            <wp:effectExtent l="0" t="0" r="10795" b="0"/>
            <wp:docPr id="279" name="图片 279" descr="1 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79" descr="1 首页"/>
                    <pic:cNvPicPr>
                      <a:picLocks noChangeAspect="1"/>
                    </pic:cNvPicPr>
                  </pic:nvPicPr>
                  <pic:blipFill>
                    <a:blip r:embed="rId20"/>
                    <a:stretch>
                      <a:fillRect/>
                    </a:stretch>
                  </pic:blipFill>
                  <pic:spPr>
                    <a:xfrm>
                      <a:off x="0" y="0"/>
                      <a:ext cx="5608955" cy="7924800"/>
                    </a:xfrm>
                    <a:prstGeom prst="rect">
                      <a:avLst/>
                    </a:prstGeom>
                  </pic:spPr>
                </pic:pic>
              </a:graphicData>
            </a:graphic>
          </wp:inline>
        </w:drawing>
      </w:r>
    </w:p>
    <w:p w14:paraId="23F9471A">
      <w:pPr>
        <w:pStyle w:val="2"/>
        <w:rPr>
          <w:rFonts w:ascii="华文楷体" w:hAnsi="华文楷体" w:eastAsia="华文楷体"/>
          <w:color w:val="000000" w:themeColor="text1"/>
          <w:sz w:val="36"/>
          <w:szCs w:val="36"/>
          <w14:textFill>
            <w14:solidFill>
              <w14:schemeClr w14:val="tx1"/>
            </w14:solidFill>
          </w14:textFill>
        </w:rPr>
      </w:pPr>
    </w:p>
    <w:p w14:paraId="3A5B5974">
      <w:pPr>
        <w:pStyle w:val="4"/>
        <w:sectPr>
          <w:headerReference r:id="rId5" w:type="first"/>
          <w:footerReference r:id="rId8" w:type="first"/>
          <w:headerReference r:id="rId3" w:type="default"/>
          <w:footerReference r:id="rId6" w:type="default"/>
          <w:headerReference r:id="rId4" w:type="even"/>
          <w:footerReference r:id="rId7"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titlePg/>
          <w:docGrid w:linePitch="312" w:charSpace="0"/>
        </w:sectPr>
      </w:pPr>
    </w:p>
    <w:p w14:paraId="73BA90D6">
      <w:pPr>
        <w:tabs>
          <w:tab w:val="right" w:leader="dot" w:pos="8844"/>
        </w:tabs>
        <w:adjustRightInd w:val="0"/>
        <w:snapToGrid w:val="0"/>
        <w:spacing w:before="0" w:beforeLines="0" w:after="0" w:afterLines="0" w:line="240" w:lineRule="auto"/>
        <w:ind w:left="0" w:leftChars="0" w:right="0" w:rightChars="0" w:firstLine="0" w:firstLineChars="0"/>
        <w:jc w:val="cente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ascii="宋体" w:hAnsi="宋体" w:eastAsia="宋体"/>
          <w:b/>
          <w:bCs/>
          <w:color w:val="000000" w:themeColor="text1"/>
          <w:sz w:val="28"/>
          <w:szCs w:val="28"/>
          <w:highlight w:val="none"/>
          <w14:textFill>
            <w14:solidFill>
              <w14:schemeClr w14:val="tx1"/>
            </w14:solidFill>
          </w14:textFill>
        </w:rPr>
        <w:t>目</w:t>
      </w:r>
      <w:r>
        <w:rPr>
          <w:rFonts w:hint="eastAsia" w:ascii="宋体" w:hAnsi="宋体" w:eastAsia="宋体"/>
          <w:b/>
          <w:bCs/>
          <w:color w:val="000000" w:themeColor="text1"/>
          <w:sz w:val="28"/>
          <w:szCs w:val="28"/>
          <w:highlight w:val="none"/>
          <w:lang w:val="en-US" w:eastAsia="zh-CN"/>
          <w14:textFill>
            <w14:solidFill>
              <w14:schemeClr w14:val="tx1"/>
            </w14:solidFill>
          </w14:textFill>
        </w:rPr>
        <w:t xml:space="preserve"> </w:t>
      </w:r>
      <w:r>
        <w:rPr>
          <w:rFonts w:ascii="宋体" w:hAnsi="宋体" w:eastAsia="宋体"/>
          <w:b/>
          <w:bCs/>
          <w:color w:val="000000" w:themeColor="text1"/>
          <w:sz w:val="28"/>
          <w:szCs w:val="28"/>
          <w:highlight w:val="none"/>
          <w14:textFill>
            <w14:solidFill>
              <w14:schemeClr w14:val="tx1"/>
            </w14:solidFill>
          </w14:textFill>
        </w:rPr>
        <w:t>录</w:t>
      </w:r>
      <w:r>
        <w:rPr>
          <w:rFonts w:hint="default" w:ascii="Times New Roman" w:hAnsi="Times New Roman" w:eastAsia="宋体" w:cs="Times New Roman"/>
          <w:color w:val="000000" w:themeColor="text1"/>
          <w:sz w:val="24"/>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 w:val="24"/>
          <w:szCs w:val="24"/>
          <w:highlight w:val="none"/>
          <w14:textFill>
            <w14:solidFill>
              <w14:schemeClr w14:val="tx1"/>
            </w14:solidFill>
          </w14:textFill>
        </w:rPr>
        <w:instrText xml:space="preserve">TOC \o "1-1" \h \u </w:instrText>
      </w:r>
      <w:r>
        <w:rPr>
          <w:rFonts w:hint="default" w:ascii="Times New Roman" w:hAnsi="Times New Roman" w:eastAsia="宋体" w:cs="Times New Roman"/>
          <w:color w:val="000000" w:themeColor="text1"/>
          <w:sz w:val="24"/>
          <w:szCs w:val="24"/>
          <w:highlight w:val="none"/>
          <w14:textFill>
            <w14:solidFill>
              <w14:schemeClr w14:val="tx1"/>
            </w14:solidFill>
          </w14:textFill>
        </w:rPr>
        <w:fldChar w:fldCharType="separate"/>
      </w:r>
    </w:p>
    <w:p w14:paraId="7F82E99F">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_Toc17943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eastAsia" w:ascii="黑体" w:hAnsi="黑体" w:eastAsia="黑体"/>
          <w:snapToGrid w:val="0"/>
          <w:color w:val="000000" w:themeColor="text1"/>
          <w:szCs w:val="30"/>
          <w:highlight w:val="none"/>
          <w14:textFill>
            <w14:solidFill>
              <w14:schemeClr w14:val="tx1"/>
            </w14:solidFill>
          </w14:textFill>
        </w:rPr>
        <w:t>一、建设项目基本情况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_Toc17943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48BBD05F">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_Toc14981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eastAsia" w:ascii="黑体" w:hAnsi="黑体" w:eastAsia="黑体"/>
          <w:snapToGrid w:val="0"/>
          <w:color w:val="000000" w:themeColor="text1"/>
          <w:szCs w:val="30"/>
          <w:highlight w:val="none"/>
          <w14:textFill>
            <w14:solidFill>
              <w14:schemeClr w14:val="tx1"/>
            </w14:solidFill>
          </w14:textFill>
        </w:rPr>
        <w:t>二、建设项目工程分析</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_Toc14981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7A44DEE9">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_Toc13496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eastAsia" w:ascii="黑体" w:hAnsi="黑体" w:eastAsia="黑体"/>
          <w:snapToGrid w:val="0"/>
          <w:color w:val="000000" w:themeColor="text1"/>
          <w:szCs w:val="30"/>
          <w:highlight w:val="none"/>
          <w14:textFill>
            <w14:solidFill>
              <w14:schemeClr w14:val="tx1"/>
            </w14:solidFill>
          </w14:textFill>
        </w:rPr>
        <w:t>三、区域环境质量现状、环境保护目标及评价标准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_Toc13496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66</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113C9D9D">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_Toc31582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eastAsia" w:ascii="黑体" w:hAnsi="黑体" w:eastAsia="黑体"/>
          <w:snapToGrid w:val="0"/>
          <w:color w:val="000000" w:themeColor="text1"/>
          <w:szCs w:val="30"/>
          <w:highlight w:val="none"/>
          <w14:textFill>
            <w14:solidFill>
              <w14:schemeClr w14:val="tx1"/>
            </w14:solidFill>
          </w14:textFill>
        </w:rPr>
        <w:t>四、主要环境影响和保护措施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_Toc31582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76</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1924B6C7">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_Toc5281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eastAsia" w:ascii="黑体" w:hAnsi="黑体" w:eastAsia="黑体"/>
          <w:snapToGrid w:val="0"/>
          <w:color w:val="000000" w:themeColor="text1"/>
          <w:szCs w:val="30"/>
          <w:highlight w:val="none"/>
          <w14:textFill>
            <w14:solidFill>
              <w14:schemeClr w14:val="tx1"/>
            </w14:solidFill>
          </w14:textFill>
        </w:rPr>
        <w:t>五、环境保护措施监督检查清单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_Toc5281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142</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4558712F">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_Toc6762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eastAsia" w:ascii="黑体" w:hAnsi="黑体" w:eastAsia="黑体"/>
          <w:snapToGrid w:val="0"/>
          <w:color w:val="000000" w:themeColor="text1"/>
          <w:szCs w:val="30"/>
          <w:highlight w:val="none"/>
          <w14:textFill>
            <w14:solidFill>
              <w14:schemeClr w14:val="tx1"/>
            </w14:solidFill>
          </w14:textFill>
        </w:rPr>
        <w:t>六、结论</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_Toc6762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150</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5339B3B0">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_Toc2248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eastAsia" w:ascii="黑体" w:hAnsi="黑体" w:eastAsia="黑体" w:cs="Times New Roman"/>
          <w:snapToGrid w:val="0"/>
          <w:color w:val="000000" w:themeColor="text1"/>
          <w:kern w:val="0"/>
          <w:szCs w:val="32"/>
          <w:highlight w:val="none"/>
          <w:lang w:val="en-US" w:eastAsia="zh-CN" w:bidi="ar-SA"/>
          <w14:textFill>
            <w14:solidFill>
              <w14:schemeClr w14:val="tx1"/>
            </w14:solidFill>
          </w14:textFill>
        </w:rPr>
        <w:t>附表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_Toc2248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151</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5803F27E">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_Toc8498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default" w:ascii="Times New Roman" w:hAnsi="Times New Roman" w:eastAsia="宋体" w:cs="Times New Roman"/>
          <w:color w:val="000000" w:themeColor="text1"/>
          <w:kern w:val="0"/>
          <w:szCs w:val="24"/>
          <w:highlight w:val="none"/>
          <w:lang w:val="en-US" w:eastAsia="zh-CN" w:bidi="ar-SA"/>
          <w14:textFill>
            <w14:solidFill>
              <w14:schemeClr w14:val="tx1"/>
            </w14:solidFill>
          </w14:textFill>
        </w:rPr>
        <w:t>附图1 项目地理位置图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_Toc8498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154</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28F9512F">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_Toc17747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default" w:ascii="Times New Roman" w:hAnsi="Times New Roman" w:eastAsia="宋体" w:cs="Times New Roman"/>
          <w:color w:val="000000" w:themeColor="text1"/>
          <w:kern w:val="0"/>
          <w:szCs w:val="20"/>
          <w:highlight w:val="none"/>
          <w:lang w:val="en-US" w:eastAsia="zh-CN" w:bidi="ar-SA"/>
          <w14:textFill>
            <w14:solidFill>
              <w14:schemeClr w14:val="tx1"/>
            </w14:solidFill>
          </w14:textFill>
        </w:rPr>
        <w:t>附图2 项目卫星四至及实景图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_Toc17747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155</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6AB4962D">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_Toc2303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bCs/>
          <w:color w:val="000000" w:themeColor="text1"/>
          <w:szCs w:val="21"/>
          <w:highlight w:val="none"/>
          <w14:textFill>
            <w14:solidFill>
              <w14:schemeClr w14:val="tx1"/>
            </w14:solidFill>
          </w14:textFill>
        </w:rPr>
        <w:t>附图</w:t>
      </w:r>
      <w:r>
        <w:rPr>
          <w:rFonts w:hint="eastAsia" w:ascii="Times New Roman" w:eastAsia="宋体"/>
          <w:bCs/>
          <w:color w:val="000000" w:themeColor="text1"/>
          <w:szCs w:val="21"/>
          <w:highlight w:val="none"/>
          <w:lang w:val="en-US" w:eastAsia="zh-CN"/>
          <w14:textFill>
            <w14:solidFill>
              <w14:schemeClr w14:val="tx1"/>
            </w14:solidFill>
          </w14:textFill>
        </w:rPr>
        <w:t>3</w:t>
      </w:r>
      <w:r>
        <w:rPr>
          <w:bCs/>
          <w:color w:val="000000" w:themeColor="text1"/>
          <w:szCs w:val="21"/>
          <w:highlight w:val="none"/>
          <w14:textFill>
            <w14:solidFill>
              <w14:schemeClr w14:val="tx1"/>
            </w14:solidFill>
          </w14:textFill>
        </w:rPr>
        <w:t xml:space="preserve"> </w:t>
      </w:r>
      <w:r>
        <w:rPr>
          <w:rFonts w:hint="eastAsia" w:ascii="Times New Roman" w:eastAsia="宋体"/>
          <w:bCs/>
          <w:color w:val="000000" w:themeColor="text1"/>
          <w:szCs w:val="21"/>
          <w:highlight w:val="none"/>
          <w:lang w:val="en-US" w:eastAsia="zh-CN"/>
          <w14:textFill>
            <w14:solidFill>
              <w14:schemeClr w14:val="tx1"/>
            </w14:solidFill>
          </w14:textFill>
        </w:rPr>
        <w:t>项目</w:t>
      </w:r>
      <w:r>
        <w:rPr>
          <w:bCs/>
          <w:color w:val="000000" w:themeColor="text1"/>
          <w:szCs w:val="21"/>
          <w:highlight w:val="none"/>
          <w14:textFill>
            <w14:solidFill>
              <w14:schemeClr w14:val="tx1"/>
            </w14:solidFill>
          </w14:textFill>
        </w:rPr>
        <w:t>周边现状</w:t>
      </w:r>
      <w:r>
        <w:rPr>
          <w:rFonts w:hint="eastAsia"/>
          <w:bCs/>
          <w:color w:val="000000" w:themeColor="text1"/>
          <w:szCs w:val="21"/>
          <w:highlight w:val="none"/>
          <w14:textFill>
            <w14:solidFill>
              <w14:schemeClr w14:val="tx1"/>
            </w14:solidFill>
          </w14:textFill>
        </w:rPr>
        <w:t>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156</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40603ACD">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_Toc1343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default" w:ascii="Times New Roman" w:hAnsi="Times New Roman" w:eastAsia="宋体" w:cs="Times New Roman"/>
          <w:bCs/>
          <w:color w:val="000000" w:themeColor="text1"/>
          <w:kern w:val="0"/>
          <w:szCs w:val="20"/>
          <w:highlight w:val="none"/>
          <w:lang w:val="en-US" w:eastAsia="zh-CN" w:bidi="ar-SA"/>
          <w14:textFill>
            <w14:solidFill>
              <w14:schemeClr w14:val="tx1"/>
            </w14:solidFill>
          </w14:textFill>
        </w:rPr>
        <w:t>附图</w:t>
      </w:r>
      <w:r>
        <w:rPr>
          <w:rFonts w:hint="eastAsia" w:ascii="Times New Roman" w:hAnsi="Times New Roman" w:eastAsia="宋体" w:cs="Times New Roman"/>
          <w:bCs/>
          <w:color w:val="000000" w:themeColor="text1"/>
          <w:kern w:val="0"/>
          <w:szCs w:val="20"/>
          <w:highlight w:val="none"/>
          <w:lang w:val="en-US" w:eastAsia="zh-CN" w:bidi="ar-SA"/>
          <w14:textFill>
            <w14:solidFill>
              <w14:schemeClr w14:val="tx1"/>
            </w14:solidFill>
          </w14:textFill>
        </w:rPr>
        <w:t>4</w:t>
      </w:r>
      <w:r>
        <w:rPr>
          <w:rFonts w:hint="default" w:ascii="Times New Roman" w:hAnsi="Times New Roman" w:eastAsia="宋体" w:cs="Times New Roman"/>
          <w:bCs/>
          <w:color w:val="000000" w:themeColor="text1"/>
          <w:kern w:val="0"/>
          <w:szCs w:val="20"/>
          <w:highlight w:val="none"/>
          <w:lang w:val="en-US" w:eastAsia="zh-CN" w:bidi="ar-SA"/>
          <w14:textFill>
            <w14:solidFill>
              <w14:schemeClr w14:val="tx1"/>
            </w14:solidFill>
          </w14:textFill>
        </w:rPr>
        <w:t xml:space="preserve"> 项目</w:t>
      </w:r>
      <w:r>
        <w:rPr>
          <w:rFonts w:hint="eastAsia" w:ascii="Times New Roman" w:hAnsi="Times New Roman" w:eastAsia="宋体" w:cs="Times New Roman"/>
          <w:bCs/>
          <w:color w:val="000000" w:themeColor="text1"/>
          <w:kern w:val="0"/>
          <w:szCs w:val="20"/>
          <w:highlight w:val="none"/>
          <w:lang w:val="en-US" w:eastAsia="zh-CN" w:bidi="ar-SA"/>
          <w14:textFill>
            <w14:solidFill>
              <w14:schemeClr w14:val="tx1"/>
            </w14:solidFill>
          </w14:textFill>
        </w:rPr>
        <w:t>总</w:t>
      </w:r>
      <w:r>
        <w:rPr>
          <w:rFonts w:hint="default" w:ascii="Times New Roman" w:hAnsi="Times New Roman" w:eastAsia="宋体" w:cs="Times New Roman"/>
          <w:bCs/>
          <w:color w:val="000000" w:themeColor="text1"/>
          <w:kern w:val="0"/>
          <w:szCs w:val="20"/>
          <w:highlight w:val="none"/>
          <w:lang w:val="en-US" w:eastAsia="zh-CN" w:bidi="ar-SA"/>
          <w14:textFill>
            <w14:solidFill>
              <w14:schemeClr w14:val="tx1"/>
            </w14:solidFill>
          </w14:textFill>
        </w:rPr>
        <w:t>平面布置图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_Toc1343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157</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30661F71">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_Toc29800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default" w:ascii="Times New Roman" w:hAnsi="Times New Roman" w:cs="Times New Roman"/>
          <w:bCs/>
          <w:color w:val="000000" w:themeColor="text1"/>
          <w:highlight w:val="none"/>
          <w14:textFill>
            <w14:solidFill>
              <w14:schemeClr w14:val="tx1"/>
            </w14:solidFill>
          </w14:textFill>
        </w:rPr>
        <w:t>附图</w:t>
      </w:r>
      <w:r>
        <w:rPr>
          <w:rFonts w:hint="eastAsia" w:ascii="Times New Roman" w:hAnsi="Times New Roman" w:cs="Times New Roman"/>
          <w:bCs/>
          <w:color w:val="000000" w:themeColor="text1"/>
          <w:highlight w:val="none"/>
          <w:lang w:val="en-US" w:eastAsia="zh-CN"/>
          <w14:textFill>
            <w14:solidFill>
              <w14:schemeClr w14:val="tx1"/>
            </w14:solidFill>
          </w14:textFill>
        </w:rPr>
        <w:t>5-1</w:t>
      </w:r>
      <w:r>
        <w:rPr>
          <w:rFonts w:hint="default" w:ascii="Times New Roman" w:hAnsi="Times New Roman" w:cs="Times New Roman"/>
          <w:bCs/>
          <w:color w:val="000000" w:themeColor="text1"/>
          <w:highlight w:val="none"/>
          <w14:textFill>
            <w14:solidFill>
              <w14:schemeClr w14:val="tx1"/>
            </w14:solidFill>
          </w14:textFill>
        </w:rPr>
        <w:t xml:space="preserve"> 项目</w:t>
      </w:r>
      <w:r>
        <w:rPr>
          <w:rFonts w:hint="eastAsia" w:ascii="Times New Roman" w:hAnsi="Times New Roman" w:cs="Times New Roman"/>
          <w:bCs/>
          <w:color w:val="000000" w:themeColor="text1"/>
          <w:highlight w:val="none"/>
          <w:lang w:val="en-US" w:eastAsia="zh-CN"/>
          <w14:textFill>
            <w14:solidFill>
              <w14:schemeClr w14:val="tx1"/>
            </w14:solidFill>
          </w14:textFill>
        </w:rPr>
        <w:t>5#厂房</w:t>
      </w:r>
      <w:r>
        <w:rPr>
          <w:rFonts w:hint="default" w:ascii="Times New Roman" w:hAnsi="Times New Roman" w:cs="Times New Roman"/>
          <w:bCs/>
          <w:color w:val="000000" w:themeColor="text1"/>
          <w:highlight w:val="none"/>
          <w14:textFill>
            <w14:solidFill>
              <w14:schemeClr w14:val="tx1"/>
            </w14:solidFill>
          </w14:textFill>
        </w:rPr>
        <w:t>平面布置图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_Toc29800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158</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53D460E0">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_Toc3620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default" w:ascii="Times New Roman" w:hAnsi="Times New Roman" w:eastAsia="宋体" w:cs="Times New Roman"/>
          <w:bCs/>
          <w:color w:val="000000" w:themeColor="text1"/>
          <w:highlight w:val="none"/>
          <w14:textFill>
            <w14:solidFill>
              <w14:schemeClr w14:val="tx1"/>
            </w14:solidFill>
          </w14:textFill>
        </w:rPr>
        <w:t>附图</w:t>
      </w:r>
      <w:r>
        <w:rPr>
          <w:rFonts w:hint="eastAsia" w:ascii="Times New Roman" w:hAnsi="Times New Roman" w:eastAsia="宋体" w:cs="Times New Roman"/>
          <w:bCs/>
          <w:color w:val="000000" w:themeColor="text1"/>
          <w:highlight w:val="none"/>
          <w:lang w:val="en-US" w:eastAsia="zh-CN"/>
          <w14:textFill>
            <w14:solidFill>
              <w14:schemeClr w14:val="tx1"/>
            </w14:solidFill>
          </w14:textFill>
        </w:rPr>
        <w:t>5-2</w:t>
      </w:r>
      <w:r>
        <w:rPr>
          <w:rFonts w:hint="default" w:ascii="Times New Roman" w:hAnsi="Times New Roman" w:eastAsia="宋体" w:cs="Times New Roman"/>
          <w:bCs/>
          <w:color w:val="000000" w:themeColor="text1"/>
          <w:highlight w:val="none"/>
          <w14:textFill>
            <w14:solidFill>
              <w14:schemeClr w14:val="tx1"/>
            </w14:solidFill>
          </w14:textFill>
        </w:rPr>
        <w:t xml:space="preserve"> 项目</w:t>
      </w:r>
      <w:r>
        <w:rPr>
          <w:rFonts w:hint="eastAsia" w:ascii="Times New Roman" w:hAnsi="Times New Roman" w:eastAsia="宋体" w:cs="Times New Roman"/>
          <w:bCs/>
          <w:color w:val="000000" w:themeColor="text1"/>
          <w:highlight w:val="none"/>
          <w:lang w:val="en-US" w:eastAsia="zh-CN"/>
          <w14:textFill>
            <w14:solidFill>
              <w14:schemeClr w14:val="tx1"/>
            </w14:solidFill>
          </w14:textFill>
        </w:rPr>
        <w:t>4#厂房</w:t>
      </w:r>
      <w:r>
        <w:rPr>
          <w:rFonts w:hint="default" w:ascii="Times New Roman" w:hAnsi="Times New Roman" w:eastAsia="宋体" w:cs="Times New Roman"/>
          <w:bCs/>
          <w:color w:val="000000" w:themeColor="text1"/>
          <w:highlight w:val="none"/>
          <w14:textFill>
            <w14:solidFill>
              <w14:schemeClr w14:val="tx1"/>
            </w14:solidFill>
          </w14:textFill>
        </w:rPr>
        <w:t>平面</w:t>
      </w:r>
      <w:r>
        <w:rPr>
          <w:rFonts w:hint="default" w:ascii="Times New Roman" w:hAnsi="Times New Roman" w:cs="Times New Roman"/>
          <w:bCs/>
          <w:color w:val="000000" w:themeColor="text1"/>
          <w:highlight w:val="none"/>
          <w14:textFill>
            <w14:solidFill>
              <w14:schemeClr w14:val="tx1"/>
            </w14:solidFill>
          </w14:textFill>
        </w:rPr>
        <w:t>布置图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_Toc3620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159</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1CA12F7C">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_Toc4729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default" w:ascii="Times New Roman" w:hAnsi="Times New Roman" w:cs="Times New Roman"/>
          <w:bCs/>
          <w:color w:val="000000" w:themeColor="text1"/>
          <w:highlight w:val="none"/>
          <w14:textFill>
            <w14:solidFill>
              <w14:schemeClr w14:val="tx1"/>
            </w14:solidFill>
          </w14:textFill>
        </w:rPr>
        <w:t>附图</w:t>
      </w:r>
      <w:r>
        <w:rPr>
          <w:rFonts w:hint="eastAsia" w:ascii="Times New Roman" w:hAnsi="Times New Roman" w:cs="Times New Roman"/>
          <w:bCs/>
          <w:color w:val="000000" w:themeColor="text1"/>
          <w:highlight w:val="none"/>
          <w:lang w:val="en-US" w:eastAsia="zh-CN"/>
          <w14:textFill>
            <w14:solidFill>
              <w14:schemeClr w14:val="tx1"/>
            </w14:solidFill>
          </w14:textFill>
        </w:rPr>
        <w:t>5-3</w:t>
      </w:r>
      <w:r>
        <w:rPr>
          <w:rFonts w:hint="default" w:ascii="Times New Roman" w:hAnsi="Times New Roman" w:cs="Times New Roman"/>
          <w:bCs/>
          <w:color w:val="000000" w:themeColor="text1"/>
          <w:highlight w:val="none"/>
          <w14:textFill>
            <w14:solidFill>
              <w14:schemeClr w14:val="tx1"/>
            </w14:solidFill>
          </w14:textFill>
        </w:rPr>
        <w:t xml:space="preserve"> 项目</w:t>
      </w:r>
      <w:r>
        <w:rPr>
          <w:rFonts w:hint="eastAsia" w:ascii="Times New Roman" w:hAnsi="Times New Roman" w:cs="Times New Roman"/>
          <w:bCs/>
          <w:color w:val="000000" w:themeColor="text1"/>
          <w:highlight w:val="none"/>
          <w:lang w:val="en-US" w:eastAsia="zh-CN"/>
          <w14:textFill>
            <w14:solidFill>
              <w14:schemeClr w14:val="tx1"/>
            </w14:solidFill>
          </w14:textFill>
        </w:rPr>
        <w:t>3#厂房</w:t>
      </w:r>
      <w:r>
        <w:rPr>
          <w:rFonts w:hint="default" w:ascii="Times New Roman" w:hAnsi="Times New Roman" w:cs="Times New Roman"/>
          <w:bCs/>
          <w:color w:val="000000" w:themeColor="text1"/>
          <w:highlight w:val="none"/>
          <w14:textFill>
            <w14:solidFill>
              <w14:schemeClr w14:val="tx1"/>
            </w14:solidFill>
          </w14:textFill>
        </w:rPr>
        <w:t>平面布置图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_Toc4729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160</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67607E54">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_Toc15186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default" w:ascii="Times New Roman" w:hAnsi="Times New Roman" w:cs="Times New Roman"/>
          <w:bCs/>
          <w:color w:val="000000" w:themeColor="text1"/>
          <w:highlight w:val="none"/>
          <w14:textFill>
            <w14:solidFill>
              <w14:schemeClr w14:val="tx1"/>
            </w14:solidFill>
          </w14:textFill>
        </w:rPr>
        <w:t>附图</w:t>
      </w:r>
      <w:r>
        <w:rPr>
          <w:rFonts w:hint="eastAsia" w:ascii="Times New Roman" w:hAnsi="Times New Roman" w:cs="Times New Roman"/>
          <w:bCs/>
          <w:color w:val="000000" w:themeColor="text1"/>
          <w:highlight w:val="none"/>
          <w:lang w:val="en-US" w:eastAsia="zh-CN"/>
          <w14:textFill>
            <w14:solidFill>
              <w14:schemeClr w14:val="tx1"/>
            </w14:solidFill>
          </w14:textFill>
        </w:rPr>
        <w:t>5-4</w:t>
      </w:r>
      <w:r>
        <w:rPr>
          <w:rFonts w:hint="default" w:ascii="Times New Roman" w:hAnsi="Times New Roman" w:cs="Times New Roman"/>
          <w:bCs/>
          <w:color w:val="000000" w:themeColor="text1"/>
          <w:highlight w:val="none"/>
          <w14:textFill>
            <w14:solidFill>
              <w14:schemeClr w14:val="tx1"/>
            </w14:solidFill>
          </w14:textFill>
        </w:rPr>
        <w:t xml:space="preserve"> 项目</w:t>
      </w:r>
      <w:r>
        <w:rPr>
          <w:rFonts w:hint="eastAsia" w:ascii="Times New Roman" w:hAnsi="Times New Roman" w:cs="Times New Roman"/>
          <w:bCs/>
          <w:color w:val="000000" w:themeColor="text1"/>
          <w:highlight w:val="none"/>
          <w:lang w:val="en-US" w:eastAsia="zh-CN"/>
          <w14:textFill>
            <w14:solidFill>
              <w14:schemeClr w14:val="tx1"/>
            </w14:solidFill>
          </w14:textFill>
        </w:rPr>
        <w:t>2#厂房</w:t>
      </w:r>
      <w:r>
        <w:rPr>
          <w:rFonts w:hint="default" w:ascii="Times New Roman" w:hAnsi="Times New Roman" w:cs="Times New Roman"/>
          <w:bCs/>
          <w:color w:val="000000" w:themeColor="text1"/>
          <w:highlight w:val="none"/>
          <w14:textFill>
            <w14:solidFill>
              <w14:schemeClr w14:val="tx1"/>
            </w14:solidFill>
          </w14:textFill>
        </w:rPr>
        <w:t>平面布置图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_Toc15186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161</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6591D33B">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_Toc24556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default" w:ascii="Times New Roman" w:hAnsi="Times New Roman" w:cs="Times New Roman"/>
          <w:bCs/>
          <w:color w:val="000000" w:themeColor="text1"/>
          <w:highlight w:val="none"/>
          <w14:textFill>
            <w14:solidFill>
              <w14:schemeClr w14:val="tx1"/>
            </w14:solidFill>
          </w14:textFill>
        </w:rPr>
        <w:t>附图</w:t>
      </w:r>
      <w:r>
        <w:rPr>
          <w:rFonts w:hint="eastAsia" w:ascii="Times New Roman" w:hAnsi="Times New Roman" w:cs="Times New Roman"/>
          <w:bCs/>
          <w:color w:val="000000" w:themeColor="text1"/>
          <w:highlight w:val="none"/>
          <w:lang w:val="en-US" w:eastAsia="zh-CN"/>
          <w14:textFill>
            <w14:solidFill>
              <w14:schemeClr w14:val="tx1"/>
            </w14:solidFill>
          </w14:textFill>
        </w:rPr>
        <w:t>5-5</w:t>
      </w:r>
      <w:r>
        <w:rPr>
          <w:rFonts w:hint="default" w:ascii="Times New Roman" w:hAnsi="Times New Roman" w:cs="Times New Roman"/>
          <w:bCs/>
          <w:color w:val="000000" w:themeColor="text1"/>
          <w:highlight w:val="none"/>
          <w14:textFill>
            <w14:solidFill>
              <w14:schemeClr w14:val="tx1"/>
            </w14:solidFill>
          </w14:textFill>
        </w:rPr>
        <w:t xml:space="preserve"> 项目</w:t>
      </w:r>
      <w:r>
        <w:rPr>
          <w:rFonts w:hint="eastAsia" w:ascii="Times New Roman" w:hAnsi="Times New Roman" w:cs="Times New Roman"/>
          <w:bCs/>
          <w:color w:val="000000" w:themeColor="text1"/>
          <w:highlight w:val="none"/>
          <w:lang w:val="en-US" w:eastAsia="zh-CN"/>
          <w14:textFill>
            <w14:solidFill>
              <w14:schemeClr w14:val="tx1"/>
            </w14:solidFill>
          </w14:textFill>
        </w:rPr>
        <w:t>1#厂房</w:t>
      </w:r>
      <w:r>
        <w:rPr>
          <w:rFonts w:hint="default" w:ascii="Times New Roman" w:hAnsi="Times New Roman" w:cs="Times New Roman"/>
          <w:bCs/>
          <w:color w:val="000000" w:themeColor="text1"/>
          <w:highlight w:val="none"/>
          <w14:textFill>
            <w14:solidFill>
              <w14:schemeClr w14:val="tx1"/>
            </w14:solidFill>
          </w14:textFill>
        </w:rPr>
        <w:t>平面布置图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_Toc24556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162</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70757C21">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_Toc4763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default" w:ascii="Times New Roman" w:hAnsi="Times New Roman" w:cs="Times New Roman"/>
          <w:bCs/>
          <w:color w:val="000000" w:themeColor="text1"/>
          <w:highlight w:val="none"/>
          <w14:textFill>
            <w14:solidFill>
              <w14:schemeClr w14:val="tx1"/>
            </w14:solidFill>
          </w14:textFill>
        </w:rPr>
        <w:t>附图</w:t>
      </w:r>
      <w:r>
        <w:rPr>
          <w:rFonts w:hint="eastAsia" w:ascii="Times New Roman" w:hAnsi="Times New Roman" w:cs="Times New Roman"/>
          <w:bCs/>
          <w:color w:val="000000" w:themeColor="text1"/>
          <w:highlight w:val="none"/>
          <w:lang w:val="en-US" w:eastAsia="zh-CN"/>
          <w14:textFill>
            <w14:solidFill>
              <w14:schemeClr w14:val="tx1"/>
            </w14:solidFill>
          </w14:textFill>
        </w:rPr>
        <w:t>6</w:t>
      </w:r>
      <w:r>
        <w:rPr>
          <w:rFonts w:hint="default" w:ascii="Times New Roman" w:hAnsi="Times New Roman" w:cs="Times New Roman"/>
          <w:bCs/>
          <w:color w:val="000000" w:themeColor="text1"/>
          <w:highlight w:val="none"/>
          <w14:textFill>
            <w14:solidFill>
              <w14:schemeClr w14:val="tx1"/>
            </w14:solidFill>
          </w14:textFill>
        </w:rPr>
        <w:t xml:space="preserve"> </w:t>
      </w:r>
      <w:r>
        <w:rPr>
          <w:rFonts w:hint="eastAsia" w:cs="Times New Roman"/>
          <w:bCs/>
          <w:color w:val="000000" w:themeColor="text1"/>
          <w:highlight w:val="none"/>
          <w:lang w:val="en-US" w:eastAsia="zh-CN"/>
          <w14:textFill>
            <w14:solidFill>
              <w14:schemeClr w14:val="tx1"/>
            </w14:solidFill>
          </w14:textFill>
        </w:rPr>
        <w:t>项目所在区域大气</w:t>
      </w:r>
      <w:r>
        <w:rPr>
          <w:rFonts w:hint="eastAsia" w:ascii="Times New Roman" w:hAnsi="Times New Roman" w:cs="Times New Roman"/>
          <w:bCs/>
          <w:color w:val="000000" w:themeColor="text1"/>
          <w:highlight w:val="none"/>
          <w:lang w:val="en-US" w:eastAsia="zh-CN"/>
          <w14:textFill>
            <w14:solidFill>
              <w14:schemeClr w14:val="tx1"/>
            </w14:solidFill>
          </w14:textFill>
        </w:rPr>
        <w:t>环境</w:t>
      </w:r>
      <w:r>
        <w:rPr>
          <w:rFonts w:hint="default" w:ascii="Times New Roman" w:hAnsi="Times New Roman" w:cs="Times New Roman"/>
          <w:bCs/>
          <w:color w:val="000000" w:themeColor="text1"/>
          <w:highlight w:val="none"/>
          <w14:textFill>
            <w14:solidFill>
              <w14:schemeClr w14:val="tx1"/>
            </w14:solidFill>
          </w14:textFill>
        </w:rPr>
        <w:t>功能区划图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_Toc4763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163</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1F65021C">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_Toc24394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default" w:ascii="Times New Roman" w:hAnsi="Times New Roman" w:cs="Times New Roman"/>
          <w:bCs/>
          <w:color w:val="000000" w:themeColor="text1"/>
          <w:highlight w:val="none"/>
          <w14:textFill>
            <w14:solidFill>
              <w14:schemeClr w14:val="tx1"/>
            </w14:solidFill>
          </w14:textFill>
        </w:rPr>
        <w:t>附图</w:t>
      </w:r>
      <w:r>
        <w:rPr>
          <w:rFonts w:hint="eastAsia" w:ascii="Times New Roman" w:hAnsi="Times New Roman" w:cs="Times New Roman"/>
          <w:bCs/>
          <w:color w:val="000000" w:themeColor="text1"/>
          <w:highlight w:val="none"/>
          <w:lang w:val="en-US" w:eastAsia="zh-CN"/>
          <w14:textFill>
            <w14:solidFill>
              <w14:schemeClr w14:val="tx1"/>
            </w14:solidFill>
          </w14:textFill>
        </w:rPr>
        <w:t>7</w:t>
      </w:r>
      <w:r>
        <w:rPr>
          <w:rFonts w:hint="default" w:ascii="Times New Roman" w:hAnsi="Times New Roman" w:cs="Times New Roman"/>
          <w:bCs/>
          <w:color w:val="000000" w:themeColor="text1"/>
          <w:highlight w:val="none"/>
          <w14:textFill>
            <w14:solidFill>
              <w14:schemeClr w14:val="tx1"/>
            </w14:solidFill>
          </w14:textFill>
        </w:rPr>
        <w:t xml:space="preserve"> 环境空气质量现状</w:t>
      </w:r>
      <w:r>
        <w:rPr>
          <w:rFonts w:hint="eastAsia" w:ascii="Times New Roman" w:hAnsi="Times New Roman" w:cs="Times New Roman"/>
          <w:bCs/>
          <w:color w:val="000000" w:themeColor="text1"/>
          <w:highlight w:val="none"/>
          <w:lang w:val="en-US" w:eastAsia="zh-CN"/>
          <w14:textFill>
            <w14:solidFill>
              <w14:schemeClr w14:val="tx1"/>
            </w14:solidFill>
          </w14:textFill>
        </w:rPr>
        <w:t>引用</w:t>
      </w:r>
      <w:r>
        <w:rPr>
          <w:rFonts w:hint="default" w:ascii="Times New Roman" w:hAnsi="Times New Roman" w:cs="Times New Roman"/>
          <w:bCs/>
          <w:color w:val="000000" w:themeColor="text1"/>
          <w:highlight w:val="none"/>
          <w14:textFill>
            <w14:solidFill>
              <w14:schemeClr w14:val="tx1"/>
            </w14:solidFill>
          </w14:textFill>
        </w:rPr>
        <w:t>监测布点示意图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_Toc24394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164</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0246C8C9">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_Toc14457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default" w:ascii="Times New Roman" w:hAnsi="Times New Roman" w:cs="Times New Roman"/>
          <w:bCs/>
          <w:color w:val="000000" w:themeColor="text1"/>
          <w:highlight w:val="none"/>
          <w14:textFill>
            <w14:solidFill>
              <w14:schemeClr w14:val="tx1"/>
            </w14:solidFill>
          </w14:textFill>
        </w:rPr>
        <w:t>附图</w:t>
      </w:r>
      <w:r>
        <w:rPr>
          <w:rFonts w:hint="eastAsia" w:ascii="Times New Roman" w:hAnsi="Times New Roman" w:cs="Times New Roman"/>
          <w:bCs/>
          <w:color w:val="000000" w:themeColor="text1"/>
          <w:highlight w:val="none"/>
          <w:lang w:val="en-US" w:eastAsia="zh-CN"/>
          <w14:textFill>
            <w14:solidFill>
              <w14:schemeClr w14:val="tx1"/>
            </w14:solidFill>
          </w14:textFill>
        </w:rPr>
        <w:t>8</w:t>
      </w:r>
      <w:r>
        <w:rPr>
          <w:rFonts w:hint="default" w:ascii="Times New Roman" w:hAnsi="Times New Roman" w:cs="Times New Roman"/>
          <w:bCs/>
          <w:color w:val="000000" w:themeColor="text1"/>
          <w:highlight w:val="none"/>
          <w14:textFill>
            <w14:solidFill>
              <w14:schemeClr w14:val="tx1"/>
            </w14:solidFill>
          </w14:textFill>
        </w:rPr>
        <w:t xml:space="preserve"> </w:t>
      </w:r>
      <w:r>
        <w:rPr>
          <w:rFonts w:hint="eastAsia" w:cs="Times New Roman"/>
          <w:bCs/>
          <w:color w:val="000000" w:themeColor="text1"/>
          <w:highlight w:val="none"/>
          <w:lang w:val="en-US" w:eastAsia="zh-CN"/>
          <w14:textFill>
            <w14:solidFill>
              <w14:schemeClr w14:val="tx1"/>
            </w14:solidFill>
          </w14:textFill>
        </w:rPr>
        <w:t>项目周边水系</w:t>
      </w:r>
      <w:r>
        <w:rPr>
          <w:rFonts w:hint="default" w:ascii="Times New Roman" w:hAnsi="Times New Roman" w:cs="Times New Roman"/>
          <w:bCs/>
          <w:color w:val="000000" w:themeColor="text1"/>
          <w:highlight w:val="none"/>
          <w14:textFill>
            <w14:solidFill>
              <w14:schemeClr w14:val="tx1"/>
            </w14:solidFill>
          </w14:textFill>
        </w:rPr>
        <w:t>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_Toc14457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165</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6D1EEF9F">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_Toc26349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default" w:ascii="Times New Roman" w:hAnsi="Times New Roman" w:eastAsia="宋体" w:cs="Times New Roman"/>
          <w:bCs/>
          <w:color w:val="000000" w:themeColor="text1"/>
          <w:kern w:val="2"/>
          <w:szCs w:val="20"/>
          <w:highlight w:val="none"/>
          <w:lang w:val="en-US" w:eastAsia="zh-CN" w:bidi="ar-SA"/>
          <w14:textFill>
            <w14:solidFill>
              <w14:schemeClr w14:val="tx1"/>
            </w14:solidFill>
          </w14:textFill>
        </w:rPr>
        <w:t>附图</w:t>
      </w:r>
      <w:r>
        <w:rPr>
          <w:rFonts w:hint="eastAsia" w:ascii="Times New Roman" w:hAnsi="Times New Roman" w:eastAsia="宋体" w:cs="Times New Roman"/>
          <w:bCs/>
          <w:color w:val="000000" w:themeColor="text1"/>
          <w:kern w:val="2"/>
          <w:szCs w:val="20"/>
          <w:highlight w:val="none"/>
          <w:lang w:val="en-US" w:eastAsia="zh-CN" w:bidi="ar-SA"/>
          <w14:textFill>
            <w14:solidFill>
              <w14:schemeClr w14:val="tx1"/>
            </w14:solidFill>
          </w14:textFill>
        </w:rPr>
        <w:t>9</w:t>
      </w:r>
      <w:r>
        <w:rPr>
          <w:rFonts w:hint="default" w:ascii="Times New Roman" w:hAnsi="Times New Roman" w:eastAsia="宋体" w:cs="Times New Roman"/>
          <w:bCs/>
          <w:color w:val="000000" w:themeColor="text1"/>
          <w:kern w:val="2"/>
          <w:szCs w:val="20"/>
          <w:highlight w:val="none"/>
          <w:lang w:val="en-US" w:eastAsia="zh-CN" w:bidi="ar-SA"/>
          <w14:textFill>
            <w14:solidFill>
              <w14:schemeClr w14:val="tx1"/>
            </w14:solidFill>
          </w14:textFill>
        </w:rPr>
        <w:t xml:space="preserve"> </w:t>
      </w:r>
      <w:r>
        <w:rPr>
          <w:rFonts w:hint="eastAsia" w:ascii="Times New Roman" w:hAnsi="Times New Roman" w:eastAsia="宋体" w:cs="Times New Roman"/>
          <w:bCs/>
          <w:color w:val="000000" w:themeColor="text1"/>
          <w:kern w:val="2"/>
          <w:szCs w:val="20"/>
          <w:highlight w:val="none"/>
          <w:lang w:val="en-US" w:eastAsia="zh-CN" w:bidi="ar-SA"/>
          <w14:textFill>
            <w14:solidFill>
              <w14:schemeClr w14:val="tx1"/>
            </w14:solidFill>
          </w14:textFill>
        </w:rPr>
        <w:t>项目所在区域声环境</w:t>
      </w:r>
      <w:r>
        <w:rPr>
          <w:rFonts w:hint="default" w:ascii="Times New Roman" w:hAnsi="Times New Roman" w:eastAsia="宋体" w:cs="Times New Roman"/>
          <w:bCs/>
          <w:color w:val="000000" w:themeColor="text1"/>
          <w:kern w:val="2"/>
          <w:szCs w:val="20"/>
          <w:highlight w:val="none"/>
          <w:lang w:val="en-US" w:eastAsia="zh-CN" w:bidi="ar-SA"/>
          <w14:textFill>
            <w14:solidFill>
              <w14:schemeClr w14:val="tx1"/>
            </w14:solidFill>
          </w14:textFill>
        </w:rPr>
        <w:t>功能区</w:t>
      </w:r>
      <w:r>
        <w:rPr>
          <w:rFonts w:hint="eastAsia" w:ascii="Times New Roman" w:hAnsi="Times New Roman" w:eastAsia="宋体" w:cs="Times New Roman"/>
          <w:bCs/>
          <w:color w:val="000000" w:themeColor="text1"/>
          <w:kern w:val="2"/>
          <w:szCs w:val="20"/>
          <w:highlight w:val="none"/>
          <w:lang w:val="en-US" w:eastAsia="zh-CN" w:bidi="ar-SA"/>
          <w14:textFill>
            <w14:solidFill>
              <w14:schemeClr w14:val="tx1"/>
            </w14:solidFill>
          </w14:textFill>
        </w:rPr>
        <w:t>区</w:t>
      </w:r>
      <w:r>
        <w:rPr>
          <w:rFonts w:hint="default" w:ascii="Times New Roman" w:hAnsi="Times New Roman" w:eastAsia="宋体" w:cs="Times New Roman"/>
          <w:bCs/>
          <w:color w:val="000000" w:themeColor="text1"/>
          <w:kern w:val="2"/>
          <w:szCs w:val="20"/>
          <w:highlight w:val="none"/>
          <w:lang w:val="en-US" w:eastAsia="zh-CN" w:bidi="ar-SA"/>
          <w14:textFill>
            <w14:solidFill>
              <w14:schemeClr w14:val="tx1"/>
            </w14:solidFill>
          </w14:textFill>
        </w:rPr>
        <w:t>划图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_Toc26349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166</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7C074183">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_Toc1661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eastAsia" w:ascii="Times New Roman" w:hAnsi="Times New Roman" w:eastAsia="宋体" w:cs="Times New Roman"/>
          <w:bCs/>
          <w:color w:val="000000" w:themeColor="text1"/>
          <w:kern w:val="2"/>
          <w:szCs w:val="20"/>
          <w:highlight w:val="none"/>
          <w:lang w:val="en-US" w:eastAsia="zh-CN" w:bidi="ar-SA"/>
          <w14:textFill>
            <w14:solidFill>
              <w14:schemeClr w14:val="tx1"/>
            </w14:solidFill>
          </w14:textFill>
        </w:rPr>
        <w:t>附图10 韶关乐昌经济开发区周边主要饮用水源保护区分布图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_Toc1661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167</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13D1F9A8">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_Toc23610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default" w:ascii="Times New Roman" w:hAnsi="Times New Roman" w:eastAsia="宋体" w:cs="Times New Roman"/>
          <w:bCs/>
          <w:color w:val="000000" w:themeColor="text1"/>
          <w:highlight w:val="none"/>
          <w14:textFill>
            <w14:solidFill>
              <w14:schemeClr w14:val="tx1"/>
            </w14:solidFill>
          </w14:textFill>
        </w:rPr>
        <w:t>附</w:t>
      </w:r>
      <w:r>
        <w:rPr>
          <w:rFonts w:hint="default" w:ascii="Times New Roman" w:hAnsi="Times New Roman" w:eastAsia="宋体" w:cs="Times New Roman"/>
          <w:bCs/>
          <w:color w:val="000000" w:themeColor="text1"/>
          <w:kern w:val="2"/>
          <w:szCs w:val="20"/>
          <w:highlight w:val="none"/>
          <w:lang w:val="en-US" w:eastAsia="zh-CN" w:bidi="ar-SA"/>
          <w14:textFill>
            <w14:solidFill>
              <w14:schemeClr w14:val="tx1"/>
            </w14:solidFill>
          </w14:textFill>
        </w:rPr>
        <w:t>图</w:t>
      </w:r>
      <w:r>
        <w:rPr>
          <w:rFonts w:hint="eastAsia" w:ascii="Times New Roman" w:hAnsi="Times New Roman" w:eastAsia="宋体" w:cs="Times New Roman"/>
          <w:bCs/>
          <w:color w:val="000000" w:themeColor="text1"/>
          <w:kern w:val="2"/>
          <w:szCs w:val="20"/>
          <w:highlight w:val="none"/>
          <w:lang w:val="en-US" w:eastAsia="zh-CN" w:bidi="ar-SA"/>
          <w14:textFill>
            <w14:solidFill>
              <w14:schemeClr w14:val="tx1"/>
            </w14:solidFill>
          </w14:textFill>
        </w:rPr>
        <w:t>11</w:t>
      </w:r>
      <w:r>
        <w:rPr>
          <w:rFonts w:hint="default" w:ascii="Times New Roman" w:hAnsi="Times New Roman" w:eastAsia="宋体" w:cs="Times New Roman"/>
          <w:bCs/>
          <w:color w:val="000000" w:themeColor="text1"/>
          <w:kern w:val="2"/>
          <w:szCs w:val="20"/>
          <w:highlight w:val="none"/>
          <w:lang w:val="en-US" w:eastAsia="zh-CN" w:bidi="ar-SA"/>
          <w14:textFill>
            <w14:solidFill>
              <w14:schemeClr w14:val="tx1"/>
            </w14:solidFill>
          </w14:textFill>
        </w:rPr>
        <w:t xml:space="preserve"> </w:t>
      </w:r>
      <w:r>
        <w:rPr>
          <w:rFonts w:hint="eastAsia" w:ascii="Times New Roman" w:hAnsi="Times New Roman" w:eastAsia="宋体" w:cs="Times New Roman"/>
          <w:bCs/>
          <w:color w:val="000000" w:themeColor="text1"/>
          <w:kern w:val="2"/>
          <w:szCs w:val="20"/>
          <w:highlight w:val="none"/>
          <w:lang w:val="en-US" w:eastAsia="zh-CN" w:bidi="ar-SA"/>
          <w14:textFill>
            <w14:solidFill>
              <w14:schemeClr w14:val="tx1"/>
            </w14:solidFill>
          </w14:textFill>
        </w:rPr>
        <w:t>项目周边</w:t>
      </w:r>
      <w:r>
        <w:rPr>
          <w:rFonts w:hint="default" w:ascii="Times New Roman" w:hAnsi="Times New Roman" w:eastAsia="宋体" w:cs="Times New Roman"/>
          <w:bCs/>
          <w:color w:val="000000" w:themeColor="text1"/>
          <w:kern w:val="2"/>
          <w:szCs w:val="20"/>
          <w:highlight w:val="none"/>
          <w:lang w:val="en-US" w:eastAsia="zh-CN" w:bidi="ar-SA"/>
          <w14:textFill>
            <w14:solidFill>
              <w14:schemeClr w14:val="tx1"/>
            </w14:solidFill>
          </w14:textFill>
        </w:rPr>
        <w:t>环境</w:t>
      </w:r>
      <w:r>
        <w:rPr>
          <w:rFonts w:hint="default" w:ascii="Times New Roman" w:hAnsi="Times New Roman" w:eastAsia="宋体" w:cs="Times New Roman"/>
          <w:bCs/>
          <w:color w:val="000000" w:themeColor="text1"/>
          <w:highlight w:val="none"/>
          <w:lang w:val="en-US" w:eastAsia="zh-CN"/>
          <w14:textFill>
            <w14:solidFill>
              <w14:schemeClr w14:val="tx1"/>
            </w14:solidFill>
          </w14:textFill>
        </w:rPr>
        <w:t>保护目标分布</w:t>
      </w:r>
      <w:r>
        <w:rPr>
          <w:rFonts w:hint="default" w:ascii="Times New Roman" w:hAnsi="Times New Roman" w:eastAsia="宋体" w:cs="Times New Roman"/>
          <w:bCs/>
          <w:color w:val="000000" w:themeColor="text1"/>
          <w:highlight w:val="none"/>
          <w14:textFill>
            <w14:solidFill>
              <w14:schemeClr w14:val="tx1"/>
            </w14:solidFill>
          </w14:textFill>
        </w:rPr>
        <w:t>示意图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_Toc23610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168</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3431127F">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_Toc24107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default" w:ascii="Times New Roman" w:hAnsi="Times New Roman" w:eastAsia="宋体" w:cs="Times New Roman"/>
          <w:bCs/>
          <w:color w:val="000000" w:themeColor="text1"/>
          <w:highlight w:val="none"/>
          <w14:textFill>
            <w14:solidFill>
              <w14:schemeClr w14:val="tx1"/>
            </w14:solidFill>
          </w14:textFill>
        </w:rPr>
        <w:t>附图</w:t>
      </w:r>
      <w:r>
        <w:rPr>
          <w:rFonts w:hint="eastAsia" w:ascii="Times New Roman" w:hAnsi="Times New Roman" w:eastAsia="宋体" w:cs="Times New Roman"/>
          <w:bCs/>
          <w:color w:val="000000" w:themeColor="text1"/>
          <w:highlight w:val="none"/>
          <w:lang w:val="en-US" w:eastAsia="zh-CN"/>
          <w14:textFill>
            <w14:solidFill>
              <w14:schemeClr w14:val="tx1"/>
            </w14:solidFill>
          </w14:textFill>
        </w:rPr>
        <w:t>12</w:t>
      </w:r>
      <w:r>
        <w:rPr>
          <w:rFonts w:hint="default" w:ascii="Times New Roman" w:hAnsi="Times New Roman" w:eastAsia="宋体" w:cs="Times New Roman"/>
          <w:bCs/>
          <w:color w:val="000000" w:themeColor="text1"/>
          <w:highlight w:val="none"/>
          <w14:textFill>
            <w14:solidFill>
              <w14:schemeClr w14:val="tx1"/>
            </w14:solidFill>
          </w14:textFill>
        </w:rPr>
        <w:t xml:space="preserve"> </w:t>
      </w:r>
      <w:r>
        <w:rPr>
          <w:rFonts w:hint="eastAsia" w:ascii="Times New Roman" w:hAnsi="Times New Roman" w:cs="Times New Roman"/>
          <w:bCs/>
          <w:color w:val="000000" w:themeColor="text1"/>
          <w:highlight w:val="none"/>
          <w:lang w:val="en-US" w:eastAsia="zh-CN"/>
          <w14:textFill>
            <w14:solidFill>
              <w14:schemeClr w14:val="tx1"/>
            </w14:solidFill>
          </w14:textFill>
        </w:rPr>
        <w:t>韶关乐</w:t>
      </w:r>
      <w:r>
        <w:rPr>
          <w:rFonts w:hint="eastAsia" w:ascii="Times New Roman" w:hAnsi="Times New Roman" w:eastAsia="宋体" w:cs="Times New Roman"/>
          <w:bCs/>
          <w:color w:val="000000" w:themeColor="text1"/>
          <w:highlight w:val="none"/>
          <w:lang w:val="en-US" w:eastAsia="zh-CN"/>
          <w14:textFill>
            <w14:solidFill>
              <w14:schemeClr w14:val="tx1"/>
            </w14:solidFill>
          </w14:textFill>
        </w:rPr>
        <w:t>昌经济开发区</w:t>
      </w:r>
      <w:r>
        <w:rPr>
          <w:rFonts w:hint="default" w:ascii="Times New Roman" w:hAnsi="Times New Roman" w:eastAsia="宋体" w:cs="Times New Roman"/>
          <w:bCs/>
          <w:color w:val="000000" w:themeColor="text1"/>
          <w:highlight w:val="none"/>
          <w:lang w:val="en-US" w:eastAsia="zh-CN"/>
          <w14:textFill>
            <w14:solidFill>
              <w14:schemeClr w14:val="tx1"/>
            </w14:solidFill>
          </w14:textFill>
        </w:rPr>
        <w:t>城东片区控制性详细规划</w:t>
      </w:r>
      <w:r>
        <w:rPr>
          <w:rFonts w:hint="eastAsia" w:ascii="Times New Roman" w:hAnsi="Times New Roman" w:eastAsia="宋体" w:cs="Times New Roman"/>
          <w:bCs/>
          <w:color w:val="000000" w:themeColor="text1"/>
          <w:highlight w:val="none"/>
          <w14:textFill>
            <w14:solidFill>
              <w14:schemeClr w14:val="tx1"/>
            </w14:solidFill>
          </w14:textFill>
        </w:rPr>
        <w:t>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_Toc24107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169</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44474529">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_Toc11664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eastAsia" w:ascii="Times New Roman" w:hAnsi="Times New Roman" w:eastAsia="宋体" w:cs="Times New Roman"/>
          <w:bCs/>
          <w:color w:val="000000" w:themeColor="text1"/>
          <w:kern w:val="2"/>
          <w:szCs w:val="24"/>
          <w:highlight w:val="none"/>
          <w:lang w:val="en-US" w:eastAsia="zh-CN" w:bidi="ar-SA"/>
          <w14:textFill>
            <w14:solidFill>
              <w14:schemeClr w14:val="tx1"/>
            </w14:solidFill>
          </w14:textFill>
        </w:rPr>
        <w:t>附图13 项目与广东省“三区三线”的位置关系</w:t>
      </w:r>
      <w:r>
        <w:rPr>
          <w:rFonts w:hint="default" w:ascii="Times New Roman" w:hAnsi="Times New Roman" w:eastAsia="宋体" w:cs="Times New Roman"/>
          <w:bCs/>
          <w:color w:val="000000" w:themeColor="text1"/>
          <w:kern w:val="2"/>
          <w:szCs w:val="24"/>
          <w:highlight w:val="none"/>
          <w:lang w:val="en-US" w:eastAsia="zh-CN" w:bidi="ar-SA"/>
          <w14:textFill>
            <w14:solidFill>
              <w14:schemeClr w14:val="tx1"/>
            </w14:solidFill>
          </w14:textFill>
        </w:rPr>
        <w:t>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_Toc11664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170</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1D18C77D">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_Toc25512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eastAsia" w:ascii="Times New Roman" w:hAnsi="Times New Roman" w:eastAsia="宋体....." w:cs="Times New Roman"/>
          <w:bCs/>
          <w:color w:val="000000" w:themeColor="text1"/>
          <w:kern w:val="2"/>
          <w:szCs w:val="24"/>
          <w:highlight w:val="none"/>
          <w:lang w:val="en-US" w:eastAsia="zh-CN" w:bidi="ar-SA"/>
          <w14:textFill>
            <w14:solidFill>
              <w14:schemeClr w14:val="tx1"/>
            </w14:solidFill>
          </w14:textFill>
        </w:rPr>
        <w:t>附图14-3 广东省</w:t>
      </w:r>
      <w:r>
        <w:rPr>
          <w:rFonts w:hint="eastAsia" w:eastAsia="宋体....." w:cs="Times New Roman"/>
          <w:bCs/>
          <w:color w:val="000000" w:themeColor="text1"/>
          <w:kern w:val="2"/>
          <w:szCs w:val="24"/>
          <w:highlight w:val="none"/>
          <w:lang w:val="en-US" w:eastAsia="zh-CN" w:bidi="ar-SA"/>
          <w14:textFill>
            <w14:solidFill>
              <w14:schemeClr w14:val="tx1"/>
            </w14:solidFill>
          </w14:textFill>
        </w:rPr>
        <w:t>生态环境分区</w:t>
      </w:r>
      <w:r>
        <w:rPr>
          <w:rFonts w:hint="eastAsia" w:ascii="Times New Roman" w:hAnsi="Times New Roman" w:eastAsia="宋体....." w:cs="Times New Roman"/>
          <w:bCs/>
          <w:color w:val="000000" w:themeColor="text1"/>
          <w:kern w:val="2"/>
          <w:szCs w:val="24"/>
          <w:highlight w:val="none"/>
          <w:lang w:val="en-US" w:eastAsia="zh-CN" w:bidi="ar-SA"/>
          <w14:textFill>
            <w14:solidFill>
              <w14:schemeClr w14:val="tx1"/>
            </w14:solidFill>
          </w14:textFill>
        </w:rPr>
        <w:t>管控</w:t>
      </w:r>
      <w:r>
        <w:rPr>
          <w:rFonts w:hint="eastAsia" w:eastAsia="宋体....." w:cs="Times New Roman"/>
          <w:bCs/>
          <w:color w:val="000000" w:themeColor="text1"/>
          <w:kern w:val="2"/>
          <w:szCs w:val="24"/>
          <w:highlight w:val="none"/>
          <w:lang w:val="en-US" w:eastAsia="zh-CN" w:bidi="ar-SA"/>
          <w14:textFill>
            <w14:solidFill>
              <w14:schemeClr w14:val="tx1"/>
            </w14:solidFill>
          </w14:textFill>
        </w:rPr>
        <w:t>信息平台</w:t>
      </w:r>
      <w:r>
        <w:rPr>
          <w:rFonts w:hint="eastAsia" w:ascii="Times New Roman" w:hAnsi="Times New Roman" w:eastAsia="宋体....." w:cs="Times New Roman"/>
          <w:bCs/>
          <w:color w:val="000000" w:themeColor="text1"/>
          <w:kern w:val="2"/>
          <w:szCs w:val="24"/>
          <w:highlight w:val="none"/>
          <w:lang w:val="en-US" w:eastAsia="zh-CN" w:bidi="ar-SA"/>
          <w14:textFill>
            <w14:solidFill>
              <w14:schemeClr w14:val="tx1"/>
            </w14:solidFill>
          </w14:textFill>
        </w:rPr>
        <w:t>水环境管控分区截图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_Toc25512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173</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6B0306F0">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_Toc10425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eastAsia" w:ascii="Times New Roman" w:hAnsi="Times New Roman" w:eastAsia="宋体....." w:cs="Times New Roman"/>
          <w:bCs/>
          <w:color w:val="000000" w:themeColor="text1"/>
          <w:kern w:val="2"/>
          <w:szCs w:val="24"/>
          <w:highlight w:val="none"/>
          <w:lang w:val="en-US" w:eastAsia="zh-CN" w:bidi="ar-SA"/>
          <w14:textFill>
            <w14:solidFill>
              <w14:schemeClr w14:val="tx1"/>
            </w14:solidFill>
          </w14:textFill>
        </w:rPr>
        <w:t>附图14-4 广东省</w:t>
      </w:r>
      <w:r>
        <w:rPr>
          <w:rFonts w:hint="eastAsia" w:eastAsia="宋体....." w:cs="Times New Roman"/>
          <w:bCs/>
          <w:color w:val="000000" w:themeColor="text1"/>
          <w:kern w:val="2"/>
          <w:szCs w:val="24"/>
          <w:highlight w:val="none"/>
          <w:lang w:val="en-US" w:eastAsia="zh-CN" w:bidi="ar-SA"/>
          <w14:textFill>
            <w14:solidFill>
              <w14:schemeClr w14:val="tx1"/>
            </w14:solidFill>
          </w14:textFill>
        </w:rPr>
        <w:t>生态环境分区管控信息平台</w:t>
      </w:r>
      <w:r>
        <w:rPr>
          <w:rFonts w:hint="eastAsia" w:ascii="Times New Roman" w:hAnsi="Times New Roman" w:eastAsia="宋体....." w:cs="Times New Roman"/>
          <w:bCs/>
          <w:color w:val="000000" w:themeColor="text1"/>
          <w:kern w:val="2"/>
          <w:szCs w:val="24"/>
          <w:highlight w:val="none"/>
          <w:lang w:val="en-US" w:eastAsia="zh-CN" w:bidi="ar-SA"/>
          <w14:textFill>
            <w14:solidFill>
              <w14:schemeClr w14:val="tx1"/>
            </w14:solidFill>
          </w14:textFill>
        </w:rPr>
        <w:t>大气环境管控分区截图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_Toc10425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174</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438FFB4C">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_Toc26344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eastAsia" w:ascii="Times New Roman" w:hAnsi="Times New Roman" w:eastAsia="宋体....." w:cs="Times New Roman"/>
          <w:bCs/>
          <w:color w:val="000000" w:themeColor="text1"/>
          <w:kern w:val="2"/>
          <w:szCs w:val="24"/>
          <w:highlight w:val="none"/>
          <w:lang w:val="en-US" w:eastAsia="zh-CN" w:bidi="ar-SA"/>
          <w14:textFill>
            <w14:solidFill>
              <w14:schemeClr w14:val="tx1"/>
            </w14:solidFill>
          </w14:textFill>
        </w:rPr>
        <w:t>附图14-5 广东省</w:t>
      </w:r>
      <w:r>
        <w:rPr>
          <w:rFonts w:hint="eastAsia" w:eastAsia="宋体....." w:cs="Times New Roman"/>
          <w:bCs/>
          <w:color w:val="000000" w:themeColor="text1"/>
          <w:kern w:val="2"/>
          <w:szCs w:val="24"/>
          <w:highlight w:val="none"/>
          <w:lang w:val="en-US" w:eastAsia="zh-CN" w:bidi="ar-SA"/>
          <w14:textFill>
            <w14:solidFill>
              <w14:schemeClr w14:val="tx1"/>
            </w14:solidFill>
          </w14:textFill>
        </w:rPr>
        <w:t>生态环境分区管控信息平台</w:t>
      </w:r>
      <w:r>
        <w:rPr>
          <w:rFonts w:hint="eastAsia" w:ascii="Times New Roman" w:hAnsi="Times New Roman" w:eastAsia="宋体....." w:cs="Times New Roman"/>
          <w:bCs/>
          <w:color w:val="000000" w:themeColor="text1"/>
          <w:kern w:val="2"/>
          <w:szCs w:val="24"/>
          <w:highlight w:val="none"/>
          <w:lang w:val="en-US" w:eastAsia="zh-CN" w:bidi="ar-SA"/>
          <w14:textFill>
            <w14:solidFill>
              <w14:schemeClr w14:val="tx1"/>
            </w14:solidFill>
          </w14:textFill>
        </w:rPr>
        <w:t>高污染燃料禁燃区截图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_Toc26344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175</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5AE437AD">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_Toc31205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default" w:ascii="Times New Roman" w:hAnsi="Times New Roman" w:eastAsia="宋体....." w:cs="Times New Roman"/>
          <w:bCs/>
          <w:color w:val="000000" w:themeColor="text1"/>
          <w:kern w:val="2"/>
          <w:szCs w:val="24"/>
          <w:highlight w:val="none"/>
          <w:lang w:val="en-US" w:eastAsia="zh-CN" w:bidi="ar-SA"/>
          <w14:textFill>
            <w14:solidFill>
              <w14:schemeClr w14:val="tx1"/>
            </w14:solidFill>
          </w14:textFill>
        </w:rPr>
        <w:t>附图1</w:t>
      </w:r>
      <w:r>
        <w:rPr>
          <w:rFonts w:hint="eastAsia" w:ascii="Times New Roman" w:hAnsi="Times New Roman" w:eastAsia="宋体....." w:cs="Times New Roman"/>
          <w:bCs/>
          <w:color w:val="000000" w:themeColor="text1"/>
          <w:kern w:val="2"/>
          <w:szCs w:val="24"/>
          <w:highlight w:val="none"/>
          <w:lang w:val="en-US" w:eastAsia="zh-CN" w:bidi="ar-SA"/>
          <w14:textFill>
            <w14:solidFill>
              <w14:schemeClr w14:val="tx1"/>
            </w14:solidFill>
          </w14:textFill>
        </w:rPr>
        <w:t>5</w:t>
      </w:r>
      <w:r>
        <w:rPr>
          <w:rFonts w:hint="default" w:ascii="Times New Roman" w:hAnsi="Times New Roman" w:eastAsia="宋体....." w:cs="Times New Roman"/>
          <w:bCs/>
          <w:color w:val="000000" w:themeColor="text1"/>
          <w:kern w:val="2"/>
          <w:szCs w:val="24"/>
          <w:highlight w:val="none"/>
          <w:lang w:val="en-US" w:eastAsia="zh-CN" w:bidi="ar-SA"/>
          <w14:textFill>
            <w14:solidFill>
              <w14:schemeClr w14:val="tx1"/>
            </w14:solidFill>
          </w14:textFill>
        </w:rPr>
        <w:t xml:space="preserve"> </w:t>
      </w:r>
      <w:r>
        <w:rPr>
          <w:rFonts w:hint="eastAsia" w:ascii="Times New Roman" w:hAnsi="Times New Roman" w:eastAsia="宋体....." w:cs="Times New Roman"/>
          <w:bCs/>
          <w:color w:val="000000" w:themeColor="text1"/>
          <w:kern w:val="2"/>
          <w:szCs w:val="24"/>
          <w:highlight w:val="none"/>
          <w:lang w:val="en-US" w:eastAsia="zh-CN" w:bidi="ar-SA"/>
          <w14:textFill>
            <w14:solidFill>
              <w14:schemeClr w14:val="tx1"/>
            </w14:solidFill>
          </w14:textFill>
        </w:rPr>
        <w:t>韶关乐</w:t>
      </w:r>
      <w:r>
        <w:rPr>
          <w:rFonts w:hint="eastAsia" w:ascii="Times New Roman" w:hAnsi="Times New Roman" w:eastAsia="宋体" w:cs="Times New Roman"/>
          <w:bCs/>
          <w:color w:val="000000" w:themeColor="text1"/>
          <w:kern w:val="2"/>
          <w:szCs w:val="24"/>
          <w:highlight w:val="none"/>
          <w:lang w:val="en-US" w:eastAsia="zh-CN" w:bidi="ar-SA"/>
          <w14:textFill>
            <w14:solidFill>
              <w14:schemeClr w14:val="tx1"/>
            </w14:solidFill>
          </w14:textFill>
        </w:rPr>
        <w:t>昌经济开发区</w:t>
      </w:r>
      <w:r>
        <w:rPr>
          <w:rFonts w:hint="default" w:ascii="Times New Roman" w:hAnsi="Times New Roman" w:eastAsia="宋体....." w:cs="Times New Roman"/>
          <w:bCs/>
          <w:color w:val="000000" w:themeColor="text1"/>
          <w:kern w:val="2"/>
          <w:szCs w:val="24"/>
          <w:highlight w:val="none"/>
          <w:lang w:val="en-US" w:eastAsia="zh-CN" w:bidi="ar-SA"/>
          <w14:textFill>
            <w14:solidFill>
              <w14:schemeClr w14:val="tx1"/>
            </w14:solidFill>
          </w14:textFill>
        </w:rPr>
        <w:t>管网分布图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_Toc31205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176</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2C85FB9A">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_Toc14143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eastAsia" w:ascii="Times New Roman" w:hAnsi="Times New Roman" w:eastAsia="宋体....." w:cs="Times New Roman"/>
          <w:bCs/>
          <w:color w:val="000000" w:themeColor="text1"/>
          <w:kern w:val="2"/>
          <w:szCs w:val="24"/>
          <w:highlight w:val="none"/>
          <w:lang w:val="en-US" w:eastAsia="zh-CN" w:bidi="ar-SA"/>
          <w14:textFill>
            <w14:solidFill>
              <w14:schemeClr w14:val="tx1"/>
            </w14:solidFill>
          </w14:textFill>
        </w:rPr>
        <w:t>附图16  项目所在区域</w:t>
      </w:r>
      <w:r>
        <w:rPr>
          <w:rFonts w:hint="default" w:ascii="Times New Roman" w:hAnsi="Times New Roman" w:eastAsia="宋体....." w:cs="Times New Roman"/>
          <w:bCs/>
          <w:color w:val="000000" w:themeColor="text1"/>
          <w:kern w:val="2"/>
          <w:szCs w:val="24"/>
          <w:highlight w:val="none"/>
          <w:lang w:val="en-US" w:eastAsia="en-US" w:bidi="ar-SA"/>
          <w14:textFill>
            <w14:solidFill>
              <w14:schemeClr w14:val="tx1"/>
            </w14:solidFill>
          </w14:textFill>
        </w:rPr>
        <w:t>土地利用规划图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_Toc14143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177</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182756B0">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_Toc16243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eastAsia" w:ascii="Times New Roman" w:hAnsi="Times New Roman" w:eastAsia="宋体....." w:cs="Times New Roman"/>
          <w:bCs/>
          <w:color w:val="000000" w:themeColor="text1"/>
          <w:kern w:val="2"/>
          <w:szCs w:val="24"/>
          <w:highlight w:val="none"/>
          <w:lang w:val="en-US" w:eastAsia="zh-CN" w:bidi="ar-SA"/>
          <w14:textFill>
            <w14:solidFill>
              <w14:schemeClr w14:val="tx1"/>
            </w14:solidFill>
          </w14:textFill>
        </w:rPr>
        <w:t>附图17  项目所在区域生态红线分布图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_Toc16243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178</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492C265C">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_Toc15485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eastAsia" w:ascii="Times New Roman" w:hAnsi="Times New Roman" w:eastAsia="宋体....." w:cs="Times New Roman"/>
          <w:bCs/>
          <w:color w:val="000000" w:themeColor="text1"/>
          <w:kern w:val="2"/>
          <w:szCs w:val="24"/>
          <w:highlight w:val="none"/>
          <w:lang w:val="en-US" w:eastAsia="zh-CN" w:bidi="ar-SA"/>
          <w14:textFill>
            <w14:solidFill>
              <w14:schemeClr w14:val="tx1"/>
            </w14:solidFill>
          </w14:textFill>
        </w:rPr>
        <w:t>附图18  项目周边永久农田、耕地、园地分布图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_Toc15485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179</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45207496">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_Toc16666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附件</w:t>
      </w:r>
      <w:r>
        <w:rPr>
          <w:rFonts w:hint="eastAsia" w:ascii="Times New Roman" w:hAnsi="Times New Roman" w:cs="Times New Roman"/>
          <w:color w:val="000000" w:themeColor="text1"/>
          <w:highlight w:val="none"/>
          <w:lang w:val="en-US"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w:t>
      </w:r>
      <w:r>
        <w:rPr>
          <w:rFonts w:hint="eastAsia" w:ascii="Times New Roman" w:hAnsi="Times New Roman" w:cs="Times New Roman"/>
          <w:color w:val="000000" w:themeColor="text1"/>
          <w:highlight w:val="none"/>
          <w:lang w:val="en-US" w:eastAsia="zh-CN"/>
          <w14:textFill>
            <w14:solidFill>
              <w14:schemeClr w14:val="tx1"/>
            </w14:solidFill>
          </w14:textFill>
        </w:rPr>
        <w:t>营业执照</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_Toc16666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180</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76EE44F7">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_Toc18951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default" w:ascii="Times New Roman" w:hAnsi="Times New Roman" w:cs="Times New Roman"/>
          <w:bCs/>
          <w:color w:val="000000" w:themeColor="text1"/>
          <w:highlight w:val="none"/>
          <w14:textFill>
            <w14:solidFill>
              <w14:schemeClr w14:val="tx1"/>
            </w14:solidFill>
          </w14:textFill>
        </w:rPr>
        <w:t>附件</w:t>
      </w:r>
      <w:r>
        <w:rPr>
          <w:rFonts w:hint="eastAsia" w:ascii="Times New Roman" w:hAnsi="Times New Roman" w:cs="Times New Roman"/>
          <w:bCs/>
          <w:color w:val="000000" w:themeColor="text1"/>
          <w:highlight w:val="none"/>
          <w:lang w:val="en-US" w:eastAsia="zh-CN"/>
          <w14:textFill>
            <w14:solidFill>
              <w14:schemeClr w14:val="tx1"/>
            </w14:solidFill>
          </w14:textFill>
        </w:rPr>
        <w:t>2</w:t>
      </w:r>
      <w:r>
        <w:rPr>
          <w:rFonts w:hint="default" w:ascii="Times New Roman" w:hAnsi="Times New Roman" w:cs="Times New Roman"/>
          <w:bCs/>
          <w:color w:val="000000" w:themeColor="text1"/>
          <w:highlight w:val="none"/>
          <w14:textFill>
            <w14:solidFill>
              <w14:schemeClr w14:val="tx1"/>
            </w14:solidFill>
          </w14:textFill>
        </w:rPr>
        <w:t>：法人身份证复印件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_Toc18951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181</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1BCF0724">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_Toc3366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eastAsia" w:ascii="Times New Roman" w:hAnsi="Times New Roman" w:eastAsia="宋体" w:cs="Times New Roman"/>
          <w:bCs/>
          <w:color w:val="000000" w:themeColor="text1"/>
          <w:highlight w:val="none"/>
          <w:lang w:val="en-US" w:eastAsia="zh-CN"/>
          <w14:textFill>
            <w14:solidFill>
              <w14:schemeClr w14:val="tx1"/>
            </w14:solidFill>
          </w14:textFill>
        </w:rPr>
        <w:t>附件3：不动产权证</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_Toc3366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182</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2056E2F8">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_Toc900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default" w:ascii="Times New Roman" w:hAnsi="Times New Roman" w:cs="Times New Roman"/>
          <w:bCs/>
          <w:color w:val="000000" w:themeColor="text1"/>
          <w:highlight w:val="none"/>
          <w14:textFill>
            <w14:solidFill>
              <w14:schemeClr w14:val="tx1"/>
            </w14:solidFill>
          </w14:textFill>
        </w:rPr>
        <w:t>附件</w:t>
      </w:r>
      <w:r>
        <w:rPr>
          <w:rFonts w:hint="eastAsia" w:ascii="Times New Roman" w:hAnsi="Times New Roman" w:cs="Times New Roman"/>
          <w:bCs/>
          <w:color w:val="000000" w:themeColor="text1"/>
          <w:highlight w:val="none"/>
          <w:lang w:val="en-US" w:eastAsia="zh-CN"/>
          <w14:textFill>
            <w14:solidFill>
              <w14:schemeClr w14:val="tx1"/>
            </w14:solidFill>
          </w14:textFill>
        </w:rPr>
        <w:t>4</w:t>
      </w:r>
      <w:r>
        <w:rPr>
          <w:rFonts w:hint="default" w:ascii="Times New Roman" w:hAnsi="Times New Roman" w:cs="Times New Roman"/>
          <w:bCs/>
          <w:color w:val="000000" w:themeColor="text1"/>
          <w:highlight w:val="none"/>
          <w14:textFill>
            <w14:solidFill>
              <w14:schemeClr w14:val="tx1"/>
            </w14:solidFill>
          </w14:textFill>
        </w:rPr>
        <w:t>：</w:t>
      </w:r>
      <w:r>
        <w:rPr>
          <w:rFonts w:hint="default" w:ascii="Times New Roman" w:hAnsi="Times New Roman" w:cs="Times New Roman"/>
          <w:bCs/>
          <w:color w:val="000000" w:themeColor="text1"/>
          <w:highlight w:val="none"/>
          <w:lang w:val="en-US" w:eastAsia="zh-CN"/>
          <w14:textFill>
            <w14:solidFill>
              <w14:schemeClr w14:val="tx1"/>
            </w14:solidFill>
          </w14:textFill>
        </w:rPr>
        <w:t>备案证</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_Toc900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183</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46EF8039">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_Toc5358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bCs/>
          <w:color w:val="000000" w:themeColor="text1"/>
          <w:szCs w:val="24"/>
          <w:highlight w:val="none"/>
          <w:lang w:bidi="ar"/>
          <w14:textFill>
            <w14:solidFill>
              <w14:schemeClr w14:val="tx1"/>
            </w14:solidFill>
          </w14:textFill>
        </w:rPr>
        <w:t>附件</w:t>
      </w:r>
      <w:r>
        <w:rPr>
          <w:rFonts w:hint="eastAsia" w:ascii="Times New Roman" w:eastAsia="宋体"/>
          <w:bCs/>
          <w:color w:val="000000" w:themeColor="text1"/>
          <w:szCs w:val="24"/>
          <w:highlight w:val="none"/>
          <w:lang w:val="en-US" w:eastAsia="zh-CN" w:bidi="ar"/>
          <w14:textFill>
            <w14:solidFill>
              <w14:schemeClr w14:val="tx1"/>
            </w14:solidFill>
          </w14:textFill>
        </w:rPr>
        <w:t>5-1</w:t>
      </w:r>
      <w:r>
        <w:rPr>
          <w:bCs/>
          <w:color w:val="000000" w:themeColor="text1"/>
          <w:szCs w:val="24"/>
          <w:highlight w:val="none"/>
          <w14:textFill>
            <w14:solidFill>
              <w14:schemeClr w14:val="tx1"/>
            </w14:solidFill>
          </w14:textFill>
        </w:rPr>
        <w:t xml:space="preserve"> </w:t>
      </w:r>
      <w:r>
        <w:rPr>
          <w:rFonts w:hint="eastAsia"/>
          <w:bCs/>
          <w:color w:val="000000" w:themeColor="text1"/>
          <w:szCs w:val="24"/>
          <w:highlight w:val="none"/>
          <w14:textFill>
            <w14:solidFill>
              <w14:schemeClr w14:val="tx1"/>
            </w14:solidFill>
          </w14:textFill>
        </w:rPr>
        <w:t>除油剂</w:t>
      </w:r>
      <w:r>
        <w:rPr>
          <w:bCs/>
          <w:color w:val="000000" w:themeColor="text1"/>
          <w:szCs w:val="24"/>
          <w:highlight w:val="none"/>
          <w:lang w:bidi="ar"/>
          <w14:textFill>
            <w14:solidFill>
              <w14:schemeClr w14:val="tx1"/>
            </w14:solidFill>
          </w14:textFill>
        </w:rPr>
        <w:t>MSDS报告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_Toc5358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184</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19D2B352">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_Toc10257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bCs/>
          <w:color w:val="000000" w:themeColor="text1"/>
          <w:szCs w:val="24"/>
          <w:highlight w:val="none"/>
          <w:lang w:bidi="ar"/>
          <w14:textFill>
            <w14:solidFill>
              <w14:schemeClr w14:val="tx1"/>
            </w14:solidFill>
          </w14:textFill>
        </w:rPr>
        <w:t>附件</w:t>
      </w:r>
      <w:r>
        <w:rPr>
          <w:rFonts w:hint="eastAsia" w:ascii="Times New Roman" w:eastAsia="宋体"/>
          <w:bCs/>
          <w:color w:val="000000" w:themeColor="text1"/>
          <w:szCs w:val="24"/>
          <w:highlight w:val="none"/>
          <w:lang w:val="en-US" w:eastAsia="zh-CN" w:bidi="ar"/>
          <w14:textFill>
            <w14:solidFill>
              <w14:schemeClr w14:val="tx1"/>
            </w14:solidFill>
          </w14:textFill>
        </w:rPr>
        <w:t>5-2</w:t>
      </w:r>
      <w:r>
        <w:rPr>
          <w:bCs/>
          <w:color w:val="000000" w:themeColor="text1"/>
          <w:szCs w:val="24"/>
          <w:highlight w:val="none"/>
          <w14:textFill>
            <w14:solidFill>
              <w14:schemeClr w14:val="tx1"/>
            </w14:solidFill>
          </w14:textFill>
        </w:rPr>
        <w:t xml:space="preserve"> </w:t>
      </w:r>
      <w:r>
        <w:rPr>
          <w:rFonts w:hint="eastAsia"/>
          <w:bCs/>
          <w:color w:val="000000" w:themeColor="text1"/>
          <w:szCs w:val="24"/>
          <w:highlight w:val="none"/>
          <w14:textFill>
            <w14:solidFill>
              <w14:schemeClr w14:val="tx1"/>
            </w14:solidFill>
          </w14:textFill>
        </w:rPr>
        <w:t>无铬钝化剂</w:t>
      </w:r>
      <w:r>
        <w:rPr>
          <w:bCs/>
          <w:color w:val="000000" w:themeColor="text1"/>
          <w:szCs w:val="24"/>
          <w:highlight w:val="none"/>
          <w:lang w:bidi="ar"/>
          <w14:textFill>
            <w14:solidFill>
              <w14:schemeClr w14:val="tx1"/>
            </w14:solidFill>
          </w14:textFill>
        </w:rPr>
        <w:t>MSDS报告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_Toc10257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185</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4A34AAC9">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_Toc27056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bCs/>
          <w:color w:val="000000" w:themeColor="text1"/>
          <w:szCs w:val="24"/>
          <w:highlight w:val="none"/>
          <w:lang w:bidi="ar"/>
          <w14:textFill>
            <w14:solidFill>
              <w14:schemeClr w14:val="tx1"/>
            </w14:solidFill>
          </w14:textFill>
        </w:rPr>
        <w:t>附件</w:t>
      </w:r>
      <w:r>
        <w:rPr>
          <w:rFonts w:hint="eastAsia" w:ascii="Times New Roman" w:eastAsia="宋体"/>
          <w:bCs/>
          <w:color w:val="000000" w:themeColor="text1"/>
          <w:szCs w:val="24"/>
          <w:highlight w:val="none"/>
          <w:lang w:val="en-US" w:eastAsia="zh-CN" w:bidi="ar"/>
          <w14:textFill>
            <w14:solidFill>
              <w14:schemeClr w14:val="tx1"/>
            </w14:solidFill>
          </w14:textFill>
        </w:rPr>
        <w:t>5-3</w:t>
      </w:r>
      <w:r>
        <w:rPr>
          <w:bCs/>
          <w:color w:val="000000" w:themeColor="text1"/>
          <w:szCs w:val="24"/>
          <w:highlight w:val="none"/>
          <w14:textFill>
            <w14:solidFill>
              <w14:schemeClr w14:val="tx1"/>
            </w14:solidFill>
          </w14:textFill>
        </w:rPr>
        <w:t xml:space="preserve"> </w:t>
      </w:r>
      <w:r>
        <w:rPr>
          <w:rFonts w:hint="eastAsia" w:ascii="Times New Roman" w:eastAsia="宋体"/>
          <w:bCs/>
          <w:color w:val="000000" w:themeColor="text1"/>
          <w:szCs w:val="32"/>
          <w:highlight w:val="none"/>
          <w:lang w:val="en-US" w:eastAsia="zh-CN"/>
          <w14:textFill>
            <w14:solidFill>
              <w14:schemeClr w14:val="tx1"/>
            </w14:solidFill>
          </w14:textFill>
        </w:rPr>
        <w:t>底漆</w:t>
      </w:r>
      <w:r>
        <w:rPr>
          <w:bCs/>
          <w:color w:val="000000" w:themeColor="text1"/>
          <w:szCs w:val="24"/>
          <w:highlight w:val="none"/>
          <w:lang w:bidi="ar"/>
          <w14:textFill>
            <w14:solidFill>
              <w14:schemeClr w14:val="tx1"/>
            </w14:solidFill>
          </w14:textFill>
        </w:rPr>
        <w:t>MSDS报告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_Toc27056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197</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17DA276C">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_Toc42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bCs/>
          <w:color w:val="000000" w:themeColor="text1"/>
          <w:szCs w:val="24"/>
          <w:highlight w:val="none"/>
          <w:lang w:bidi="ar"/>
          <w14:textFill>
            <w14:solidFill>
              <w14:schemeClr w14:val="tx1"/>
            </w14:solidFill>
          </w14:textFill>
        </w:rPr>
        <w:t>附件</w:t>
      </w:r>
      <w:r>
        <w:rPr>
          <w:rFonts w:hint="eastAsia" w:ascii="Times New Roman" w:eastAsia="宋体"/>
          <w:bCs/>
          <w:color w:val="000000" w:themeColor="text1"/>
          <w:szCs w:val="24"/>
          <w:highlight w:val="none"/>
          <w:lang w:val="en-US" w:eastAsia="zh-CN" w:bidi="ar"/>
          <w14:textFill>
            <w14:solidFill>
              <w14:schemeClr w14:val="tx1"/>
            </w14:solidFill>
          </w14:textFill>
        </w:rPr>
        <w:t>5-4</w:t>
      </w:r>
      <w:r>
        <w:rPr>
          <w:bCs/>
          <w:color w:val="000000" w:themeColor="text1"/>
          <w:szCs w:val="24"/>
          <w:highlight w:val="none"/>
          <w14:textFill>
            <w14:solidFill>
              <w14:schemeClr w14:val="tx1"/>
            </w14:solidFill>
          </w14:textFill>
        </w:rPr>
        <w:t xml:space="preserve"> </w:t>
      </w:r>
      <w:r>
        <w:rPr>
          <w:rFonts w:hint="eastAsia" w:ascii="Times New Roman" w:eastAsia="宋体"/>
          <w:bCs/>
          <w:color w:val="000000" w:themeColor="text1"/>
          <w:szCs w:val="32"/>
          <w:highlight w:val="none"/>
          <w:lang w:val="en-US" w:eastAsia="zh-CN"/>
          <w14:textFill>
            <w14:solidFill>
              <w14:schemeClr w14:val="tx1"/>
            </w14:solidFill>
          </w14:textFill>
        </w:rPr>
        <w:t>面漆</w:t>
      </w:r>
      <w:r>
        <w:rPr>
          <w:bCs/>
          <w:color w:val="000000" w:themeColor="text1"/>
          <w:szCs w:val="24"/>
          <w:highlight w:val="none"/>
          <w:lang w:bidi="ar"/>
          <w14:textFill>
            <w14:solidFill>
              <w14:schemeClr w14:val="tx1"/>
            </w14:solidFill>
          </w14:textFill>
        </w:rPr>
        <w:t>MSDS报告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204</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395BB9FB">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_Toc1385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bCs/>
          <w:color w:val="000000" w:themeColor="text1"/>
          <w:szCs w:val="24"/>
          <w:highlight w:val="none"/>
          <w:lang w:bidi="ar"/>
          <w14:textFill>
            <w14:solidFill>
              <w14:schemeClr w14:val="tx1"/>
            </w14:solidFill>
          </w14:textFill>
        </w:rPr>
        <w:t>附件</w:t>
      </w:r>
      <w:r>
        <w:rPr>
          <w:rFonts w:hint="eastAsia" w:ascii="Times New Roman" w:eastAsia="宋体"/>
          <w:bCs/>
          <w:color w:val="000000" w:themeColor="text1"/>
          <w:szCs w:val="24"/>
          <w:highlight w:val="none"/>
          <w:lang w:val="en-US" w:eastAsia="zh-CN" w:bidi="ar"/>
          <w14:textFill>
            <w14:solidFill>
              <w14:schemeClr w14:val="tx1"/>
            </w14:solidFill>
          </w14:textFill>
        </w:rPr>
        <w:t>5-5</w:t>
      </w:r>
      <w:r>
        <w:rPr>
          <w:bCs/>
          <w:color w:val="000000" w:themeColor="text1"/>
          <w:szCs w:val="24"/>
          <w:highlight w:val="none"/>
          <w14:textFill>
            <w14:solidFill>
              <w14:schemeClr w14:val="tx1"/>
            </w14:solidFill>
          </w14:textFill>
        </w:rPr>
        <w:t xml:space="preserve"> </w:t>
      </w:r>
      <w:r>
        <w:rPr>
          <w:rFonts w:hint="eastAsia" w:ascii="Times New Roman" w:eastAsia="宋体"/>
          <w:bCs/>
          <w:color w:val="000000" w:themeColor="text1"/>
          <w:szCs w:val="32"/>
          <w:highlight w:val="none"/>
          <w:lang w:val="en-US" w:eastAsia="zh-CN"/>
          <w14:textFill>
            <w14:solidFill>
              <w14:schemeClr w14:val="tx1"/>
            </w14:solidFill>
          </w14:textFill>
        </w:rPr>
        <w:t>清漆</w:t>
      </w:r>
      <w:r>
        <w:rPr>
          <w:bCs/>
          <w:color w:val="000000" w:themeColor="text1"/>
          <w:szCs w:val="24"/>
          <w:highlight w:val="none"/>
          <w:lang w:bidi="ar"/>
          <w14:textFill>
            <w14:solidFill>
              <w14:schemeClr w14:val="tx1"/>
            </w14:solidFill>
          </w14:textFill>
        </w:rPr>
        <w:t>MSDS报告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211</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4DAB76BA">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_Toc19354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bCs/>
          <w:color w:val="000000" w:themeColor="text1"/>
          <w:szCs w:val="24"/>
          <w:highlight w:val="none"/>
          <w:lang w:bidi="ar"/>
          <w14:textFill>
            <w14:solidFill>
              <w14:schemeClr w14:val="tx1"/>
            </w14:solidFill>
          </w14:textFill>
        </w:rPr>
        <w:t>附件</w:t>
      </w:r>
      <w:r>
        <w:rPr>
          <w:rFonts w:hint="eastAsia" w:ascii="Times New Roman" w:eastAsia="宋体"/>
          <w:bCs/>
          <w:color w:val="000000" w:themeColor="text1"/>
          <w:szCs w:val="24"/>
          <w:highlight w:val="none"/>
          <w:lang w:val="en-US" w:eastAsia="zh-CN" w:bidi="ar"/>
          <w14:textFill>
            <w14:solidFill>
              <w14:schemeClr w14:val="tx1"/>
            </w14:solidFill>
          </w14:textFill>
        </w:rPr>
        <w:t>5-6</w:t>
      </w:r>
      <w:r>
        <w:rPr>
          <w:bCs/>
          <w:color w:val="000000" w:themeColor="text1"/>
          <w:szCs w:val="24"/>
          <w:highlight w:val="none"/>
          <w14:textFill>
            <w14:solidFill>
              <w14:schemeClr w14:val="tx1"/>
            </w14:solidFill>
          </w14:textFill>
        </w:rPr>
        <w:t xml:space="preserve"> </w:t>
      </w:r>
      <w:r>
        <w:rPr>
          <w:rFonts w:hint="eastAsia" w:ascii="Times New Roman" w:eastAsia="宋体"/>
          <w:bCs/>
          <w:color w:val="000000" w:themeColor="text1"/>
          <w:szCs w:val="32"/>
          <w:highlight w:val="none"/>
          <w:lang w:val="en-US" w:eastAsia="zh-CN"/>
          <w14:textFill>
            <w14:solidFill>
              <w14:schemeClr w14:val="tx1"/>
            </w14:solidFill>
          </w14:textFill>
        </w:rPr>
        <w:t>稀释剂</w:t>
      </w:r>
      <w:r>
        <w:rPr>
          <w:bCs/>
          <w:color w:val="000000" w:themeColor="text1"/>
          <w:szCs w:val="24"/>
          <w:highlight w:val="none"/>
          <w:lang w:bidi="ar"/>
          <w14:textFill>
            <w14:solidFill>
              <w14:schemeClr w14:val="tx1"/>
            </w14:solidFill>
          </w14:textFill>
        </w:rPr>
        <w:t>MSDS报告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_Toc19354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218</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7299AAA3">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_Toc10093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bCs/>
          <w:color w:val="000000" w:themeColor="text1"/>
          <w:szCs w:val="24"/>
          <w:highlight w:val="none"/>
          <w:lang w:bidi="ar"/>
          <w14:textFill>
            <w14:solidFill>
              <w14:schemeClr w14:val="tx1"/>
            </w14:solidFill>
          </w14:textFill>
        </w:rPr>
        <w:t>附件</w:t>
      </w:r>
      <w:r>
        <w:rPr>
          <w:rFonts w:hint="eastAsia" w:ascii="Times New Roman" w:eastAsia="宋体"/>
          <w:bCs/>
          <w:color w:val="000000" w:themeColor="text1"/>
          <w:szCs w:val="24"/>
          <w:highlight w:val="none"/>
          <w:lang w:val="en-US" w:eastAsia="zh-CN" w:bidi="ar"/>
          <w14:textFill>
            <w14:solidFill>
              <w14:schemeClr w14:val="tx1"/>
            </w14:solidFill>
          </w14:textFill>
        </w:rPr>
        <w:t>5-7</w:t>
      </w:r>
      <w:r>
        <w:rPr>
          <w:bCs/>
          <w:color w:val="000000" w:themeColor="text1"/>
          <w:szCs w:val="24"/>
          <w:highlight w:val="none"/>
          <w14:textFill>
            <w14:solidFill>
              <w14:schemeClr w14:val="tx1"/>
            </w14:solidFill>
          </w14:textFill>
        </w:rPr>
        <w:t xml:space="preserve"> </w:t>
      </w:r>
      <w:r>
        <w:rPr>
          <w:rFonts w:hint="eastAsia" w:ascii="Times New Roman" w:eastAsia="宋体"/>
          <w:bCs/>
          <w:color w:val="000000" w:themeColor="text1"/>
          <w:szCs w:val="32"/>
          <w:highlight w:val="none"/>
          <w:lang w:val="en-US" w:eastAsia="zh-CN"/>
          <w14:textFill>
            <w14:solidFill>
              <w14:schemeClr w14:val="tx1"/>
            </w14:solidFill>
          </w14:textFill>
        </w:rPr>
        <w:t>粉末涂料</w:t>
      </w:r>
      <w:r>
        <w:rPr>
          <w:bCs/>
          <w:color w:val="000000" w:themeColor="text1"/>
          <w:szCs w:val="24"/>
          <w:highlight w:val="none"/>
          <w:lang w:bidi="ar"/>
          <w14:textFill>
            <w14:solidFill>
              <w14:schemeClr w14:val="tx1"/>
            </w14:solidFill>
          </w14:textFill>
        </w:rPr>
        <w:t>MSDS报告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_Toc10093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226</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25C11EC1">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_Toc14389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bCs/>
          <w:color w:val="000000" w:themeColor="text1"/>
          <w:szCs w:val="24"/>
          <w:highlight w:val="none"/>
          <w:lang w:bidi="ar"/>
          <w14:textFill>
            <w14:solidFill>
              <w14:schemeClr w14:val="tx1"/>
            </w14:solidFill>
          </w14:textFill>
        </w:rPr>
        <w:t>附件</w:t>
      </w:r>
      <w:r>
        <w:rPr>
          <w:rFonts w:hint="eastAsia" w:ascii="Times New Roman" w:eastAsia="宋体"/>
          <w:bCs/>
          <w:color w:val="000000" w:themeColor="text1"/>
          <w:szCs w:val="24"/>
          <w:highlight w:val="none"/>
          <w:lang w:val="en-US" w:eastAsia="zh-CN" w:bidi="ar"/>
          <w14:textFill>
            <w14:solidFill>
              <w14:schemeClr w14:val="tx1"/>
            </w14:solidFill>
          </w14:textFill>
        </w:rPr>
        <w:t>5-</w:t>
      </w:r>
      <w:r>
        <w:rPr>
          <w:rFonts w:hint="eastAsia"/>
          <w:bCs/>
          <w:color w:val="000000" w:themeColor="text1"/>
          <w:szCs w:val="24"/>
          <w:highlight w:val="none"/>
          <w:lang w:val="en-US" w:eastAsia="zh-CN" w:bidi="ar"/>
          <w14:textFill>
            <w14:solidFill>
              <w14:schemeClr w14:val="tx1"/>
            </w14:solidFill>
          </w14:textFill>
        </w:rPr>
        <w:t>8</w:t>
      </w:r>
      <w:r>
        <w:rPr>
          <w:bCs/>
          <w:color w:val="000000" w:themeColor="text1"/>
          <w:szCs w:val="24"/>
          <w:highlight w:val="none"/>
          <w14:textFill>
            <w14:solidFill>
              <w14:schemeClr w14:val="tx1"/>
            </w14:solidFill>
          </w14:textFill>
        </w:rPr>
        <w:t xml:space="preserve"> </w:t>
      </w:r>
      <w:r>
        <w:rPr>
          <w:rFonts w:hint="eastAsia"/>
          <w:bCs/>
          <w:color w:val="000000" w:themeColor="text1"/>
          <w:szCs w:val="24"/>
          <w:highlight w:val="none"/>
          <w:lang w:val="en-US" w:eastAsia="zh-CN"/>
          <w14:textFill>
            <w14:solidFill>
              <w14:schemeClr w14:val="tx1"/>
            </w14:solidFill>
          </w14:textFill>
        </w:rPr>
        <w:t>清洗剂</w:t>
      </w:r>
      <w:r>
        <w:rPr>
          <w:bCs/>
          <w:color w:val="000000" w:themeColor="text1"/>
          <w:szCs w:val="24"/>
          <w:highlight w:val="none"/>
          <w:lang w:bidi="ar"/>
          <w14:textFill>
            <w14:solidFill>
              <w14:schemeClr w14:val="tx1"/>
            </w14:solidFill>
          </w14:textFill>
        </w:rPr>
        <w:t>MSDS报告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_Toc14389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230</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34FBCDA9">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_Toc19146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bCs/>
          <w:color w:val="000000" w:themeColor="text1"/>
          <w:szCs w:val="24"/>
          <w:highlight w:val="none"/>
          <w:lang w:bidi="ar"/>
          <w14:textFill>
            <w14:solidFill>
              <w14:schemeClr w14:val="tx1"/>
            </w14:solidFill>
          </w14:textFill>
        </w:rPr>
        <w:t>附件</w:t>
      </w:r>
      <w:r>
        <w:rPr>
          <w:rFonts w:hint="eastAsia" w:ascii="Times New Roman" w:eastAsia="宋体"/>
          <w:bCs/>
          <w:color w:val="000000" w:themeColor="text1"/>
          <w:szCs w:val="24"/>
          <w:highlight w:val="none"/>
          <w:lang w:val="en-US" w:eastAsia="zh-CN" w:bidi="ar"/>
          <w14:textFill>
            <w14:solidFill>
              <w14:schemeClr w14:val="tx1"/>
            </w14:solidFill>
          </w14:textFill>
        </w:rPr>
        <w:t>5-</w:t>
      </w:r>
      <w:r>
        <w:rPr>
          <w:rFonts w:hint="eastAsia"/>
          <w:bCs/>
          <w:color w:val="000000" w:themeColor="text1"/>
          <w:szCs w:val="24"/>
          <w:highlight w:val="none"/>
          <w:lang w:val="en-US" w:eastAsia="zh-CN" w:bidi="ar"/>
          <w14:textFill>
            <w14:solidFill>
              <w14:schemeClr w14:val="tx1"/>
            </w14:solidFill>
          </w14:textFill>
        </w:rPr>
        <w:t>9</w:t>
      </w:r>
      <w:r>
        <w:rPr>
          <w:bCs/>
          <w:color w:val="000000" w:themeColor="text1"/>
          <w:szCs w:val="24"/>
          <w:highlight w:val="none"/>
          <w14:textFill>
            <w14:solidFill>
              <w14:schemeClr w14:val="tx1"/>
            </w14:solidFill>
          </w14:textFill>
        </w:rPr>
        <w:t xml:space="preserve"> </w:t>
      </w:r>
      <w:r>
        <w:rPr>
          <w:rFonts w:hint="eastAsia" w:ascii="Times New Roman" w:eastAsia="宋体"/>
          <w:bCs/>
          <w:color w:val="000000" w:themeColor="text1"/>
          <w:szCs w:val="24"/>
          <w:highlight w:val="none"/>
          <w:lang w:val="en-US" w:eastAsia="zh-CN"/>
          <w14:textFill>
            <w14:solidFill>
              <w14:schemeClr w14:val="tx1"/>
            </w14:solidFill>
          </w14:textFill>
        </w:rPr>
        <w:t>油漆和粉末涂料VOCs含量检测</w:t>
      </w:r>
      <w:r>
        <w:rPr>
          <w:bCs/>
          <w:color w:val="000000" w:themeColor="text1"/>
          <w:szCs w:val="24"/>
          <w:highlight w:val="none"/>
          <w:lang w:bidi="ar"/>
          <w14:textFill>
            <w14:solidFill>
              <w14:schemeClr w14:val="tx1"/>
            </w14:solidFill>
          </w14:textFill>
        </w:rPr>
        <w:t>报告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_Toc19146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238</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46E35B3C">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_Toc28463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eastAsia" w:ascii="Times New Roman" w:hAnsi="Times New Roman" w:eastAsia="宋体" w:cs="Times New Roman"/>
          <w:bCs/>
          <w:color w:val="000000" w:themeColor="text1"/>
          <w:kern w:val="2"/>
          <w:szCs w:val="24"/>
          <w:highlight w:val="none"/>
          <w:lang w:val="en-US" w:eastAsia="zh-CN" w:bidi="ar"/>
          <w14:textFill>
            <w14:solidFill>
              <w14:schemeClr w14:val="tx1"/>
            </w14:solidFill>
          </w14:textFill>
        </w:rPr>
        <w:t>附件6 环境质量现状监测报告（摘录部分）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_Toc28463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253</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6EBE7D43">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_Toc11455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eastAsia" w:ascii="Times New Roman" w:eastAsia="宋体"/>
          <w:bCs/>
          <w:color w:val="000000" w:themeColor="text1"/>
          <w:szCs w:val="24"/>
          <w:highlight w:val="none"/>
          <w:lang w:val="en-US" w:eastAsia="zh-CN"/>
          <w14:textFill>
            <w14:solidFill>
              <w14:schemeClr w14:val="tx1"/>
            </w14:solidFill>
          </w14:textFill>
        </w:rPr>
        <w:t>附件7 武江中钛的监测数据（引用摘录）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_Toc11455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261</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37DBE45C">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_Toc30277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eastAsia" w:ascii="Times New Roman" w:eastAsia="宋体"/>
          <w:bCs/>
          <w:color w:val="000000" w:themeColor="text1"/>
          <w:szCs w:val="24"/>
          <w:highlight w:val="none"/>
          <w:lang w:val="en-US" w:eastAsia="zh-CN"/>
          <w14:textFill>
            <w14:solidFill>
              <w14:schemeClr w14:val="tx1"/>
            </w14:solidFill>
          </w14:textFill>
        </w:rPr>
        <w:t>附件8 废水水质监测报告（引用摘录）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_Toc30277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266</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0EED8ED7">
      <w:pPr>
        <w:pStyle w:val="35"/>
        <w:tabs>
          <w:tab w:val="right" w:leader="dot" w:pos="8844"/>
        </w:tabs>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Cs w:val="24"/>
          <w:highlight w:val="none"/>
          <w14:textFill>
            <w14:solidFill>
              <w14:schemeClr w14:val="tx1"/>
            </w14:solidFill>
          </w14:textFill>
        </w:rPr>
        <w:instrText xml:space="preserve"> HYPERLINK \l _Toc19394 </w:instrText>
      </w:r>
      <w:r>
        <w:rPr>
          <w:rFonts w:hint="default"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eastAsia" w:cs="Times New Roman"/>
          <w:bCs/>
          <w:color w:val="000000" w:themeColor="text1"/>
          <w:szCs w:val="24"/>
          <w:highlight w:val="none"/>
          <w:lang w:val="en-US" w:eastAsia="zh-CN"/>
          <w14:textFill>
            <w14:solidFill>
              <w14:schemeClr w14:val="tx1"/>
            </w14:solidFill>
          </w14:textFill>
        </w:rPr>
        <w:t>附件9 总量替代指标来源复函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_Toc19394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268</w:t>
      </w:r>
      <w:r>
        <w:rPr>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highlight w:val="none"/>
          <w14:textFill>
            <w14:solidFill>
              <w14:schemeClr w14:val="tx1"/>
            </w14:solidFill>
          </w14:textFill>
        </w:rPr>
        <w:fldChar w:fldCharType="end"/>
      </w:r>
    </w:p>
    <w:p w14:paraId="1ACE1FDC">
      <w:pPr>
        <w:pStyle w:val="35"/>
        <w:tabs>
          <w:tab w:val="right" w:leader="dot" w:pos="8844"/>
        </w:tabs>
        <w:adjustRightInd w:val="0"/>
        <w:snapToGrid w:val="0"/>
        <w:spacing w:before="0" w:beforeLines="0" w:after="0" w:afterLines="0" w:line="240" w:lineRule="auto"/>
        <w:ind w:left="0" w:leftChars="0" w:right="0" w:rightChars="0" w:firstLine="0" w:firstLineChar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fldChar w:fldCharType="end"/>
      </w:r>
    </w:p>
    <w:p w14:paraId="104E825B">
      <w:pPr>
        <w:adjustRightInd w:val="0"/>
        <w:snapToGrid w:val="0"/>
        <w:spacing w:line="288" w:lineRule="auto"/>
        <w:jc w:val="center"/>
        <w:rPr>
          <w:rFonts w:hint="default" w:ascii="Times New Roman" w:hAnsi="Times New Roman" w:eastAsia="宋体" w:cs="Times New Roman"/>
          <w:color w:val="000000" w:themeColor="text1"/>
          <w:sz w:val="24"/>
          <w:szCs w:val="24"/>
          <w:highlight w:val="none"/>
          <w14:textFill>
            <w14:solidFill>
              <w14:schemeClr w14:val="tx1"/>
            </w14:solidFill>
          </w14:textFill>
        </w:rPr>
        <w:sectPr>
          <w:headerReference r:id="rId10" w:type="first"/>
          <w:headerReference r:id="rId9" w:type="default"/>
          <w:footerReference r:id="rId11" w:type="default"/>
          <w:footerReference r:id="rId12" w:type="even"/>
          <w:pgSz w:w="11906" w:h="16838"/>
          <w:pgMar w:top="1701" w:right="1531" w:bottom="1701"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p>
    <w:p w14:paraId="134DE0AE">
      <w:pPr>
        <w:pStyle w:val="41"/>
        <w:jc w:val="center"/>
        <w:outlineLvl w:val="0"/>
        <w:rPr>
          <w:rFonts w:hint="eastAsia" w:ascii="黑体" w:hAnsi="黑体" w:eastAsia="黑体"/>
          <w:snapToGrid w:val="0"/>
          <w:color w:val="000000" w:themeColor="text1"/>
          <w:sz w:val="30"/>
          <w:szCs w:val="30"/>
          <w:highlight w:val="none"/>
          <w14:textFill>
            <w14:solidFill>
              <w14:schemeClr w14:val="tx1"/>
            </w14:solidFill>
          </w14:textFill>
        </w:rPr>
      </w:pPr>
      <w:bookmarkStart w:id="0" w:name="_Toc19762"/>
      <w:bookmarkStart w:id="1" w:name="_Toc17943"/>
      <w:bookmarkStart w:id="2" w:name="_Toc4519"/>
      <w:bookmarkStart w:id="3" w:name="_Toc19677"/>
      <w:r>
        <w:rPr>
          <w:rFonts w:hint="eastAsia" w:ascii="黑体" w:hAnsi="黑体" w:eastAsia="黑体"/>
          <w:snapToGrid w:val="0"/>
          <w:color w:val="000000" w:themeColor="text1"/>
          <w:sz w:val="30"/>
          <w:szCs w:val="30"/>
          <w:highlight w:val="none"/>
          <w14:textFill>
            <w14:solidFill>
              <w14:schemeClr w14:val="tx1"/>
            </w14:solidFill>
          </w14:textFill>
        </w:rPr>
        <w:t>一、建设项目基本情况</w:t>
      </w:r>
      <w:bookmarkEnd w:id="0"/>
      <w:bookmarkEnd w:id="1"/>
      <w:bookmarkEnd w:id="2"/>
      <w:bookmarkEnd w:id="3"/>
    </w:p>
    <w:tbl>
      <w:tblPr>
        <w:tblStyle w:val="4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978"/>
        <w:gridCol w:w="2041"/>
        <w:gridCol w:w="1989"/>
        <w:gridCol w:w="2862"/>
      </w:tblGrid>
      <w:tr w14:paraId="2303A6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78" w:type="dxa"/>
            <w:noWrap w:val="0"/>
            <w:tcMar>
              <w:top w:w="16" w:type="dxa"/>
              <w:left w:w="16" w:type="dxa"/>
              <w:right w:w="16" w:type="dxa"/>
            </w:tcMar>
            <w:vAlign w:val="center"/>
          </w:tcPr>
          <w:p w14:paraId="0D4134C9">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建设项目名称</w:t>
            </w:r>
          </w:p>
        </w:tc>
        <w:tc>
          <w:tcPr>
            <w:tcW w:w="6892" w:type="dxa"/>
            <w:gridSpan w:val="3"/>
            <w:noWrap w:val="0"/>
            <w:vAlign w:val="center"/>
          </w:tcPr>
          <w:p w14:paraId="27E55AE9">
            <w:pPr>
              <w:adjustRightInd w:val="0"/>
              <w:snapToGrid w:val="0"/>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eastAsia="zh-CN"/>
                <w14:textFill>
                  <w14:solidFill>
                    <w14:schemeClr w14:val="tx1"/>
                  </w14:solidFill>
                </w14:textFill>
              </w:rPr>
              <w:t>乐昌市三筑金属材料智造项目（</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重新报批）</w:t>
            </w:r>
          </w:p>
        </w:tc>
      </w:tr>
      <w:tr w14:paraId="436877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78" w:type="dxa"/>
            <w:noWrap w:val="0"/>
            <w:tcMar>
              <w:top w:w="16" w:type="dxa"/>
              <w:left w:w="16" w:type="dxa"/>
              <w:right w:w="16" w:type="dxa"/>
            </w:tcMar>
            <w:vAlign w:val="center"/>
          </w:tcPr>
          <w:p w14:paraId="34F0AD35">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项目代码</w:t>
            </w:r>
          </w:p>
        </w:tc>
        <w:tc>
          <w:tcPr>
            <w:tcW w:w="6892" w:type="dxa"/>
            <w:gridSpan w:val="3"/>
            <w:noWrap w:val="0"/>
            <w:vAlign w:val="center"/>
          </w:tcPr>
          <w:p w14:paraId="3EC9E275">
            <w:pPr>
              <w:adjustRightInd w:val="0"/>
              <w:snapToGrid w:val="0"/>
              <w:jc w:val="center"/>
              <w:rPr>
                <w:rFonts w:hint="eastAsia" w:ascii="Times New Roman" w:hAnsi="Times New Roman" w:eastAsia="宋体" w:cs="Times New Roman"/>
                <w:color w:val="000000" w:themeColor="text1"/>
                <w:sz w:val="24"/>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eastAsia="zh-CN"/>
                <w14:textFill>
                  <w14:solidFill>
                    <w14:schemeClr w14:val="tx1"/>
                  </w14:solidFill>
                </w14:textFill>
              </w:rPr>
              <w:t>2507-440281-04-01-982896</w:t>
            </w:r>
          </w:p>
        </w:tc>
      </w:tr>
      <w:tr w14:paraId="09FD63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78" w:type="dxa"/>
            <w:noWrap w:val="0"/>
            <w:tcMar>
              <w:top w:w="16" w:type="dxa"/>
              <w:left w:w="16" w:type="dxa"/>
              <w:right w:w="16" w:type="dxa"/>
            </w:tcMar>
            <w:vAlign w:val="center"/>
          </w:tcPr>
          <w:p w14:paraId="021681AE">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建设单位联系人</w:t>
            </w:r>
          </w:p>
        </w:tc>
        <w:tc>
          <w:tcPr>
            <w:tcW w:w="2041" w:type="dxa"/>
            <w:noWrap w:val="0"/>
            <w:vAlign w:val="center"/>
          </w:tcPr>
          <w:p w14:paraId="3B76B617">
            <w:pPr>
              <w:adjustRightInd w:val="0"/>
              <w:snapToGrid w:val="0"/>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p>
        </w:tc>
        <w:tc>
          <w:tcPr>
            <w:tcW w:w="1989" w:type="dxa"/>
            <w:noWrap w:val="0"/>
            <w:vAlign w:val="center"/>
          </w:tcPr>
          <w:p w14:paraId="2547486B">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联系方式</w:t>
            </w:r>
          </w:p>
        </w:tc>
        <w:tc>
          <w:tcPr>
            <w:tcW w:w="2862" w:type="dxa"/>
            <w:noWrap w:val="0"/>
            <w:vAlign w:val="center"/>
          </w:tcPr>
          <w:p w14:paraId="462C3736">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p>
        </w:tc>
      </w:tr>
      <w:tr w14:paraId="70D47D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78" w:type="dxa"/>
            <w:noWrap w:val="0"/>
            <w:tcMar>
              <w:top w:w="16" w:type="dxa"/>
              <w:left w:w="16" w:type="dxa"/>
              <w:right w:w="16" w:type="dxa"/>
            </w:tcMar>
            <w:vAlign w:val="center"/>
          </w:tcPr>
          <w:p w14:paraId="58A25A31">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建设地点</w:t>
            </w:r>
          </w:p>
        </w:tc>
        <w:tc>
          <w:tcPr>
            <w:tcW w:w="6892" w:type="dxa"/>
            <w:gridSpan w:val="3"/>
            <w:noWrap w:val="0"/>
            <w:vAlign w:val="center"/>
          </w:tcPr>
          <w:p w14:paraId="01DABA0B">
            <w:pPr>
              <w:adjustRightInd w:val="0"/>
              <w:snapToGrid w:val="0"/>
              <w:jc w:val="center"/>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eastAsia="zh-CN"/>
                <w14:textFill>
                  <w14:solidFill>
                    <w14:schemeClr w14:val="tx1"/>
                  </w14:solidFill>
                </w14:textFill>
              </w:rPr>
              <w:t>韶关市乐昌市乐昌经济开发区管理委员会后座046号</w:t>
            </w:r>
          </w:p>
        </w:tc>
      </w:tr>
      <w:tr w14:paraId="683D65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78" w:type="dxa"/>
            <w:noWrap w:val="0"/>
            <w:tcMar>
              <w:top w:w="16" w:type="dxa"/>
              <w:left w:w="16" w:type="dxa"/>
              <w:right w:w="16" w:type="dxa"/>
            </w:tcMar>
            <w:vAlign w:val="center"/>
          </w:tcPr>
          <w:p w14:paraId="0A38E31E">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地理坐标</w:t>
            </w:r>
          </w:p>
        </w:tc>
        <w:tc>
          <w:tcPr>
            <w:tcW w:w="6892" w:type="dxa"/>
            <w:gridSpan w:val="3"/>
            <w:noWrap w:val="0"/>
            <w:vAlign w:val="center"/>
          </w:tcPr>
          <w:p w14:paraId="5202A073">
            <w:pPr>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东经113°24'30.099"，北纬25°9'23.358"</w:t>
            </w:r>
          </w:p>
        </w:tc>
      </w:tr>
      <w:tr w14:paraId="01BC45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978" w:type="dxa"/>
            <w:noWrap w:val="0"/>
            <w:tcMar>
              <w:top w:w="16" w:type="dxa"/>
              <w:left w:w="16" w:type="dxa"/>
              <w:right w:w="16" w:type="dxa"/>
            </w:tcMar>
            <w:vAlign w:val="center"/>
          </w:tcPr>
          <w:p w14:paraId="6327D623">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国民经济</w:t>
            </w:r>
          </w:p>
          <w:p w14:paraId="0942D714">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行业类别</w:t>
            </w:r>
          </w:p>
        </w:tc>
        <w:tc>
          <w:tcPr>
            <w:tcW w:w="2041" w:type="dxa"/>
            <w:noWrap w:val="0"/>
            <w:vAlign w:val="center"/>
          </w:tcPr>
          <w:p w14:paraId="6F778239">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C3360金属表面处理及热处理加工</w:t>
            </w:r>
          </w:p>
        </w:tc>
        <w:tc>
          <w:tcPr>
            <w:tcW w:w="1989" w:type="dxa"/>
            <w:noWrap w:val="0"/>
            <w:vAlign w:val="center"/>
          </w:tcPr>
          <w:p w14:paraId="643D2C7A">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bookmarkStart w:id="4" w:name="_Hlk49843745"/>
            <w:r>
              <w:rPr>
                <w:rFonts w:hint="default" w:ascii="Times New Roman" w:hAnsi="Times New Roman" w:eastAsia="宋体" w:cs="Times New Roman"/>
                <w:color w:val="000000" w:themeColor="text1"/>
                <w:sz w:val="24"/>
                <w:highlight w:val="none"/>
                <w14:textFill>
                  <w14:solidFill>
                    <w14:schemeClr w14:val="tx1"/>
                  </w14:solidFill>
                </w14:textFill>
              </w:rPr>
              <w:t>建设项目</w:t>
            </w:r>
          </w:p>
          <w:p w14:paraId="343D3B03">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行业类别</w:t>
            </w:r>
            <w:bookmarkEnd w:id="4"/>
          </w:p>
        </w:tc>
        <w:tc>
          <w:tcPr>
            <w:tcW w:w="2862" w:type="dxa"/>
            <w:noWrap w:val="0"/>
            <w:vAlign w:val="center"/>
          </w:tcPr>
          <w:p w14:paraId="4D6FE867">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三十、金属制品业 33—67、金属表面处理及热处理加工 336</w:t>
            </w:r>
          </w:p>
        </w:tc>
      </w:tr>
      <w:tr w14:paraId="182EFB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34" w:hRule="atLeast"/>
          <w:jc w:val="center"/>
        </w:trPr>
        <w:tc>
          <w:tcPr>
            <w:tcW w:w="1978" w:type="dxa"/>
            <w:noWrap w:val="0"/>
            <w:tcMar>
              <w:top w:w="16" w:type="dxa"/>
              <w:left w:w="16" w:type="dxa"/>
              <w:right w:w="16" w:type="dxa"/>
            </w:tcMar>
            <w:vAlign w:val="center"/>
          </w:tcPr>
          <w:p w14:paraId="7AF8B6C9">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建设性质</w:t>
            </w:r>
          </w:p>
        </w:tc>
        <w:tc>
          <w:tcPr>
            <w:tcW w:w="2041" w:type="dxa"/>
            <w:noWrap w:val="0"/>
            <w:vAlign w:val="center"/>
          </w:tcPr>
          <w:p w14:paraId="189850F0">
            <w:pPr>
              <w:ind w:firstLine="240" w:firstLineChars="100"/>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sym w:font="Wingdings 2" w:char="0052"/>
            </w:r>
            <w:r>
              <w:rPr>
                <w:rFonts w:hint="default" w:ascii="Times New Roman" w:hAnsi="Times New Roman" w:eastAsia="宋体" w:cs="Times New Roman"/>
                <w:color w:val="000000" w:themeColor="text1"/>
                <w:sz w:val="24"/>
                <w:highlight w:val="none"/>
                <w14:textFill>
                  <w14:solidFill>
                    <w14:schemeClr w14:val="tx1"/>
                  </w14:solidFill>
                </w14:textFill>
              </w:rPr>
              <w:t>新建（迁建）</w:t>
            </w:r>
          </w:p>
          <w:p w14:paraId="29125996">
            <w:pPr>
              <w:ind w:firstLine="240" w:firstLineChars="100"/>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sym w:font="Wingdings 2" w:char="00A3"/>
            </w:r>
            <w:r>
              <w:rPr>
                <w:rFonts w:hint="default" w:ascii="Times New Roman" w:hAnsi="Times New Roman" w:eastAsia="宋体" w:cs="Times New Roman"/>
                <w:color w:val="000000" w:themeColor="text1"/>
                <w:sz w:val="24"/>
                <w:highlight w:val="none"/>
                <w14:textFill>
                  <w14:solidFill>
                    <w14:schemeClr w14:val="tx1"/>
                  </w14:solidFill>
                </w14:textFill>
              </w:rPr>
              <w:t>改建</w:t>
            </w:r>
          </w:p>
          <w:p w14:paraId="19919C30">
            <w:pPr>
              <w:ind w:firstLine="240" w:firstLineChars="100"/>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sym w:font="Wingdings 2" w:char="00A3"/>
            </w:r>
            <w:r>
              <w:rPr>
                <w:rFonts w:hint="default" w:ascii="Times New Roman" w:hAnsi="Times New Roman" w:eastAsia="宋体" w:cs="Times New Roman"/>
                <w:color w:val="000000" w:themeColor="text1"/>
                <w:sz w:val="24"/>
                <w:highlight w:val="none"/>
                <w14:textFill>
                  <w14:solidFill>
                    <w14:schemeClr w14:val="tx1"/>
                  </w14:solidFill>
                </w14:textFill>
              </w:rPr>
              <w:t>扩建</w:t>
            </w:r>
          </w:p>
          <w:p w14:paraId="052C6C91">
            <w:pPr>
              <w:ind w:firstLine="240" w:firstLineChars="100"/>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sym w:font="Wingdings 2" w:char="00A3"/>
            </w:r>
            <w:r>
              <w:rPr>
                <w:rFonts w:hint="default" w:ascii="Times New Roman" w:hAnsi="Times New Roman" w:eastAsia="宋体" w:cs="Times New Roman"/>
                <w:color w:val="000000" w:themeColor="text1"/>
                <w:sz w:val="24"/>
                <w:highlight w:val="none"/>
                <w14:textFill>
                  <w14:solidFill>
                    <w14:schemeClr w14:val="tx1"/>
                  </w14:solidFill>
                </w14:textFill>
              </w:rPr>
              <w:t>技术改造</w:t>
            </w:r>
          </w:p>
        </w:tc>
        <w:tc>
          <w:tcPr>
            <w:tcW w:w="1989" w:type="dxa"/>
            <w:noWrap w:val="0"/>
            <w:vAlign w:val="center"/>
          </w:tcPr>
          <w:p w14:paraId="79CFAF6D">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建设项目</w:t>
            </w:r>
          </w:p>
          <w:p w14:paraId="12A87414">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申报情形</w:t>
            </w:r>
          </w:p>
        </w:tc>
        <w:tc>
          <w:tcPr>
            <w:tcW w:w="2862" w:type="dxa"/>
            <w:noWrap w:val="0"/>
            <w:vAlign w:val="center"/>
          </w:tcPr>
          <w:p w14:paraId="1FA42C80">
            <w:pPr>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sym w:font="Wingdings 2" w:char="00A3"/>
            </w:r>
            <w:r>
              <w:rPr>
                <w:rFonts w:hint="default" w:ascii="Times New Roman" w:hAnsi="Times New Roman" w:eastAsia="宋体" w:cs="Times New Roman"/>
                <w:color w:val="000000" w:themeColor="text1"/>
                <w:sz w:val="24"/>
                <w:highlight w:val="none"/>
                <w14:textFill>
                  <w14:solidFill>
                    <w14:schemeClr w14:val="tx1"/>
                  </w14:solidFill>
                </w14:textFill>
              </w:rPr>
              <w:t>首次申报项目</w:t>
            </w:r>
          </w:p>
          <w:p w14:paraId="67F1780F">
            <w:pPr>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□不予批准后再次申报项目</w:t>
            </w:r>
          </w:p>
          <w:p w14:paraId="5493AF68">
            <w:pPr>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□超五年重新审核项目</w:t>
            </w:r>
          </w:p>
          <w:p w14:paraId="17D4CAEC">
            <w:pPr>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重大变动重新报批项目</w:t>
            </w:r>
          </w:p>
        </w:tc>
      </w:tr>
      <w:tr w14:paraId="7F21E0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978" w:type="dxa"/>
            <w:noWrap w:val="0"/>
            <w:tcMar>
              <w:top w:w="16" w:type="dxa"/>
              <w:left w:w="16" w:type="dxa"/>
              <w:right w:w="16" w:type="dxa"/>
            </w:tcMar>
            <w:vAlign w:val="center"/>
          </w:tcPr>
          <w:p w14:paraId="037B1B02">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项目审批（核准/</w:t>
            </w:r>
          </w:p>
          <w:p w14:paraId="0A30172F">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备案）部门（选填）</w:t>
            </w:r>
          </w:p>
        </w:tc>
        <w:tc>
          <w:tcPr>
            <w:tcW w:w="2041" w:type="dxa"/>
            <w:noWrap w:val="0"/>
            <w:vAlign w:val="center"/>
          </w:tcPr>
          <w:p w14:paraId="0DBCE66E">
            <w:pPr>
              <w:adjustRightInd w:val="0"/>
              <w:snapToGrid w:val="0"/>
              <w:jc w:val="center"/>
              <w:rPr>
                <w:rFonts w:hint="eastAsia" w:ascii="Times New Roman" w:hAnsi="Times New Roman" w:eastAsia="宋体" w:cs="Times New Roman"/>
                <w:color w:val="000000" w:themeColor="text1"/>
                <w:sz w:val="24"/>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p>
        </w:tc>
        <w:tc>
          <w:tcPr>
            <w:tcW w:w="1989" w:type="dxa"/>
            <w:noWrap w:val="0"/>
            <w:vAlign w:val="center"/>
          </w:tcPr>
          <w:p w14:paraId="58D0B87B">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项目审批（核准/</w:t>
            </w:r>
          </w:p>
          <w:p w14:paraId="53C92757">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备案）文号（选填）</w:t>
            </w:r>
          </w:p>
        </w:tc>
        <w:tc>
          <w:tcPr>
            <w:tcW w:w="2862" w:type="dxa"/>
            <w:noWrap w:val="0"/>
            <w:vAlign w:val="center"/>
          </w:tcPr>
          <w:p w14:paraId="5C7D7844">
            <w:pPr>
              <w:adjustRightInd w:val="0"/>
              <w:snapToGrid w:val="0"/>
              <w:jc w:val="center"/>
              <w:rPr>
                <w:rFonts w:hint="eastAsia" w:ascii="Times New Roman" w:hAnsi="Times New Roman" w:eastAsia="宋体" w:cs="Times New Roman"/>
                <w:color w:val="000000" w:themeColor="text1"/>
                <w:sz w:val="24"/>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p>
        </w:tc>
      </w:tr>
      <w:tr w14:paraId="480BB5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78" w:type="dxa"/>
            <w:noWrap w:val="0"/>
            <w:tcMar>
              <w:top w:w="16" w:type="dxa"/>
              <w:left w:w="16" w:type="dxa"/>
              <w:right w:w="16" w:type="dxa"/>
            </w:tcMar>
            <w:vAlign w:val="center"/>
          </w:tcPr>
          <w:p w14:paraId="3B7A3059">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总投资（万元）</w:t>
            </w:r>
          </w:p>
        </w:tc>
        <w:tc>
          <w:tcPr>
            <w:tcW w:w="2041" w:type="dxa"/>
            <w:noWrap w:val="0"/>
            <w:vAlign w:val="center"/>
          </w:tcPr>
          <w:p w14:paraId="590D0286">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15000</w:t>
            </w:r>
          </w:p>
        </w:tc>
        <w:tc>
          <w:tcPr>
            <w:tcW w:w="1989" w:type="dxa"/>
            <w:noWrap w:val="0"/>
            <w:tcMar>
              <w:top w:w="16" w:type="dxa"/>
              <w:left w:w="16" w:type="dxa"/>
              <w:right w:w="16" w:type="dxa"/>
            </w:tcMar>
            <w:vAlign w:val="center"/>
          </w:tcPr>
          <w:p w14:paraId="0398D9CF">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环保投资（万元）</w:t>
            </w:r>
          </w:p>
        </w:tc>
        <w:tc>
          <w:tcPr>
            <w:tcW w:w="2862" w:type="dxa"/>
            <w:noWrap w:val="0"/>
            <w:vAlign w:val="center"/>
          </w:tcPr>
          <w:p w14:paraId="2EFD999A">
            <w:pPr>
              <w:adjustRightInd w:val="0"/>
              <w:snapToGrid w:val="0"/>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3</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00</w:t>
            </w:r>
          </w:p>
        </w:tc>
      </w:tr>
      <w:tr w14:paraId="71366D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78" w:type="dxa"/>
            <w:noWrap w:val="0"/>
            <w:tcMar>
              <w:top w:w="16" w:type="dxa"/>
              <w:left w:w="16" w:type="dxa"/>
              <w:right w:w="16" w:type="dxa"/>
            </w:tcMar>
            <w:vAlign w:val="center"/>
          </w:tcPr>
          <w:p w14:paraId="6148A1A1">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环保投资占比（%）</w:t>
            </w:r>
          </w:p>
        </w:tc>
        <w:tc>
          <w:tcPr>
            <w:tcW w:w="2041" w:type="dxa"/>
            <w:noWrap w:val="0"/>
            <w:vAlign w:val="center"/>
          </w:tcPr>
          <w:p w14:paraId="7963B011">
            <w:pPr>
              <w:adjustRightInd w:val="0"/>
              <w:snapToGrid w:val="0"/>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2</w:t>
            </w:r>
          </w:p>
        </w:tc>
        <w:tc>
          <w:tcPr>
            <w:tcW w:w="1989" w:type="dxa"/>
            <w:noWrap w:val="0"/>
            <w:tcMar>
              <w:top w:w="16" w:type="dxa"/>
              <w:left w:w="16" w:type="dxa"/>
              <w:right w:w="16" w:type="dxa"/>
            </w:tcMar>
            <w:vAlign w:val="center"/>
          </w:tcPr>
          <w:p w14:paraId="25A019D7">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施工工期</w:t>
            </w:r>
          </w:p>
        </w:tc>
        <w:tc>
          <w:tcPr>
            <w:tcW w:w="2862" w:type="dxa"/>
            <w:noWrap w:val="0"/>
            <w:vAlign w:val="center"/>
          </w:tcPr>
          <w:p w14:paraId="137F0DD7">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highlight w:val="none"/>
                <w14:textFill>
                  <w14:solidFill>
                    <w14:schemeClr w14:val="tx1"/>
                  </w14:solidFill>
                </w14:textFill>
              </w:rPr>
              <w:t>个月</w:t>
            </w:r>
          </w:p>
        </w:tc>
      </w:tr>
      <w:tr w14:paraId="1AF531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78" w:type="dxa"/>
            <w:noWrap w:val="0"/>
            <w:tcMar>
              <w:top w:w="16" w:type="dxa"/>
              <w:left w:w="16" w:type="dxa"/>
              <w:right w:w="16" w:type="dxa"/>
            </w:tcMar>
            <w:vAlign w:val="center"/>
          </w:tcPr>
          <w:p w14:paraId="41EAC164">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是否开工建设</w:t>
            </w:r>
          </w:p>
        </w:tc>
        <w:tc>
          <w:tcPr>
            <w:tcW w:w="2041" w:type="dxa"/>
            <w:noWrap w:val="0"/>
            <w:vAlign w:val="center"/>
          </w:tcPr>
          <w:p w14:paraId="263B1782">
            <w:pPr>
              <w:adjustRightInd w:val="0"/>
              <w:snapToGrid w:val="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sym w:font="Wingdings 2" w:char="00A3"/>
            </w:r>
            <w:r>
              <w:rPr>
                <w:rFonts w:hint="default" w:ascii="Times New Roman" w:hAnsi="Times New Roman" w:eastAsia="宋体" w:cs="Times New Roman"/>
                <w:color w:val="000000" w:themeColor="text1"/>
                <w:sz w:val="24"/>
                <w:highlight w:val="none"/>
                <w14:textFill>
                  <w14:solidFill>
                    <w14:schemeClr w14:val="tx1"/>
                  </w14:solidFill>
                </w14:textFill>
              </w:rPr>
              <w:t>否</w:t>
            </w:r>
          </w:p>
          <w:p w14:paraId="50E12261">
            <w:pPr>
              <w:adjustRightInd w:val="0"/>
              <w:snapToGrid w:val="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sym w:font="Wingdings 2" w:char="0052"/>
            </w:r>
            <w:r>
              <w:rPr>
                <w:rFonts w:hint="default" w:ascii="Times New Roman" w:hAnsi="Times New Roman" w:eastAsia="宋体" w:cs="Times New Roman"/>
                <w:color w:val="000000" w:themeColor="text1"/>
                <w:sz w:val="24"/>
                <w:highlight w:val="none"/>
                <w14:textFill>
                  <w14:solidFill>
                    <w14:schemeClr w14:val="tx1"/>
                  </w14:solidFill>
                </w14:textFill>
              </w:rPr>
              <w:t>是：</w:t>
            </w:r>
            <w:r>
              <w:rPr>
                <w:rFonts w:hint="default" w:ascii="Times New Roman" w:hAnsi="Times New Roman" w:eastAsia="宋体" w:cs="Times New Roman"/>
                <w:color w:val="000000" w:themeColor="text1"/>
                <w:sz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sz w:val="24"/>
                <w:highlight w:val="none"/>
                <w:u w:val="single"/>
                <w:lang w:val="en-US" w:eastAsia="zh-CN"/>
                <w14:textFill>
                  <w14:solidFill>
                    <w14:schemeClr w14:val="tx1"/>
                  </w14:solidFill>
                </w14:textFill>
              </w:rPr>
              <w:t>原项目在建设过程中发生重大变动</w:t>
            </w:r>
            <w:r>
              <w:rPr>
                <w:rFonts w:hint="default" w:ascii="Times New Roman" w:hAnsi="Times New Roman" w:eastAsia="宋体" w:cs="Times New Roman"/>
                <w:color w:val="000000" w:themeColor="text1"/>
                <w:sz w:val="24"/>
                <w:highlight w:val="none"/>
                <w:u w:val="single"/>
                <w14:textFill>
                  <w14:solidFill>
                    <w14:schemeClr w14:val="tx1"/>
                  </w14:solidFill>
                </w14:textFill>
              </w:rPr>
              <w:t xml:space="preserve">         </w:t>
            </w:r>
          </w:p>
        </w:tc>
        <w:tc>
          <w:tcPr>
            <w:tcW w:w="1989" w:type="dxa"/>
            <w:noWrap w:val="0"/>
            <w:tcMar>
              <w:top w:w="16" w:type="dxa"/>
              <w:left w:w="16" w:type="dxa"/>
              <w:right w:w="16" w:type="dxa"/>
            </w:tcMar>
            <w:vAlign w:val="center"/>
          </w:tcPr>
          <w:p w14:paraId="2DCD810F">
            <w:pPr>
              <w:adjustRightInd w:val="0"/>
              <w:snapToGrid w:val="0"/>
              <w:jc w:val="center"/>
              <w:rPr>
                <w:rFonts w:hint="default" w:ascii="Times New Roman" w:hAnsi="Times New Roman" w:eastAsia="宋体" w:cs="Times New Roman"/>
                <w:color w:val="000000" w:themeColor="text1"/>
                <w:spacing w:val="-6"/>
                <w:sz w:val="24"/>
                <w:highlight w:val="none"/>
                <w14:textFill>
                  <w14:solidFill>
                    <w14:schemeClr w14:val="tx1"/>
                  </w14:solidFill>
                </w14:textFill>
              </w:rPr>
            </w:pPr>
            <w:r>
              <w:rPr>
                <w:rFonts w:hint="default" w:ascii="Times New Roman" w:hAnsi="Times New Roman" w:eastAsia="宋体" w:cs="Times New Roman"/>
                <w:color w:val="000000" w:themeColor="text1"/>
                <w:spacing w:val="-6"/>
                <w:sz w:val="24"/>
                <w:highlight w:val="none"/>
                <w14:textFill>
                  <w14:solidFill>
                    <w14:schemeClr w14:val="tx1"/>
                  </w14:solidFill>
                </w14:textFill>
              </w:rPr>
              <w:t>用地（用海）</w:t>
            </w:r>
          </w:p>
          <w:p w14:paraId="299CB2BE">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pacing w:val="-6"/>
                <w:sz w:val="24"/>
                <w:highlight w:val="none"/>
                <w14:textFill>
                  <w14:solidFill>
                    <w14:schemeClr w14:val="tx1"/>
                  </w14:solidFill>
                </w14:textFill>
              </w:rPr>
              <w:t>面积（m</w:t>
            </w:r>
            <w:r>
              <w:rPr>
                <w:rFonts w:hint="default" w:ascii="Times New Roman" w:hAnsi="Times New Roman" w:eastAsia="宋体" w:cs="Times New Roman"/>
                <w:color w:val="000000" w:themeColor="text1"/>
                <w:spacing w:val="-6"/>
                <w:sz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pacing w:val="-6"/>
                <w:sz w:val="24"/>
                <w:highlight w:val="none"/>
                <w14:textFill>
                  <w14:solidFill>
                    <w14:schemeClr w14:val="tx1"/>
                  </w14:solidFill>
                </w14:textFill>
              </w:rPr>
              <w:t>）</w:t>
            </w:r>
          </w:p>
        </w:tc>
        <w:tc>
          <w:tcPr>
            <w:tcW w:w="2862" w:type="dxa"/>
            <w:noWrap w:val="0"/>
            <w:vAlign w:val="center"/>
          </w:tcPr>
          <w:p w14:paraId="1D8830B3">
            <w:pPr>
              <w:adjustRightInd w:val="0"/>
              <w:snapToGrid w:val="0"/>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54139.29</w:t>
            </w:r>
          </w:p>
        </w:tc>
      </w:tr>
      <w:tr w14:paraId="1B5791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78" w:type="dxa"/>
            <w:noWrap w:val="0"/>
            <w:vAlign w:val="center"/>
          </w:tcPr>
          <w:p w14:paraId="6E9E060D">
            <w:pPr>
              <w:autoSpaceDE w:val="0"/>
              <w:autoSpaceDN w:val="0"/>
              <w:adjustRightInd w:val="0"/>
              <w:snapToGrid w:val="0"/>
              <w:jc w:val="center"/>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专项评价设置情况</w:t>
            </w:r>
          </w:p>
        </w:tc>
        <w:tc>
          <w:tcPr>
            <w:tcW w:w="6892" w:type="dxa"/>
            <w:gridSpan w:val="3"/>
            <w:noWrap w:val="0"/>
            <w:vAlign w:val="center"/>
          </w:tcPr>
          <w:p w14:paraId="296721F2">
            <w:pPr>
              <w:pStyle w:val="120"/>
              <w:keepNext w:val="0"/>
              <w:keepLines w:val="0"/>
              <w:pageBreakBefore w:val="0"/>
              <w:widowControl w:val="0"/>
              <w:kinsoku/>
              <w:wordWrap/>
              <w:overflowPunct/>
              <w:topLinePunct w:val="0"/>
              <w:autoSpaceDE/>
              <w:autoSpaceDN/>
              <w:bidi w:val="0"/>
              <w:adjustRightInd/>
              <w:snapToGrid/>
              <w:spacing w:line="100" w:lineRule="exact"/>
              <w:jc w:val="left"/>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p>
          <w:p w14:paraId="0BA9A221">
            <w:pPr>
              <w:pStyle w:val="120"/>
              <w:adjustRightInd/>
              <w:jc w:val="left"/>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根据《建设项目环境影响报告表编制技术指南（污染影响类）（试行）》中“表1专项评价设置原则表”，本项目专项评价设置情况如下：</w:t>
            </w:r>
          </w:p>
          <w:p w14:paraId="49A3CDDC">
            <w:pPr>
              <w:pStyle w:val="15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专项评价设置情况</w:t>
            </w:r>
          </w:p>
          <w:tbl>
            <w:tblPr>
              <w:tblStyle w:val="132"/>
              <w:tblW w:w="4993"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12"/>
              <w:gridCol w:w="3057"/>
              <w:gridCol w:w="2226"/>
              <w:gridCol w:w="867"/>
            </w:tblGrid>
            <w:tr w14:paraId="656EF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384" w:type="pct"/>
                  <w:tcBorders>
                    <w:tl2br w:val="nil"/>
                    <w:tr2bl w:val="nil"/>
                  </w:tcBorders>
                  <w:noWrap w:val="0"/>
                  <w:vAlign w:val="center"/>
                </w:tcPr>
                <w:p w14:paraId="65C2A5BC">
                  <w:pPr>
                    <w:widowControl w:val="0"/>
                    <w:kinsoku/>
                    <w:autoSpaceDE/>
                    <w:autoSpaceDN/>
                    <w:adjustRightInd/>
                    <w:snapToGrid/>
                    <w:spacing w:line="240" w:lineRule="auto"/>
                    <w:jc w:val="center"/>
                    <w:textAlignment w:val="auto"/>
                    <w:rPr>
                      <w:rFonts w:hint="default" w:ascii="Times New Roman" w:hAnsi="Times New Roman" w:eastAsia="宋体" w:cs="Times New Roman"/>
                      <w:b/>
                      <w:bCs/>
                      <w:snapToGrid/>
                      <w:color w:val="000000" w:themeColor="text1"/>
                      <w:kern w:val="2"/>
                      <w:szCs w:val="21"/>
                      <w:highlight w:val="none"/>
                      <w:lang w:eastAsia="zh-CN"/>
                      <w14:textFill>
                        <w14:solidFill>
                          <w14:schemeClr w14:val="tx1"/>
                        </w14:solidFill>
                      </w14:textFill>
                    </w:rPr>
                  </w:pPr>
                  <w:r>
                    <w:rPr>
                      <w:rFonts w:hint="default" w:ascii="Times New Roman" w:hAnsi="Times New Roman" w:eastAsia="宋体" w:cs="Times New Roman"/>
                      <w:b/>
                      <w:bCs/>
                      <w:snapToGrid/>
                      <w:color w:val="000000" w:themeColor="text1"/>
                      <w:kern w:val="2"/>
                      <w:szCs w:val="21"/>
                      <w:highlight w:val="none"/>
                      <w:lang w:eastAsia="zh-CN"/>
                      <w14:textFill>
                        <w14:solidFill>
                          <w14:schemeClr w14:val="tx1"/>
                        </w14:solidFill>
                      </w14:textFill>
                    </w:rPr>
                    <w:t>专项类别</w:t>
                  </w:r>
                </w:p>
              </w:tc>
              <w:tc>
                <w:tcPr>
                  <w:tcW w:w="2294" w:type="pct"/>
                  <w:tcBorders>
                    <w:tl2br w:val="nil"/>
                    <w:tr2bl w:val="nil"/>
                  </w:tcBorders>
                  <w:noWrap w:val="0"/>
                  <w:vAlign w:val="center"/>
                </w:tcPr>
                <w:p w14:paraId="2585FB9D">
                  <w:pPr>
                    <w:widowControl w:val="0"/>
                    <w:kinsoku/>
                    <w:autoSpaceDE/>
                    <w:autoSpaceDN/>
                    <w:adjustRightInd/>
                    <w:snapToGrid/>
                    <w:spacing w:line="240" w:lineRule="auto"/>
                    <w:jc w:val="center"/>
                    <w:textAlignment w:val="auto"/>
                    <w:rPr>
                      <w:rFonts w:hint="default" w:ascii="Times New Roman" w:hAnsi="Times New Roman" w:eastAsia="宋体" w:cs="Times New Roman"/>
                      <w:b/>
                      <w:bCs/>
                      <w:snapToGrid/>
                      <w:color w:val="000000" w:themeColor="text1"/>
                      <w:kern w:val="2"/>
                      <w:szCs w:val="21"/>
                      <w:highlight w:val="none"/>
                      <w:lang w:eastAsia="zh-CN"/>
                      <w14:textFill>
                        <w14:solidFill>
                          <w14:schemeClr w14:val="tx1"/>
                        </w14:solidFill>
                      </w14:textFill>
                    </w:rPr>
                  </w:pPr>
                  <w:r>
                    <w:rPr>
                      <w:rFonts w:hint="default" w:ascii="Times New Roman" w:hAnsi="Times New Roman" w:eastAsia="宋体" w:cs="Times New Roman"/>
                      <w:b/>
                      <w:bCs/>
                      <w:snapToGrid/>
                      <w:color w:val="000000" w:themeColor="text1"/>
                      <w:kern w:val="2"/>
                      <w:szCs w:val="21"/>
                      <w:highlight w:val="none"/>
                      <w:lang w:eastAsia="zh-CN"/>
                      <w14:textFill>
                        <w14:solidFill>
                          <w14:schemeClr w14:val="tx1"/>
                        </w14:solidFill>
                      </w14:textFill>
                    </w:rPr>
                    <w:t>涉及项目类别</w:t>
                  </w:r>
                </w:p>
              </w:tc>
              <w:tc>
                <w:tcPr>
                  <w:tcW w:w="1671" w:type="pct"/>
                  <w:tcBorders>
                    <w:tl2br w:val="nil"/>
                    <w:tr2bl w:val="nil"/>
                  </w:tcBorders>
                  <w:noWrap w:val="0"/>
                  <w:vAlign w:val="center"/>
                </w:tcPr>
                <w:p w14:paraId="3F33EC97">
                  <w:pPr>
                    <w:widowControl w:val="0"/>
                    <w:kinsoku/>
                    <w:autoSpaceDE/>
                    <w:autoSpaceDN/>
                    <w:adjustRightInd/>
                    <w:snapToGrid/>
                    <w:spacing w:line="240" w:lineRule="auto"/>
                    <w:jc w:val="center"/>
                    <w:textAlignment w:val="auto"/>
                    <w:rPr>
                      <w:rFonts w:hint="default" w:ascii="Times New Roman" w:hAnsi="Times New Roman" w:eastAsia="宋体" w:cs="Times New Roman"/>
                      <w:b/>
                      <w:bCs/>
                      <w:snapToGrid/>
                      <w:color w:val="000000" w:themeColor="text1"/>
                      <w:kern w:val="2"/>
                      <w:szCs w:val="21"/>
                      <w:highlight w:val="none"/>
                      <w:lang w:eastAsia="zh-CN"/>
                      <w14:textFill>
                        <w14:solidFill>
                          <w14:schemeClr w14:val="tx1"/>
                        </w14:solidFill>
                      </w14:textFill>
                    </w:rPr>
                  </w:pPr>
                  <w:r>
                    <w:rPr>
                      <w:rFonts w:hint="default" w:ascii="Times New Roman" w:hAnsi="Times New Roman" w:eastAsia="宋体" w:cs="Times New Roman"/>
                      <w:b/>
                      <w:bCs/>
                      <w:snapToGrid/>
                      <w:color w:val="000000" w:themeColor="text1"/>
                      <w:kern w:val="2"/>
                      <w:szCs w:val="21"/>
                      <w:highlight w:val="none"/>
                      <w:lang w:eastAsia="zh-CN"/>
                      <w14:textFill>
                        <w14:solidFill>
                          <w14:schemeClr w14:val="tx1"/>
                        </w14:solidFill>
                      </w14:textFill>
                    </w:rPr>
                    <w:t>本项目情况</w:t>
                  </w:r>
                </w:p>
              </w:tc>
              <w:tc>
                <w:tcPr>
                  <w:tcW w:w="649" w:type="pct"/>
                  <w:tcBorders>
                    <w:tl2br w:val="nil"/>
                    <w:tr2bl w:val="nil"/>
                  </w:tcBorders>
                  <w:noWrap w:val="0"/>
                  <w:vAlign w:val="center"/>
                </w:tcPr>
                <w:p w14:paraId="1B555A2C">
                  <w:pPr>
                    <w:widowControl w:val="0"/>
                    <w:kinsoku/>
                    <w:autoSpaceDE/>
                    <w:autoSpaceDN/>
                    <w:adjustRightInd/>
                    <w:snapToGrid/>
                    <w:spacing w:line="240" w:lineRule="auto"/>
                    <w:jc w:val="center"/>
                    <w:textAlignment w:val="auto"/>
                    <w:rPr>
                      <w:rFonts w:hint="default" w:ascii="Times New Roman" w:hAnsi="Times New Roman" w:eastAsia="宋体" w:cs="Times New Roman"/>
                      <w:b/>
                      <w:bCs/>
                      <w:snapToGrid/>
                      <w:color w:val="000000" w:themeColor="text1"/>
                      <w:kern w:val="2"/>
                      <w:szCs w:val="21"/>
                      <w:highlight w:val="none"/>
                      <w:lang w:eastAsia="zh-CN"/>
                      <w14:textFill>
                        <w14:solidFill>
                          <w14:schemeClr w14:val="tx1"/>
                        </w14:solidFill>
                      </w14:textFill>
                    </w:rPr>
                  </w:pPr>
                  <w:r>
                    <w:rPr>
                      <w:rFonts w:hint="default" w:ascii="Times New Roman" w:hAnsi="Times New Roman" w:eastAsia="宋体" w:cs="Times New Roman"/>
                      <w:b/>
                      <w:bCs/>
                      <w:snapToGrid/>
                      <w:color w:val="000000" w:themeColor="text1"/>
                      <w:kern w:val="2"/>
                      <w:szCs w:val="21"/>
                      <w:highlight w:val="none"/>
                      <w:lang w:eastAsia="zh-CN"/>
                      <w14:textFill>
                        <w14:solidFill>
                          <w14:schemeClr w14:val="tx1"/>
                        </w14:solidFill>
                      </w14:textFill>
                    </w:rPr>
                    <w:t>是否设置</w:t>
                  </w:r>
                </w:p>
              </w:tc>
            </w:tr>
            <w:tr w14:paraId="21CCD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384" w:type="pct"/>
                  <w:tcBorders>
                    <w:tl2br w:val="nil"/>
                    <w:tr2bl w:val="nil"/>
                  </w:tcBorders>
                  <w:noWrap w:val="0"/>
                  <w:vAlign w:val="center"/>
                </w:tcPr>
                <w:p w14:paraId="5A6300F7">
                  <w:pPr>
                    <w:widowControl w:val="0"/>
                    <w:kinsoku/>
                    <w:autoSpaceDE/>
                    <w:autoSpaceDN/>
                    <w:adjustRightInd/>
                    <w:snapToGrid/>
                    <w:spacing w:line="240" w:lineRule="auto"/>
                    <w:jc w:val="center"/>
                    <w:textAlignment w:val="auto"/>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pPr>
                  <w:r>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t>大气</w:t>
                  </w:r>
                </w:p>
              </w:tc>
              <w:tc>
                <w:tcPr>
                  <w:tcW w:w="2294" w:type="pct"/>
                  <w:tcBorders>
                    <w:tl2br w:val="nil"/>
                    <w:tr2bl w:val="nil"/>
                  </w:tcBorders>
                  <w:noWrap w:val="0"/>
                  <w:vAlign w:val="center"/>
                </w:tcPr>
                <w:p w14:paraId="17441BB8">
                  <w:pPr>
                    <w:widowControl w:val="0"/>
                    <w:kinsoku/>
                    <w:autoSpaceDE/>
                    <w:autoSpaceDN/>
                    <w:adjustRightInd/>
                    <w:snapToGrid/>
                    <w:spacing w:line="240" w:lineRule="auto"/>
                    <w:jc w:val="center"/>
                    <w:textAlignment w:val="auto"/>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pPr>
                  <w:r>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t>排放废气含有毒有害污染物</w:t>
                  </w:r>
                  <w:r>
                    <w:rPr>
                      <w:rFonts w:hint="default" w:ascii="Times New Roman" w:hAnsi="Times New Roman" w:eastAsia="宋体" w:cs="Times New Roman"/>
                      <w:b w:val="0"/>
                      <w:bCs w:val="0"/>
                      <w:snapToGrid/>
                      <w:color w:val="000000" w:themeColor="text1"/>
                      <w:kern w:val="2"/>
                      <w:szCs w:val="21"/>
                      <w:highlight w:val="none"/>
                      <w:vertAlign w:val="superscript"/>
                      <w:lang w:eastAsia="zh-CN"/>
                      <w14:textFill>
                        <w14:solidFill>
                          <w14:schemeClr w14:val="tx1"/>
                        </w14:solidFill>
                      </w14:textFill>
                    </w:rPr>
                    <w:t>1</w:t>
                  </w:r>
                  <w:r>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t>、二噁英、苯并[a]芘、氰化物、氯气且厂界外500米范围内有环境空气保护目标</w:t>
                  </w:r>
                  <w:r>
                    <w:rPr>
                      <w:rFonts w:hint="default" w:ascii="Times New Roman" w:hAnsi="Times New Roman" w:eastAsia="宋体" w:cs="Times New Roman"/>
                      <w:b w:val="0"/>
                      <w:bCs w:val="0"/>
                      <w:snapToGrid/>
                      <w:color w:val="000000" w:themeColor="text1"/>
                      <w:kern w:val="2"/>
                      <w:szCs w:val="21"/>
                      <w:highlight w:val="none"/>
                      <w:vertAlign w:val="superscript"/>
                      <w:lang w:eastAsia="zh-CN"/>
                      <w14:textFill>
                        <w14:solidFill>
                          <w14:schemeClr w14:val="tx1"/>
                        </w14:solidFill>
                      </w14:textFill>
                    </w:rPr>
                    <w:t>2</w:t>
                  </w:r>
                  <w:r>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t>的建设项目</w:t>
                  </w:r>
                </w:p>
              </w:tc>
              <w:tc>
                <w:tcPr>
                  <w:tcW w:w="2226" w:type="dxa"/>
                  <w:tcBorders>
                    <w:tl2br w:val="nil"/>
                    <w:tr2bl w:val="nil"/>
                  </w:tcBorders>
                  <w:noWrap w:val="0"/>
                  <w:vAlign w:val="center"/>
                </w:tcPr>
                <w:p w14:paraId="47C6DA2D">
                  <w:pPr>
                    <w:widowControl w:val="0"/>
                    <w:kinsoku/>
                    <w:autoSpaceDE/>
                    <w:autoSpaceDN/>
                    <w:adjustRightInd/>
                    <w:snapToGrid/>
                    <w:spacing w:line="240" w:lineRule="auto"/>
                    <w:jc w:val="center"/>
                    <w:textAlignment w:val="auto"/>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pPr>
                  <w:r>
                    <w:rPr>
                      <w:rFonts w:hint="default" w:ascii="Times New Roman" w:hAnsi="Times New Roman" w:eastAsia="宋体" w:cs="Times New Roman"/>
                      <w:b w:val="0"/>
                      <w:bCs w:val="0"/>
                      <w:snapToGrid/>
                      <w:color w:val="000000" w:themeColor="text1"/>
                      <w:kern w:val="2"/>
                      <w:szCs w:val="21"/>
                      <w:highlight w:val="none"/>
                      <w:lang w:val="en-US" w:eastAsia="zh-CN"/>
                      <w14:textFill>
                        <w14:solidFill>
                          <w14:schemeClr w14:val="tx1"/>
                        </w14:solidFill>
                      </w14:textFill>
                    </w:rPr>
                    <w:t>本项目排放的</w:t>
                  </w:r>
                  <w:r>
                    <w:rPr>
                      <w:rFonts w:hint="eastAsia" w:ascii="Times New Roman" w:hAnsi="Times New Roman" w:eastAsia="宋体" w:cs="Times New Roman"/>
                      <w:b w:val="0"/>
                      <w:bCs w:val="0"/>
                      <w:snapToGrid/>
                      <w:color w:val="000000" w:themeColor="text1"/>
                      <w:kern w:val="2"/>
                      <w:szCs w:val="21"/>
                      <w:highlight w:val="none"/>
                      <w:lang w:val="en-US" w:eastAsia="zh-CN"/>
                      <w14:textFill>
                        <w14:solidFill>
                          <w14:schemeClr w14:val="tx1"/>
                        </w14:solidFill>
                      </w14:textFill>
                    </w:rPr>
                    <w:t>废气</w:t>
                  </w:r>
                  <w:r>
                    <w:rPr>
                      <w:rFonts w:hint="default" w:ascii="Times New Roman" w:hAnsi="Times New Roman" w:eastAsia="宋体" w:cs="Times New Roman"/>
                      <w:b w:val="0"/>
                      <w:bCs w:val="0"/>
                      <w:snapToGrid/>
                      <w:color w:val="000000" w:themeColor="text1"/>
                      <w:kern w:val="2"/>
                      <w:szCs w:val="21"/>
                      <w:highlight w:val="none"/>
                      <w:lang w:val="en-US" w:eastAsia="zh-CN"/>
                      <w14:textFill>
                        <w14:solidFill>
                          <w14:schemeClr w14:val="tx1"/>
                        </w14:solidFill>
                      </w14:textFill>
                    </w:rPr>
                    <w:t>不涉及技术指南规定的有毒有害废气污染物</w:t>
                  </w:r>
                </w:p>
              </w:tc>
              <w:tc>
                <w:tcPr>
                  <w:tcW w:w="649" w:type="pct"/>
                  <w:tcBorders>
                    <w:tl2br w:val="nil"/>
                    <w:tr2bl w:val="nil"/>
                  </w:tcBorders>
                  <w:noWrap w:val="0"/>
                  <w:vAlign w:val="center"/>
                </w:tcPr>
                <w:p w14:paraId="7FCFE6CC">
                  <w:pPr>
                    <w:widowControl w:val="0"/>
                    <w:kinsoku/>
                    <w:autoSpaceDE/>
                    <w:autoSpaceDN/>
                    <w:adjustRightInd/>
                    <w:snapToGrid/>
                    <w:spacing w:line="240" w:lineRule="auto"/>
                    <w:jc w:val="center"/>
                    <w:textAlignment w:val="auto"/>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pPr>
                  <w:r>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t>否</w:t>
                  </w:r>
                </w:p>
              </w:tc>
            </w:tr>
            <w:tr w14:paraId="44D8D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384" w:type="pct"/>
                  <w:tcBorders>
                    <w:tl2br w:val="nil"/>
                    <w:tr2bl w:val="nil"/>
                  </w:tcBorders>
                  <w:noWrap w:val="0"/>
                  <w:vAlign w:val="center"/>
                </w:tcPr>
                <w:p w14:paraId="4AE28995">
                  <w:pPr>
                    <w:widowControl w:val="0"/>
                    <w:kinsoku/>
                    <w:autoSpaceDE/>
                    <w:autoSpaceDN/>
                    <w:adjustRightInd/>
                    <w:snapToGrid/>
                    <w:spacing w:line="240" w:lineRule="auto"/>
                    <w:jc w:val="center"/>
                    <w:textAlignment w:val="auto"/>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pPr>
                  <w:r>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t>地表水</w:t>
                  </w:r>
                </w:p>
              </w:tc>
              <w:tc>
                <w:tcPr>
                  <w:tcW w:w="2294" w:type="pct"/>
                  <w:tcBorders>
                    <w:tl2br w:val="nil"/>
                    <w:tr2bl w:val="nil"/>
                  </w:tcBorders>
                  <w:noWrap w:val="0"/>
                  <w:vAlign w:val="center"/>
                </w:tcPr>
                <w:p w14:paraId="2278C630">
                  <w:pPr>
                    <w:widowControl w:val="0"/>
                    <w:kinsoku/>
                    <w:autoSpaceDE/>
                    <w:autoSpaceDN/>
                    <w:adjustRightInd/>
                    <w:snapToGrid/>
                    <w:spacing w:line="240" w:lineRule="auto"/>
                    <w:jc w:val="center"/>
                    <w:textAlignment w:val="auto"/>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pPr>
                  <w:r>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t>新增工业废水直排建设项目（槽罐车外送污水处理厂的除外）；新增废水直排的污水集中处理厂</w:t>
                  </w:r>
                </w:p>
              </w:tc>
              <w:tc>
                <w:tcPr>
                  <w:tcW w:w="2226" w:type="dxa"/>
                  <w:tcBorders>
                    <w:tl2br w:val="nil"/>
                    <w:tr2bl w:val="nil"/>
                  </w:tcBorders>
                  <w:noWrap w:val="0"/>
                  <w:vAlign w:val="center"/>
                </w:tcPr>
                <w:p w14:paraId="661A4F57">
                  <w:pPr>
                    <w:widowControl w:val="0"/>
                    <w:kinsoku/>
                    <w:autoSpaceDE/>
                    <w:autoSpaceDN/>
                    <w:adjustRightInd/>
                    <w:snapToGrid/>
                    <w:spacing w:line="240" w:lineRule="auto"/>
                    <w:jc w:val="center"/>
                    <w:textAlignment w:val="auto"/>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pPr>
                  <w:r>
                    <w:rPr>
                      <w:rFonts w:hint="default" w:ascii="Times New Roman" w:hAnsi="Times New Roman" w:eastAsia="宋体" w:cs="Times New Roman"/>
                      <w:b w:val="0"/>
                      <w:bCs w:val="0"/>
                      <w:snapToGrid/>
                      <w:color w:val="000000" w:themeColor="text1"/>
                      <w:kern w:val="2"/>
                      <w:szCs w:val="21"/>
                      <w:highlight w:val="none"/>
                      <w:lang w:val="en-US" w:eastAsia="zh-CN"/>
                      <w14:textFill>
                        <w14:solidFill>
                          <w14:schemeClr w14:val="tx1"/>
                        </w14:solidFill>
                      </w14:textFill>
                    </w:rPr>
                    <w:t>项目废水自处理后依托园区污水处理厂进一步处理，达标后排放至武江，不直排</w:t>
                  </w:r>
                </w:p>
              </w:tc>
              <w:tc>
                <w:tcPr>
                  <w:tcW w:w="649" w:type="pct"/>
                  <w:tcBorders>
                    <w:tl2br w:val="nil"/>
                    <w:tr2bl w:val="nil"/>
                  </w:tcBorders>
                  <w:noWrap w:val="0"/>
                  <w:vAlign w:val="center"/>
                </w:tcPr>
                <w:p w14:paraId="38CC51FB">
                  <w:pPr>
                    <w:widowControl w:val="0"/>
                    <w:kinsoku/>
                    <w:autoSpaceDE/>
                    <w:autoSpaceDN/>
                    <w:adjustRightInd/>
                    <w:snapToGrid/>
                    <w:spacing w:line="240" w:lineRule="auto"/>
                    <w:jc w:val="center"/>
                    <w:textAlignment w:val="auto"/>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pPr>
                  <w:r>
                    <w:rPr>
                      <w:rFonts w:hint="eastAsia" w:ascii="Times New Roman" w:hAnsi="Times New Roman" w:eastAsia="宋体" w:cs="Times New Roman"/>
                      <w:b w:val="0"/>
                      <w:bCs w:val="0"/>
                      <w:snapToGrid/>
                      <w:color w:val="000000" w:themeColor="text1"/>
                      <w:kern w:val="2"/>
                      <w:szCs w:val="21"/>
                      <w:highlight w:val="none"/>
                      <w:lang w:val="en-US" w:eastAsia="zh-CN"/>
                      <w14:textFill>
                        <w14:solidFill>
                          <w14:schemeClr w14:val="tx1"/>
                        </w14:solidFill>
                      </w14:textFill>
                    </w:rPr>
                    <w:t>否</w:t>
                  </w:r>
                </w:p>
              </w:tc>
            </w:tr>
            <w:tr w14:paraId="120AA6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384" w:type="pct"/>
                  <w:tcBorders>
                    <w:tl2br w:val="nil"/>
                    <w:tr2bl w:val="nil"/>
                  </w:tcBorders>
                  <w:noWrap w:val="0"/>
                  <w:vAlign w:val="center"/>
                </w:tcPr>
                <w:p w14:paraId="462AD2ED">
                  <w:pPr>
                    <w:widowControl w:val="0"/>
                    <w:kinsoku/>
                    <w:autoSpaceDE/>
                    <w:autoSpaceDN/>
                    <w:adjustRightInd/>
                    <w:snapToGrid/>
                    <w:spacing w:line="240" w:lineRule="auto"/>
                    <w:jc w:val="center"/>
                    <w:textAlignment w:val="auto"/>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pPr>
                  <w:r>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t>环境风险</w:t>
                  </w:r>
                </w:p>
              </w:tc>
              <w:tc>
                <w:tcPr>
                  <w:tcW w:w="2294" w:type="pct"/>
                  <w:tcBorders>
                    <w:tl2br w:val="nil"/>
                    <w:tr2bl w:val="nil"/>
                  </w:tcBorders>
                  <w:noWrap w:val="0"/>
                  <w:vAlign w:val="center"/>
                </w:tcPr>
                <w:p w14:paraId="221780BA">
                  <w:pPr>
                    <w:widowControl w:val="0"/>
                    <w:kinsoku/>
                    <w:autoSpaceDE/>
                    <w:autoSpaceDN/>
                    <w:adjustRightInd/>
                    <w:snapToGrid/>
                    <w:spacing w:line="240" w:lineRule="auto"/>
                    <w:jc w:val="center"/>
                    <w:textAlignment w:val="auto"/>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pPr>
                  <w:r>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t>有毒有害和易燃易爆危险物质存储量超过临界量</w:t>
                  </w:r>
                  <w:r>
                    <w:rPr>
                      <w:rFonts w:hint="default" w:ascii="Times New Roman" w:hAnsi="Times New Roman" w:eastAsia="宋体" w:cs="Times New Roman"/>
                      <w:b w:val="0"/>
                      <w:bCs w:val="0"/>
                      <w:snapToGrid/>
                      <w:color w:val="000000" w:themeColor="text1"/>
                      <w:kern w:val="2"/>
                      <w:szCs w:val="21"/>
                      <w:highlight w:val="none"/>
                      <w:vertAlign w:val="superscript"/>
                      <w:lang w:eastAsia="zh-CN"/>
                      <w14:textFill>
                        <w14:solidFill>
                          <w14:schemeClr w14:val="tx1"/>
                        </w14:solidFill>
                      </w14:textFill>
                    </w:rPr>
                    <w:t>3</w:t>
                  </w:r>
                  <w:r>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t>的建设项目</w:t>
                  </w:r>
                </w:p>
              </w:tc>
              <w:tc>
                <w:tcPr>
                  <w:tcW w:w="2226" w:type="dxa"/>
                  <w:tcBorders>
                    <w:tl2br w:val="nil"/>
                    <w:tr2bl w:val="nil"/>
                  </w:tcBorders>
                  <w:noWrap w:val="0"/>
                  <w:vAlign w:val="center"/>
                </w:tcPr>
                <w:p w14:paraId="5E7B3894">
                  <w:pPr>
                    <w:widowControl w:val="0"/>
                    <w:kinsoku/>
                    <w:autoSpaceDE/>
                    <w:autoSpaceDN/>
                    <w:adjustRightInd/>
                    <w:snapToGrid/>
                    <w:spacing w:line="240" w:lineRule="auto"/>
                    <w:jc w:val="center"/>
                    <w:textAlignment w:val="auto"/>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pPr>
                  <w:r>
                    <w:rPr>
                      <w:rFonts w:hint="default" w:ascii="Times New Roman" w:hAnsi="Times New Roman" w:eastAsia="宋体" w:cs="Times New Roman"/>
                      <w:b w:val="0"/>
                      <w:bCs w:val="0"/>
                      <w:snapToGrid/>
                      <w:color w:val="000000" w:themeColor="text1"/>
                      <w:kern w:val="2"/>
                      <w:szCs w:val="21"/>
                      <w:highlight w:val="none"/>
                      <w:lang w:val="en-US" w:eastAsia="zh-CN"/>
                      <w14:textFill>
                        <w14:solidFill>
                          <w14:schemeClr w14:val="tx1"/>
                        </w14:solidFill>
                      </w14:textFill>
                    </w:rPr>
                    <w:t>经分析，本项目危险物质存储量总计未超过临界量</w:t>
                  </w:r>
                </w:p>
              </w:tc>
              <w:tc>
                <w:tcPr>
                  <w:tcW w:w="649" w:type="pct"/>
                  <w:tcBorders>
                    <w:tl2br w:val="nil"/>
                    <w:tr2bl w:val="nil"/>
                  </w:tcBorders>
                  <w:noWrap w:val="0"/>
                  <w:vAlign w:val="center"/>
                </w:tcPr>
                <w:p w14:paraId="0712E732">
                  <w:pPr>
                    <w:widowControl w:val="0"/>
                    <w:kinsoku/>
                    <w:autoSpaceDE/>
                    <w:autoSpaceDN/>
                    <w:adjustRightInd/>
                    <w:snapToGrid/>
                    <w:spacing w:line="240" w:lineRule="auto"/>
                    <w:jc w:val="center"/>
                    <w:textAlignment w:val="auto"/>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pPr>
                  <w:r>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t>否</w:t>
                  </w:r>
                </w:p>
              </w:tc>
            </w:tr>
            <w:tr w14:paraId="2B508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384" w:type="pct"/>
                  <w:tcBorders>
                    <w:tl2br w:val="nil"/>
                    <w:tr2bl w:val="nil"/>
                  </w:tcBorders>
                  <w:noWrap w:val="0"/>
                  <w:vAlign w:val="center"/>
                </w:tcPr>
                <w:p w14:paraId="5390E7FA">
                  <w:pPr>
                    <w:widowControl w:val="0"/>
                    <w:kinsoku/>
                    <w:autoSpaceDE/>
                    <w:autoSpaceDN/>
                    <w:adjustRightInd/>
                    <w:snapToGrid/>
                    <w:spacing w:line="240" w:lineRule="auto"/>
                    <w:jc w:val="center"/>
                    <w:textAlignment w:val="auto"/>
                    <w:rPr>
                      <w:rFonts w:hint="default" w:ascii="Times New Roman" w:hAnsi="Times New Roman" w:eastAsia="宋体" w:cs="Times New Roman"/>
                      <w:b w:val="0"/>
                      <w:bCs w:val="0"/>
                      <w:snapToGrid/>
                      <w:color w:val="000000" w:themeColor="text1"/>
                      <w:kern w:val="2"/>
                      <w:szCs w:val="21"/>
                      <w:highlight w:val="none"/>
                      <w:lang w:val="en-US" w:eastAsia="zh-CN"/>
                      <w14:textFill>
                        <w14:solidFill>
                          <w14:schemeClr w14:val="tx1"/>
                        </w14:solidFill>
                      </w14:textFill>
                    </w:rPr>
                  </w:pPr>
                  <w:r>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t>生态</w:t>
                  </w:r>
                </w:p>
              </w:tc>
              <w:tc>
                <w:tcPr>
                  <w:tcW w:w="2294" w:type="pct"/>
                  <w:tcBorders>
                    <w:tl2br w:val="nil"/>
                    <w:tr2bl w:val="nil"/>
                  </w:tcBorders>
                  <w:noWrap w:val="0"/>
                  <w:vAlign w:val="center"/>
                </w:tcPr>
                <w:p w14:paraId="407AC827">
                  <w:pPr>
                    <w:widowControl w:val="0"/>
                    <w:kinsoku/>
                    <w:autoSpaceDE/>
                    <w:autoSpaceDN/>
                    <w:adjustRightInd/>
                    <w:snapToGrid/>
                    <w:spacing w:line="240" w:lineRule="auto"/>
                    <w:jc w:val="center"/>
                    <w:textAlignment w:val="auto"/>
                    <w:rPr>
                      <w:rFonts w:hint="default" w:ascii="Times New Roman" w:hAnsi="Times New Roman" w:eastAsia="宋体" w:cs="Times New Roman"/>
                      <w:b w:val="0"/>
                      <w:bCs w:val="0"/>
                      <w:snapToGrid/>
                      <w:color w:val="000000" w:themeColor="text1"/>
                      <w:kern w:val="2"/>
                      <w:szCs w:val="21"/>
                      <w:highlight w:val="none"/>
                      <w:lang w:val="en-US" w:eastAsia="zh-CN"/>
                      <w14:textFill>
                        <w14:solidFill>
                          <w14:schemeClr w14:val="tx1"/>
                        </w14:solidFill>
                      </w14:textFill>
                    </w:rPr>
                  </w:pPr>
                  <w:r>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t>取水口下游500米范围内有重要水生生物的自然产卵场、索饵场、越冬场和洄游通道的新增河道取水的污染类建设项目</w:t>
                  </w:r>
                </w:p>
              </w:tc>
              <w:tc>
                <w:tcPr>
                  <w:tcW w:w="2226" w:type="dxa"/>
                  <w:tcBorders>
                    <w:tl2br w:val="nil"/>
                    <w:tr2bl w:val="nil"/>
                  </w:tcBorders>
                  <w:noWrap w:val="0"/>
                  <w:vAlign w:val="center"/>
                </w:tcPr>
                <w:p w14:paraId="1074E128">
                  <w:pPr>
                    <w:widowControl w:val="0"/>
                    <w:kinsoku/>
                    <w:autoSpaceDE/>
                    <w:autoSpaceDN/>
                    <w:adjustRightInd/>
                    <w:snapToGrid/>
                    <w:spacing w:line="240" w:lineRule="auto"/>
                    <w:jc w:val="center"/>
                    <w:textAlignment w:val="auto"/>
                    <w:rPr>
                      <w:rFonts w:hint="default" w:ascii="Times New Roman" w:hAnsi="Times New Roman" w:eastAsia="宋体" w:cs="Times New Roman"/>
                      <w:b w:val="0"/>
                      <w:bCs w:val="0"/>
                      <w:snapToGrid/>
                      <w:color w:val="000000" w:themeColor="text1"/>
                      <w:kern w:val="2"/>
                      <w:szCs w:val="21"/>
                      <w:highlight w:val="none"/>
                      <w:lang w:val="en-US" w:eastAsia="zh-CN"/>
                      <w14:textFill>
                        <w14:solidFill>
                          <w14:schemeClr w14:val="tx1"/>
                        </w14:solidFill>
                      </w14:textFill>
                    </w:rPr>
                  </w:pPr>
                  <w:r>
                    <w:rPr>
                      <w:rFonts w:hint="default" w:ascii="Times New Roman" w:hAnsi="Times New Roman" w:eastAsia="宋体" w:cs="Times New Roman"/>
                      <w:b w:val="0"/>
                      <w:bCs w:val="0"/>
                      <w:snapToGrid/>
                      <w:color w:val="000000" w:themeColor="text1"/>
                      <w:kern w:val="2"/>
                      <w:szCs w:val="21"/>
                      <w:highlight w:val="none"/>
                      <w:lang w:val="en-US" w:eastAsia="zh-CN"/>
                      <w14:textFill>
                        <w14:solidFill>
                          <w14:schemeClr w14:val="tx1"/>
                        </w14:solidFill>
                      </w14:textFill>
                    </w:rPr>
                    <w:t>本项目不涉及直接从河道取水</w:t>
                  </w:r>
                </w:p>
              </w:tc>
              <w:tc>
                <w:tcPr>
                  <w:tcW w:w="649" w:type="pct"/>
                  <w:tcBorders>
                    <w:tl2br w:val="nil"/>
                    <w:tr2bl w:val="nil"/>
                  </w:tcBorders>
                  <w:noWrap w:val="0"/>
                  <w:vAlign w:val="center"/>
                </w:tcPr>
                <w:p w14:paraId="4FD8D7DB">
                  <w:pPr>
                    <w:widowControl w:val="0"/>
                    <w:kinsoku/>
                    <w:autoSpaceDE/>
                    <w:autoSpaceDN/>
                    <w:adjustRightInd/>
                    <w:snapToGrid/>
                    <w:spacing w:line="240" w:lineRule="auto"/>
                    <w:jc w:val="center"/>
                    <w:textAlignment w:val="auto"/>
                    <w:rPr>
                      <w:rFonts w:hint="default" w:ascii="Times New Roman" w:hAnsi="Times New Roman" w:eastAsia="宋体" w:cs="Times New Roman"/>
                      <w:b w:val="0"/>
                      <w:bCs w:val="0"/>
                      <w:snapToGrid/>
                      <w:color w:val="000000" w:themeColor="text1"/>
                      <w:kern w:val="2"/>
                      <w:szCs w:val="21"/>
                      <w:highlight w:val="none"/>
                      <w:lang w:val="en-US" w:eastAsia="zh-CN"/>
                      <w14:textFill>
                        <w14:solidFill>
                          <w14:schemeClr w14:val="tx1"/>
                        </w14:solidFill>
                      </w14:textFill>
                    </w:rPr>
                  </w:pPr>
                  <w:r>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t>否</w:t>
                  </w:r>
                </w:p>
              </w:tc>
            </w:tr>
            <w:tr w14:paraId="586886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384" w:type="pct"/>
                  <w:tcBorders>
                    <w:tl2br w:val="nil"/>
                    <w:tr2bl w:val="nil"/>
                  </w:tcBorders>
                  <w:noWrap w:val="0"/>
                  <w:vAlign w:val="center"/>
                </w:tcPr>
                <w:p w14:paraId="4C1C73AE">
                  <w:pPr>
                    <w:widowControl w:val="0"/>
                    <w:kinsoku/>
                    <w:autoSpaceDE/>
                    <w:autoSpaceDN/>
                    <w:adjustRightInd/>
                    <w:snapToGrid/>
                    <w:spacing w:line="240" w:lineRule="auto"/>
                    <w:jc w:val="center"/>
                    <w:textAlignment w:val="auto"/>
                    <w:rPr>
                      <w:rFonts w:hint="default" w:ascii="Times New Roman" w:hAnsi="Times New Roman" w:eastAsia="宋体" w:cs="Times New Roman"/>
                      <w:b w:val="0"/>
                      <w:bCs w:val="0"/>
                      <w:snapToGrid/>
                      <w:color w:val="000000" w:themeColor="text1"/>
                      <w:kern w:val="2"/>
                      <w:szCs w:val="21"/>
                      <w:highlight w:val="none"/>
                      <w:lang w:val="en-US" w:eastAsia="zh-CN"/>
                      <w14:textFill>
                        <w14:solidFill>
                          <w14:schemeClr w14:val="tx1"/>
                        </w14:solidFill>
                      </w14:textFill>
                    </w:rPr>
                  </w:pPr>
                  <w:r>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t>海洋</w:t>
                  </w:r>
                </w:p>
              </w:tc>
              <w:tc>
                <w:tcPr>
                  <w:tcW w:w="2294" w:type="pct"/>
                  <w:tcBorders>
                    <w:tl2br w:val="nil"/>
                    <w:tr2bl w:val="nil"/>
                  </w:tcBorders>
                  <w:noWrap w:val="0"/>
                  <w:vAlign w:val="center"/>
                </w:tcPr>
                <w:p w14:paraId="1B52977B">
                  <w:pPr>
                    <w:widowControl w:val="0"/>
                    <w:kinsoku/>
                    <w:autoSpaceDE/>
                    <w:autoSpaceDN/>
                    <w:adjustRightInd/>
                    <w:snapToGrid/>
                    <w:spacing w:line="240" w:lineRule="auto"/>
                    <w:jc w:val="center"/>
                    <w:textAlignment w:val="auto"/>
                    <w:rPr>
                      <w:rFonts w:hint="default" w:ascii="Times New Roman" w:hAnsi="Times New Roman" w:eastAsia="宋体" w:cs="Times New Roman"/>
                      <w:b w:val="0"/>
                      <w:bCs w:val="0"/>
                      <w:snapToGrid/>
                      <w:color w:val="000000" w:themeColor="text1"/>
                      <w:kern w:val="2"/>
                      <w:szCs w:val="21"/>
                      <w:highlight w:val="none"/>
                      <w:lang w:val="en-US" w:eastAsia="zh-CN"/>
                      <w14:textFill>
                        <w14:solidFill>
                          <w14:schemeClr w14:val="tx1"/>
                        </w14:solidFill>
                      </w14:textFill>
                    </w:rPr>
                  </w:pPr>
                  <w:r>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t>直接向海排放污染物的海洋工程建设项目</w:t>
                  </w:r>
                </w:p>
              </w:tc>
              <w:tc>
                <w:tcPr>
                  <w:tcW w:w="2226" w:type="dxa"/>
                  <w:tcBorders>
                    <w:tl2br w:val="nil"/>
                    <w:tr2bl w:val="nil"/>
                  </w:tcBorders>
                  <w:noWrap w:val="0"/>
                  <w:vAlign w:val="center"/>
                </w:tcPr>
                <w:p w14:paraId="637ADDC8">
                  <w:pPr>
                    <w:widowControl w:val="0"/>
                    <w:kinsoku/>
                    <w:autoSpaceDE/>
                    <w:autoSpaceDN/>
                    <w:adjustRightInd/>
                    <w:snapToGrid/>
                    <w:spacing w:line="240" w:lineRule="auto"/>
                    <w:jc w:val="center"/>
                    <w:textAlignment w:val="auto"/>
                    <w:rPr>
                      <w:rFonts w:hint="default" w:ascii="Times New Roman" w:hAnsi="Times New Roman" w:eastAsia="宋体" w:cs="Times New Roman"/>
                      <w:b w:val="0"/>
                      <w:bCs w:val="0"/>
                      <w:snapToGrid/>
                      <w:color w:val="000000" w:themeColor="text1"/>
                      <w:kern w:val="2"/>
                      <w:szCs w:val="21"/>
                      <w:highlight w:val="none"/>
                      <w:lang w:val="en-US" w:eastAsia="zh-CN"/>
                      <w14:textFill>
                        <w14:solidFill>
                          <w14:schemeClr w14:val="tx1"/>
                        </w14:solidFill>
                      </w14:textFill>
                    </w:rPr>
                  </w:pPr>
                  <w:r>
                    <w:rPr>
                      <w:rFonts w:hint="default" w:ascii="Times New Roman" w:hAnsi="Times New Roman" w:eastAsia="宋体" w:cs="Times New Roman"/>
                      <w:b w:val="0"/>
                      <w:bCs w:val="0"/>
                      <w:snapToGrid/>
                      <w:color w:val="000000" w:themeColor="text1"/>
                      <w:kern w:val="2"/>
                      <w:szCs w:val="21"/>
                      <w:highlight w:val="none"/>
                      <w:lang w:val="en-US" w:eastAsia="zh-CN"/>
                      <w14:textFill>
                        <w14:solidFill>
                          <w14:schemeClr w14:val="tx1"/>
                        </w14:solidFill>
                      </w14:textFill>
                    </w:rPr>
                    <w:t>本项目污水排放不涉及海洋</w:t>
                  </w:r>
                </w:p>
              </w:tc>
              <w:tc>
                <w:tcPr>
                  <w:tcW w:w="649" w:type="pct"/>
                  <w:tcBorders>
                    <w:tl2br w:val="nil"/>
                    <w:tr2bl w:val="nil"/>
                  </w:tcBorders>
                  <w:noWrap w:val="0"/>
                  <w:vAlign w:val="center"/>
                </w:tcPr>
                <w:p w14:paraId="4FDE6046">
                  <w:pPr>
                    <w:widowControl w:val="0"/>
                    <w:kinsoku/>
                    <w:autoSpaceDE/>
                    <w:autoSpaceDN/>
                    <w:adjustRightInd/>
                    <w:snapToGrid/>
                    <w:spacing w:line="240" w:lineRule="auto"/>
                    <w:jc w:val="center"/>
                    <w:textAlignment w:val="auto"/>
                    <w:rPr>
                      <w:rFonts w:hint="default" w:ascii="Times New Roman" w:hAnsi="Times New Roman" w:eastAsia="宋体" w:cs="Times New Roman"/>
                      <w:b w:val="0"/>
                      <w:bCs w:val="0"/>
                      <w:snapToGrid/>
                      <w:color w:val="000000" w:themeColor="text1"/>
                      <w:kern w:val="2"/>
                      <w:szCs w:val="21"/>
                      <w:highlight w:val="none"/>
                      <w:lang w:val="en-US" w:eastAsia="zh-CN"/>
                      <w14:textFill>
                        <w14:solidFill>
                          <w14:schemeClr w14:val="tx1"/>
                        </w14:solidFill>
                      </w14:textFill>
                    </w:rPr>
                  </w:pPr>
                  <w:r>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t>否</w:t>
                  </w:r>
                </w:p>
              </w:tc>
            </w:tr>
            <w:tr w14:paraId="654F6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5000" w:type="pct"/>
                  <w:gridSpan w:val="4"/>
                  <w:tcBorders>
                    <w:tl2br w:val="nil"/>
                    <w:tr2bl w:val="nil"/>
                  </w:tcBorders>
                  <w:noWrap w:val="0"/>
                  <w:vAlign w:val="center"/>
                </w:tcPr>
                <w:p w14:paraId="3AD33EB0">
                  <w:pPr>
                    <w:widowControl w:val="0"/>
                    <w:kinsoku/>
                    <w:autoSpaceDE/>
                    <w:autoSpaceDN/>
                    <w:adjustRightInd/>
                    <w:snapToGrid/>
                    <w:spacing w:line="240" w:lineRule="auto"/>
                    <w:jc w:val="left"/>
                    <w:textAlignment w:val="auto"/>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pPr>
                  <w:r>
                    <w:rPr>
                      <w:rFonts w:hint="default" w:ascii="Times New Roman" w:hAnsi="Times New Roman" w:eastAsia="宋体" w:cs="Times New Roman"/>
                      <w:b w:val="0"/>
                      <w:bCs w:val="0"/>
                      <w:snapToGrid/>
                      <w:color w:val="000000" w:themeColor="text1"/>
                      <w:kern w:val="2"/>
                      <w:szCs w:val="21"/>
                      <w:highlight w:val="none"/>
                      <w:lang w:eastAsia="zh-CN"/>
                      <w14:textFill>
                        <w14:solidFill>
                          <w14:schemeClr w14:val="tx1"/>
                        </w14:solidFill>
                      </w14:textFill>
                    </w:rPr>
                    <w:t>注：1、废气中有毒有害污染物指纳入《有毒有害大气污染物名录》的污染物（不包括无排放标准的污染物）。2、环境空气保护目标指自然保护区、风景名胜区、居住区、文化区和农村地区中人群较集中的区域。3、临界量及其计算方法可参考《建设项目环境风险评价技术导则》（HJ169）附录B、附录C。</w:t>
                  </w:r>
                </w:p>
              </w:tc>
            </w:tr>
          </w:tbl>
          <w:p w14:paraId="3CD2D015">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100" w:lineRule="exact"/>
              <w:jc w:val="left"/>
              <w:textAlignment w:val="auto"/>
              <w:rPr>
                <w:rFonts w:hint="default" w:ascii="Times New Roman" w:hAnsi="Times New Roman" w:eastAsia="宋体" w:cs="Times New Roman"/>
                <w:color w:val="000000" w:themeColor="text1"/>
                <w:kern w:val="0"/>
                <w:highlight w:val="none"/>
                <w14:textFill>
                  <w14:solidFill>
                    <w14:schemeClr w14:val="tx1"/>
                  </w14:solidFill>
                </w14:textFill>
              </w:rPr>
            </w:pPr>
          </w:p>
          <w:p w14:paraId="6943482A">
            <w:pPr>
              <w:spacing w:line="360" w:lineRule="auto"/>
              <w:ind w:firstLine="420" w:firstLineChars="200"/>
              <w:jc w:val="left"/>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根据上表分析，本项目</w:t>
            </w:r>
            <w:r>
              <w:rPr>
                <w:rFonts w:hint="eastAsia" w:ascii="Times New Roman" w:hAnsi="Times New Roman" w:eastAsia="宋体" w:cs="Times New Roman"/>
                <w:color w:val="000000" w:themeColor="text1"/>
                <w:kern w:val="0"/>
                <w:highlight w:val="none"/>
                <w:lang w:eastAsia="zh-CN"/>
                <w14:textFill>
                  <w14:solidFill>
                    <w14:schemeClr w14:val="tx1"/>
                  </w14:solidFill>
                </w14:textFill>
              </w:rPr>
              <w:t>无须设置</w:t>
            </w:r>
            <w:r>
              <w:rPr>
                <w:rFonts w:hint="default" w:ascii="Times New Roman" w:hAnsi="Times New Roman" w:eastAsia="宋体" w:cs="Times New Roman"/>
                <w:color w:val="000000" w:themeColor="text1"/>
                <w:kern w:val="0"/>
                <w:highlight w:val="none"/>
                <w14:textFill>
                  <w14:solidFill>
                    <w14:schemeClr w14:val="tx1"/>
                  </w14:solidFill>
                </w14:textFill>
              </w:rPr>
              <w:t>专项评价。</w:t>
            </w:r>
          </w:p>
        </w:tc>
      </w:tr>
      <w:tr w14:paraId="4D07E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978" w:type="dxa"/>
            <w:noWrap w:val="0"/>
            <w:vAlign w:val="center"/>
          </w:tcPr>
          <w:p w14:paraId="58871FF1">
            <w:pPr>
              <w:autoSpaceDE w:val="0"/>
              <w:autoSpaceDN w:val="0"/>
              <w:adjustRightInd w:val="0"/>
              <w:snapToGrid w:val="0"/>
              <w:jc w:val="center"/>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规划情况</w:t>
            </w:r>
          </w:p>
        </w:tc>
        <w:tc>
          <w:tcPr>
            <w:tcW w:w="6892" w:type="dxa"/>
            <w:gridSpan w:val="3"/>
            <w:noWrap w:val="0"/>
            <w:vAlign w:val="center"/>
          </w:tcPr>
          <w:p w14:paraId="1DF713E3">
            <w:pPr>
              <w:autoSpaceDE w:val="0"/>
              <w:autoSpaceDN w:val="0"/>
              <w:adjustRightInd w:val="0"/>
              <w:snapToGrid w:val="0"/>
              <w:jc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《乐昌产业转移工业园</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城东片区控制性详细规划修编</w:t>
            </w:r>
            <w:r>
              <w:rPr>
                <w:rFonts w:hint="default" w:ascii="Times New Roman" w:hAnsi="Times New Roman" w:eastAsia="宋体" w:cs="Times New Roman"/>
                <w:color w:val="000000" w:themeColor="text1"/>
                <w:sz w:val="24"/>
                <w:highlight w:val="none"/>
                <w14:textFill>
                  <w14:solidFill>
                    <w14:schemeClr w14:val="tx1"/>
                  </w14:solidFill>
                </w14:textFill>
              </w:rPr>
              <w:t>》</w:t>
            </w:r>
          </w:p>
        </w:tc>
      </w:tr>
      <w:tr w14:paraId="309580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78" w:type="dxa"/>
            <w:noWrap w:val="0"/>
            <w:vAlign w:val="center"/>
          </w:tcPr>
          <w:p w14:paraId="0B6ADCA3">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规划环境影响</w:t>
            </w:r>
          </w:p>
          <w:p w14:paraId="5B527D29">
            <w:pPr>
              <w:adjustRightInd w:val="0"/>
              <w:snapToGrid w:val="0"/>
              <w:jc w:val="center"/>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评价情况</w:t>
            </w:r>
          </w:p>
        </w:tc>
        <w:tc>
          <w:tcPr>
            <w:tcW w:w="6892" w:type="dxa"/>
            <w:gridSpan w:val="3"/>
            <w:noWrap w:val="0"/>
            <w:vAlign w:val="center"/>
          </w:tcPr>
          <w:p w14:paraId="1DA6595D">
            <w:pPr>
              <w:pStyle w:val="109"/>
              <w:keepNext w:val="0"/>
              <w:keepLines w:val="0"/>
              <w:pageBreakBefore w:val="0"/>
              <w:tabs>
                <w:tab w:val="left" w:pos="-2848"/>
              </w:tabs>
              <w:kinsoku/>
              <w:wordWrap w:val="0"/>
              <w:overflowPunct/>
              <w:topLinePunct w:val="0"/>
              <w:bidi w:val="0"/>
              <w:adjustRightInd/>
              <w:snapToGrid/>
              <w:spacing w:line="360" w:lineRule="auto"/>
              <w:outlineLvl w:val="9"/>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《韶关乐昌经济开发区规划环境影响报告书》，</w:t>
            </w:r>
            <w:r>
              <w:rPr>
                <w:rFonts w:hint="default" w:ascii="Times New Roman" w:hAnsi="Times New Roman" w:eastAsia="宋体" w:cs="Times New Roman"/>
                <w:color w:val="000000" w:themeColor="text1"/>
                <w:spacing w:val="-1"/>
                <w:sz w:val="24"/>
                <w:szCs w:val="24"/>
                <w:highlight w:val="none"/>
                <w:lang w:eastAsia="zh-CN"/>
                <w14:textFill>
                  <w14:solidFill>
                    <w14:schemeClr w14:val="tx1"/>
                  </w14:solidFill>
                </w14:textFill>
              </w:rPr>
              <w:t>审查单位：</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广东省</w:t>
            </w:r>
            <w:r>
              <w:rPr>
                <w:rFonts w:hint="default"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生态环境</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厅，广东省生态环境厅关于印发</w:t>
            </w:r>
            <w:r>
              <w:rPr>
                <w:rFonts w:hint="default" w:ascii="Times New Roman" w:hAnsi="Times New Roman" w:eastAsia="宋体" w:cs="Times New Roman"/>
                <w:color w:val="000000" w:themeColor="text1"/>
                <w:spacing w:val="-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韶关乐昌经济开发区规划环境影响报告书审查意见</w:t>
            </w:r>
            <w:r>
              <w:rPr>
                <w:rFonts w:hint="default" w:ascii="Times New Roman" w:hAnsi="Times New Roman" w:eastAsia="宋体" w:cs="Times New Roman"/>
                <w:color w:val="000000" w:themeColor="text1"/>
                <w:spacing w:val="-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的函</w:t>
            </w:r>
            <w:r>
              <w:rPr>
                <w:rFonts w:hint="default"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粤环审〔2026〕80 号</w:t>
            </w:r>
          </w:p>
        </w:tc>
      </w:tr>
      <w:tr w14:paraId="257A4C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78" w:type="dxa"/>
            <w:noWrap w:val="0"/>
            <w:vAlign w:val="center"/>
          </w:tcPr>
          <w:p w14:paraId="63DB7E6C">
            <w:pPr>
              <w:autoSpaceDE w:val="0"/>
              <w:autoSpaceDN w:val="0"/>
              <w:adjustRightInd w:val="0"/>
              <w:snapToGrid w:val="0"/>
              <w:jc w:val="center"/>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规划及规划环境</w:t>
            </w:r>
          </w:p>
          <w:p w14:paraId="48851F8B">
            <w:pPr>
              <w:autoSpaceDE w:val="0"/>
              <w:autoSpaceDN w:val="0"/>
              <w:adjustRightInd w:val="0"/>
              <w:snapToGrid w:val="0"/>
              <w:jc w:val="center"/>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影响评价符合性分析</w:t>
            </w:r>
          </w:p>
        </w:tc>
        <w:tc>
          <w:tcPr>
            <w:tcW w:w="6892" w:type="dxa"/>
            <w:gridSpan w:val="3"/>
            <w:noWrap w:val="0"/>
            <w:vAlign w:val="center"/>
          </w:tcPr>
          <w:p w14:paraId="34BD84BD">
            <w:pPr>
              <w:keepNext w:val="0"/>
              <w:keepLines w:val="0"/>
              <w:pageBreakBefore w:val="0"/>
              <w:numPr>
                <w:ilvl w:val="0"/>
                <w:numId w:val="0"/>
              </w:numPr>
              <w:tabs>
                <w:tab w:val="left" w:pos="0"/>
              </w:tabs>
              <w:kinsoku/>
              <w:wordWrap w:val="0"/>
              <w:overflowPunct/>
              <w:topLinePunct w:val="0"/>
              <w:bidi w:val="0"/>
              <w:adjustRightInd/>
              <w:snapToGrid/>
              <w:spacing w:line="360" w:lineRule="auto"/>
              <w:ind w:firstLine="476" w:firstLineChars="200"/>
              <w:jc w:val="left"/>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根据</w:t>
            </w:r>
            <w:r>
              <w:rPr>
                <w:rFonts w:hint="default" w:ascii="Times New Roman" w:hAnsi="Times New Roman" w:eastAsia="宋体" w:cs="Times New Roman"/>
                <w:color w:val="000000" w:themeColor="text1"/>
                <w:spacing w:val="-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韶关乐昌经济开发区规划环境影响报告书审查意见</w:t>
            </w:r>
            <w:r>
              <w:rPr>
                <w:rFonts w:hint="default" w:ascii="Times New Roman" w:hAnsi="Times New Roman" w:eastAsia="宋体" w:cs="Times New Roman"/>
                <w:color w:val="000000" w:themeColor="text1"/>
                <w:spacing w:val="-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，新引入企业</w:t>
            </w:r>
            <w:r>
              <w:rPr>
                <w:rFonts w:hint="default" w:ascii="Times New Roman" w:hAnsi="Times New Roman" w:eastAsia="宋体" w:cs="Times New Roman"/>
                <w:color w:val="000000" w:themeColor="text1"/>
                <w:sz w:val="24"/>
                <w:szCs w:val="24"/>
                <w:vertAlign w:val="baseline"/>
                <w14:textFill>
                  <w14:solidFill>
                    <w14:schemeClr w14:val="tx1"/>
                  </w14:solidFill>
                </w14:textFill>
              </w:rPr>
              <w:t>应符合现行有效的《产业结构调整指导目录</w:t>
            </w:r>
            <w:r>
              <w:rPr>
                <w:rFonts w:hint="eastAsia" w:cs="Times New Roman"/>
                <w:color w:val="000000" w:themeColor="text1"/>
                <w:sz w:val="24"/>
                <w:szCs w:val="24"/>
                <w:vertAlign w:val="baseline"/>
                <w:lang w:eastAsia="zh-CN"/>
                <w14:textFill>
                  <w14:solidFill>
                    <w14:schemeClr w14:val="tx1"/>
                  </w14:solidFill>
                </w14:textFill>
              </w:rPr>
              <w:t>（</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2024</w:t>
            </w:r>
            <w:r>
              <w:rPr>
                <w:rFonts w:hint="eastAsia" w:cs="Times New Roman"/>
                <w:color w:val="000000" w:themeColor="text1"/>
                <w:sz w:val="24"/>
                <w:szCs w:val="24"/>
                <w:vertAlign w:val="baseline"/>
                <w:lang w:val="en-US" w:eastAsia="zh-CN"/>
                <w14:textFill>
                  <w14:solidFill>
                    <w14:schemeClr w14:val="tx1"/>
                  </w14:solidFill>
                </w14:textFill>
              </w:rPr>
              <w:t>年</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本</w:t>
            </w:r>
            <w:r>
              <w:rPr>
                <w:rFonts w:hint="eastAsia" w:cs="Times New Roman"/>
                <w:color w:val="000000" w:themeColor="text1"/>
                <w:sz w:val="24"/>
                <w:szCs w:val="24"/>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vertAlign w:val="baseline"/>
                <w14:textFill>
                  <w14:solidFill>
                    <w14:schemeClr w14:val="tx1"/>
                  </w14:solidFill>
                </w14:textFill>
              </w:rPr>
              <w:t>》、《市场准入负面清单》</w:t>
            </w:r>
            <w:r>
              <w:rPr>
                <w:rFonts w:hint="default" w:ascii="Times New Roman" w:hAnsi="Times New Roman" w:eastAsia="宋体" w:cs="Times New Roman"/>
                <w:color w:val="000000" w:themeColor="text1"/>
                <w:sz w:val="24"/>
                <w:szCs w:val="24"/>
                <w:vertAlign w:val="baseline"/>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发改体改规〔2025〕466 号</w:t>
            </w:r>
            <w:r>
              <w:rPr>
                <w:rFonts w:hint="default" w:ascii="Times New Roman" w:hAnsi="Times New Roman" w:eastAsia="宋体" w:cs="Times New Roman"/>
                <w:color w:val="000000" w:themeColor="text1"/>
                <w:sz w:val="24"/>
                <w:szCs w:val="24"/>
                <w:vertAlign w:val="baseline"/>
                <w:lang w:eastAsia="zh-CN"/>
                <w14:textFill>
                  <w14:solidFill>
                    <w14:schemeClr w14:val="tx1"/>
                  </w14:solidFill>
                </w14:textFill>
              </w:rPr>
              <w:t>）</w:t>
            </w:r>
            <w:r>
              <w:rPr>
                <w:rFonts w:hint="default" w:ascii="Times New Roman" w:hAnsi="Times New Roman" w:eastAsia="宋体" w:cs="Times New Roman"/>
                <w:color w:val="000000" w:themeColor="text1"/>
                <w:sz w:val="24"/>
                <w:szCs w:val="24"/>
                <w:vertAlign w:val="baseline"/>
                <w14:textFill>
                  <w14:solidFill>
                    <w14:schemeClr w14:val="tx1"/>
                  </w14:solidFill>
                </w14:textFill>
              </w:rPr>
              <w:t>、《广东省国家重点生态功能区产业准入负面清单(试行</w:t>
            </w:r>
            <w:r>
              <w:rPr>
                <w:rFonts w:hint="default" w:ascii="Times New Roman" w:hAnsi="Times New Roman" w:eastAsia="宋体" w:cs="Times New Roman"/>
                <w:color w:val="000000" w:themeColor="text1"/>
                <w:sz w:val="24"/>
                <w:szCs w:val="24"/>
                <w:vertAlign w:val="baseline"/>
                <w:lang w:eastAsia="zh-CN"/>
                <w14:textFill>
                  <w14:solidFill>
                    <w14:schemeClr w14:val="tx1"/>
                  </w14:solidFill>
                </w14:textFill>
              </w:rPr>
              <w:t>）</w:t>
            </w:r>
            <w:r>
              <w:rPr>
                <w:rFonts w:hint="default" w:ascii="Times New Roman" w:hAnsi="Times New Roman" w:eastAsia="宋体" w:cs="Times New Roman"/>
                <w:color w:val="000000" w:themeColor="text1"/>
                <w:sz w:val="24"/>
                <w:szCs w:val="24"/>
                <w:vertAlign w:val="baseline"/>
                <w14:textFill>
                  <w14:solidFill>
                    <w14:schemeClr w14:val="tx1"/>
                  </w14:solidFill>
                </w14:textFill>
              </w:rPr>
              <w:t>》</w:t>
            </w:r>
            <w:r>
              <w:rPr>
                <w:rFonts w:hint="default" w:ascii="Times New Roman" w:hAnsi="Times New Roman" w:eastAsia="宋体" w:cs="Times New Roman"/>
                <w:color w:val="000000" w:themeColor="text1"/>
                <w:sz w:val="24"/>
                <w:szCs w:val="24"/>
                <w:vertAlign w:val="baseline"/>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粤发改规划〔2017〕331 号</w:t>
            </w:r>
            <w:r>
              <w:rPr>
                <w:rFonts w:hint="default" w:ascii="Times New Roman" w:hAnsi="Times New Roman" w:eastAsia="宋体" w:cs="Times New Roman"/>
                <w:color w:val="000000" w:themeColor="text1"/>
                <w:sz w:val="24"/>
                <w:szCs w:val="24"/>
                <w:vertAlign w:val="baseline"/>
                <w:lang w:eastAsia="zh-CN"/>
                <w14:textFill>
                  <w14:solidFill>
                    <w14:schemeClr w14:val="tx1"/>
                  </w14:solidFill>
                </w14:textFill>
              </w:rPr>
              <w:t>）</w:t>
            </w:r>
            <w:r>
              <w:rPr>
                <w:rFonts w:hint="default" w:ascii="Times New Roman" w:hAnsi="Times New Roman" w:eastAsia="宋体" w:cs="Times New Roman"/>
                <w:color w:val="000000" w:themeColor="text1"/>
                <w:sz w:val="24"/>
                <w:szCs w:val="24"/>
                <w:vertAlign w:val="baseline"/>
                <w14:textFill>
                  <w14:solidFill>
                    <w14:schemeClr w14:val="tx1"/>
                  </w14:solidFill>
                </w14:textFill>
              </w:rPr>
              <w:t>等相关产业政策要求</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。本次规划确定以轻工纺织、机械制造、电子信息、家具制造、金属制品为主导，以特色商贸等现代服务业为支撑的产业体系，重点发展机械、电子、纺织产业，优先引进无污染物或轻污染项目，</w:t>
            </w:r>
            <w:r>
              <w:rPr>
                <w:rFonts w:hint="default" w:ascii="Times New Roman" w:hAnsi="Times New Roman" w:eastAsia="宋体" w:cs="Times New Roman"/>
                <w:color w:val="000000" w:themeColor="text1"/>
                <w:sz w:val="24"/>
                <w:szCs w:val="24"/>
                <w14:textFill>
                  <w14:solidFill>
                    <w14:schemeClr w14:val="tx1"/>
                  </w14:solidFill>
                </w14:textFill>
              </w:rPr>
              <w:t>禁止建设生产和使用高VOCs含量的溶剂型涂料、油墨、胶粘剂等项目。</w:t>
            </w:r>
            <w:r>
              <w:rPr>
                <w:rFonts w:hint="default" w:ascii="Times New Roman" w:hAnsi="Times New Roman" w:eastAsia="宋体" w:cs="Times New Roman"/>
                <w:color w:val="000000" w:themeColor="text1"/>
                <w:sz w:val="24"/>
                <w:szCs w:val="24"/>
                <w:vertAlign w:val="baseline"/>
                <w14:textFill>
                  <w14:solidFill>
                    <w14:schemeClr w14:val="tx1"/>
                  </w14:solidFill>
                </w14:textFill>
              </w:rPr>
              <w:t>禁止新建、扩建专业电镀、鞣革、印染、化学制浆等水污染物排放量大或排放一类污染物、持久性有机污染物的项目。</w:t>
            </w:r>
          </w:p>
          <w:p w14:paraId="58F6471E">
            <w:pPr>
              <w:pStyle w:val="109"/>
              <w:keepNext w:val="0"/>
              <w:keepLines w:val="0"/>
              <w:pageBreakBefore w:val="0"/>
              <w:tabs>
                <w:tab w:val="left" w:pos="-2848"/>
              </w:tabs>
              <w:kinsoku/>
              <w:wordWrap w:val="0"/>
              <w:overflowPunct/>
              <w:topLinePunct w:val="0"/>
              <w:bidi w:val="0"/>
              <w:adjustRightInd/>
              <w:snapToGrid/>
              <w:spacing w:line="360" w:lineRule="auto"/>
              <w:ind w:firstLine="476" w:firstLineChars="200"/>
              <w:jc w:val="left"/>
              <w:outlineLvl w:val="9"/>
              <w:rPr>
                <w:rFonts w:hint="default" w:ascii="Times New Roman" w:hAnsi="Times New Roman" w:eastAsia="宋体" w:cs="Times New Roman"/>
                <w:color w:val="000000" w:themeColor="text1"/>
                <w:spacing w:val="-1"/>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本项目满足国家和地方相关产业政策，</w:t>
            </w:r>
            <w:r>
              <w:rPr>
                <w:rFonts w:hint="default"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项目所使用溶剂型涂料均为低挥发性产品，项目</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不排放一类污染物和有毒有害物质，不向河流排放含汞、砷、镉、铬、铅等重金属污染物和持久性有机污染物，不属于园区禁止项目，符合园区准入条件。</w:t>
            </w:r>
          </w:p>
          <w:p w14:paraId="0C070EFB">
            <w:pPr>
              <w:pStyle w:val="15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与</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《韶关乐昌经济开发区规划</w:t>
            </w:r>
          </w:p>
          <w:p w14:paraId="1F06AF07">
            <w:pPr>
              <w:pStyle w:val="15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环境影响报告书审查意见》的</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相符性分析</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8"/>
              <w:gridCol w:w="3324"/>
              <w:gridCol w:w="2172"/>
              <w:gridCol w:w="482"/>
            </w:tblGrid>
            <w:tr w14:paraId="0F7FF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02265759">
                  <w:pPr>
                    <w:jc w:val="center"/>
                    <w:rPr>
                      <w:rFonts w:hint="default" w:eastAsiaTheme="minorEastAsia"/>
                      <w:b/>
                      <w:bCs/>
                      <w:color w:val="000000" w:themeColor="text1"/>
                      <w:vertAlign w:val="baseline"/>
                      <w:lang w:val="en-US" w:eastAsia="zh-CN"/>
                      <w14:textFill>
                        <w14:solidFill>
                          <w14:schemeClr w14:val="tx1"/>
                        </w14:solidFill>
                      </w14:textFill>
                    </w:rPr>
                  </w:pPr>
                  <w:r>
                    <w:rPr>
                      <w:rFonts w:hint="eastAsia"/>
                      <w:b/>
                      <w:bCs/>
                      <w:color w:val="000000" w:themeColor="text1"/>
                      <w:vertAlign w:val="baseline"/>
                      <w:lang w:val="en-US" w:eastAsia="zh-CN"/>
                      <w14:textFill>
                        <w14:solidFill>
                          <w14:schemeClr w14:val="tx1"/>
                        </w14:solidFill>
                      </w14:textFill>
                    </w:rPr>
                    <w:t>管控要求</w:t>
                  </w:r>
                </w:p>
              </w:tc>
              <w:tc>
                <w:tcPr>
                  <w:tcW w:w="3324" w:type="dxa"/>
                  <w:vAlign w:val="center"/>
                </w:tcPr>
                <w:p w14:paraId="034E8FDF">
                  <w:pPr>
                    <w:jc w:val="center"/>
                    <w:rPr>
                      <w:rFonts w:hint="default" w:eastAsiaTheme="minorEastAsia"/>
                      <w:b/>
                      <w:bCs/>
                      <w:color w:val="000000" w:themeColor="text1"/>
                      <w:vertAlign w:val="baseline"/>
                      <w:lang w:val="en-US" w:eastAsia="zh-CN"/>
                      <w14:textFill>
                        <w14:solidFill>
                          <w14:schemeClr w14:val="tx1"/>
                        </w14:solidFill>
                      </w14:textFill>
                    </w:rPr>
                  </w:pPr>
                  <w:r>
                    <w:rPr>
                      <w:rFonts w:hint="eastAsia"/>
                      <w:b/>
                      <w:bCs/>
                      <w:color w:val="000000" w:themeColor="text1"/>
                      <w:vertAlign w:val="baseline"/>
                      <w:lang w:val="en-US" w:eastAsia="zh-CN"/>
                      <w14:textFill>
                        <w14:solidFill>
                          <w14:schemeClr w14:val="tx1"/>
                        </w14:solidFill>
                      </w14:textFill>
                    </w:rPr>
                    <w:t>总体准入要求</w:t>
                  </w:r>
                </w:p>
              </w:tc>
              <w:tc>
                <w:tcPr>
                  <w:tcW w:w="2172" w:type="dxa"/>
                  <w:vAlign w:val="center"/>
                </w:tcPr>
                <w:p w14:paraId="55B94685">
                  <w:pPr>
                    <w:jc w:val="center"/>
                    <w:rPr>
                      <w:rFonts w:hint="default"/>
                      <w:b/>
                      <w:bCs/>
                      <w:color w:val="000000" w:themeColor="text1"/>
                      <w:vertAlign w:val="baseline"/>
                      <w:lang w:val="en-US" w:eastAsia="zh-CN"/>
                      <w14:textFill>
                        <w14:solidFill>
                          <w14:schemeClr w14:val="tx1"/>
                        </w14:solidFill>
                      </w14:textFill>
                    </w:rPr>
                  </w:pPr>
                  <w:r>
                    <w:rPr>
                      <w:rFonts w:hint="eastAsia"/>
                      <w:b/>
                      <w:bCs/>
                      <w:color w:val="000000" w:themeColor="text1"/>
                      <w:vertAlign w:val="baseline"/>
                      <w:lang w:val="en-US" w:eastAsia="zh-CN"/>
                      <w14:textFill>
                        <w14:solidFill>
                          <w14:schemeClr w14:val="tx1"/>
                        </w14:solidFill>
                      </w14:textFill>
                    </w:rPr>
                    <w:t>项目情况</w:t>
                  </w:r>
                </w:p>
              </w:tc>
              <w:tc>
                <w:tcPr>
                  <w:tcW w:w="482" w:type="dxa"/>
                  <w:vAlign w:val="center"/>
                </w:tcPr>
                <w:p w14:paraId="7CA629BE">
                  <w:pPr>
                    <w:jc w:val="center"/>
                    <w:rPr>
                      <w:rFonts w:hint="default"/>
                      <w:b/>
                      <w:bCs/>
                      <w:color w:val="000000" w:themeColor="text1"/>
                      <w:vertAlign w:val="baseline"/>
                      <w:lang w:val="en-US" w:eastAsia="zh-CN"/>
                      <w14:textFill>
                        <w14:solidFill>
                          <w14:schemeClr w14:val="tx1"/>
                        </w14:solidFill>
                      </w14:textFill>
                    </w:rPr>
                  </w:pPr>
                  <w:r>
                    <w:rPr>
                      <w:rFonts w:hint="eastAsia"/>
                      <w:b/>
                      <w:bCs/>
                      <w:color w:val="000000" w:themeColor="text1"/>
                      <w:vertAlign w:val="baseline"/>
                      <w:lang w:val="en-US" w:eastAsia="zh-CN"/>
                      <w14:textFill>
                        <w14:solidFill>
                          <w14:schemeClr w14:val="tx1"/>
                        </w14:solidFill>
                      </w14:textFill>
                    </w:rPr>
                    <w:t>相符性</w:t>
                  </w:r>
                </w:p>
              </w:tc>
            </w:tr>
            <w:tr w14:paraId="790B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688" w:type="dxa"/>
                  <w:vAlign w:val="center"/>
                </w:tcPr>
                <w:p w14:paraId="6B5E015F">
                  <w:pPr>
                    <w:jc w:val="center"/>
                    <w:rPr>
                      <w:rFonts w:hint="default" w:eastAsiaTheme="minorEastAsia"/>
                      <w:b/>
                      <w:bCs/>
                      <w:color w:val="000000" w:themeColor="text1"/>
                      <w:vertAlign w:val="baseline"/>
                      <w:lang w:val="en-US" w:eastAsia="zh-CN"/>
                      <w14:textFill>
                        <w14:solidFill>
                          <w14:schemeClr w14:val="tx1"/>
                        </w14:solidFill>
                      </w14:textFill>
                    </w:rPr>
                  </w:pPr>
                  <w:r>
                    <w:rPr>
                      <w:rFonts w:hint="eastAsia"/>
                      <w:b/>
                      <w:bCs/>
                      <w:color w:val="000000" w:themeColor="text1"/>
                      <w:vertAlign w:val="baseline"/>
                      <w:lang w:val="en-US" w:eastAsia="zh-CN"/>
                      <w14:textFill>
                        <w14:solidFill>
                          <w14:schemeClr w14:val="tx1"/>
                        </w14:solidFill>
                      </w14:textFill>
                    </w:rPr>
                    <w:t>空间布局约束</w:t>
                  </w:r>
                </w:p>
              </w:tc>
              <w:tc>
                <w:tcPr>
                  <w:tcW w:w="3324" w:type="dxa"/>
                  <w:vAlign w:val="center"/>
                </w:tcPr>
                <w:p w14:paraId="256B593B">
                  <w:pPr>
                    <w:jc w:val="center"/>
                    <w:rPr>
                      <w:rFonts w:hint="eastAsia"/>
                      <w:color w:val="000000" w:themeColor="text1"/>
                      <w:vertAlign w:val="baseline"/>
                      <w14:textFill>
                        <w14:solidFill>
                          <w14:schemeClr w14:val="tx1"/>
                        </w14:solidFill>
                      </w14:textFill>
                    </w:rPr>
                  </w:pPr>
                  <w:r>
                    <w:rPr>
                      <w:rFonts w:hint="eastAsia"/>
                      <w:color w:val="000000" w:themeColor="text1"/>
                      <w:vertAlign w:val="baseline"/>
                      <w14:textFill>
                        <w14:solidFill>
                          <w14:schemeClr w14:val="tx1"/>
                        </w14:solidFill>
                      </w14:textFill>
                    </w:rPr>
                    <w:t>引入产业应符合现行有效的《产业结构调整指导目录》、《市场准入负面清单》、《广东省国家重点生态功能区产业准入负面清单(试行</w:t>
                  </w:r>
                  <w:r>
                    <w:rPr>
                      <w:rFonts w:hint="eastAsia"/>
                      <w:color w:val="000000" w:themeColor="text1"/>
                      <w:vertAlign w:val="baseline"/>
                      <w:lang w:eastAsia="zh-CN"/>
                      <w14:textFill>
                        <w14:solidFill>
                          <w14:schemeClr w14:val="tx1"/>
                        </w14:solidFill>
                      </w14:textFill>
                    </w:rPr>
                    <w:t>）</w:t>
                  </w:r>
                  <w:r>
                    <w:rPr>
                      <w:rFonts w:hint="eastAsia"/>
                      <w:color w:val="000000" w:themeColor="text1"/>
                      <w:vertAlign w:val="baseline"/>
                      <w14:textFill>
                        <w14:solidFill>
                          <w14:schemeClr w14:val="tx1"/>
                        </w14:solidFill>
                      </w14:textFill>
                    </w:rPr>
                    <w:t>》等相关产业政策要求。</w:t>
                  </w:r>
                </w:p>
                <w:p w14:paraId="31C47328">
                  <w:pPr>
                    <w:jc w:val="center"/>
                    <w:rPr>
                      <w:rFonts w:hint="eastAsia"/>
                      <w:color w:val="000000" w:themeColor="text1"/>
                      <w:vertAlign w:val="baseline"/>
                      <w:lang w:val="en-US" w:eastAsia="zh-CN"/>
                      <w14:textFill>
                        <w14:solidFill>
                          <w14:schemeClr w14:val="tx1"/>
                        </w14:solidFill>
                      </w14:textFill>
                    </w:rPr>
                  </w:pPr>
                  <w:r>
                    <w:rPr>
                      <w:rFonts w:hint="eastAsia"/>
                      <w:color w:val="000000" w:themeColor="text1"/>
                      <w14:textFill>
                        <w14:solidFill>
                          <w14:schemeClr w14:val="tx1"/>
                        </w14:solidFill>
                      </w14:textFill>
                    </w:rPr>
                    <w:t>严格控制高污染高能耗项目建设。</w:t>
                  </w:r>
                  <w:r>
                    <w:rPr>
                      <w:rFonts w:hint="eastAsia"/>
                      <w:color w:val="000000" w:themeColor="text1"/>
                      <w:vertAlign w:val="baseline"/>
                      <w14:textFill>
                        <w14:solidFill>
                          <w14:schemeClr w14:val="tx1"/>
                        </w14:solidFill>
                      </w14:textFill>
                    </w:rPr>
                    <w:t>新、改、扩建项目要达到国内清洁生产先进水平。</w:t>
                  </w:r>
                </w:p>
                <w:p w14:paraId="09EDE0FD">
                  <w:pPr>
                    <w:jc w:val="center"/>
                    <w:rPr>
                      <w:rFonts w:hint="eastAsia"/>
                      <w:color w:val="000000" w:themeColor="text1"/>
                      <w:vertAlign w:val="baseline"/>
                      <w:lang w:val="en-US" w:eastAsia="zh-CN"/>
                      <w14:textFill>
                        <w14:solidFill>
                          <w14:schemeClr w14:val="tx1"/>
                        </w14:solidFill>
                      </w14:textFill>
                    </w:rPr>
                  </w:pPr>
                  <w:r>
                    <w:rPr>
                      <w:rFonts w:hint="eastAsia"/>
                      <w:color w:val="000000" w:themeColor="text1"/>
                      <w:vertAlign w:val="baseline"/>
                      <w14:textFill>
                        <w14:solidFill>
                          <w14:schemeClr w14:val="tx1"/>
                        </w14:solidFill>
                      </w14:textFill>
                    </w:rPr>
                    <w:t>禁止销售、燃用高污染燃料</w:t>
                  </w:r>
                  <w:r>
                    <w:rPr>
                      <w:rFonts w:hint="eastAsia"/>
                      <w:color w:val="000000" w:themeColor="text1"/>
                      <w:vertAlign w:val="baseline"/>
                      <w:lang w:eastAsia="zh-CN"/>
                      <w14:textFill>
                        <w14:solidFill>
                          <w14:schemeClr w14:val="tx1"/>
                        </w14:solidFill>
                      </w14:textFill>
                    </w:rPr>
                    <w:t>；</w:t>
                  </w:r>
                  <w:r>
                    <w:rPr>
                      <w:rFonts w:hint="eastAsia"/>
                      <w:color w:val="000000" w:themeColor="text1"/>
                      <w:vertAlign w:val="baseline"/>
                      <w14:textFill>
                        <w14:solidFill>
                          <w14:schemeClr w14:val="tx1"/>
                        </w14:solidFill>
                      </w14:textFill>
                    </w:rPr>
                    <w:t>禁止新建、扩建燃用高污染燃料的设施</w:t>
                  </w:r>
                  <w:r>
                    <w:rPr>
                      <w:rFonts w:hint="eastAsia"/>
                      <w:color w:val="000000" w:themeColor="text1"/>
                      <w:vertAlign w:val="baseline"/>
                      <w:lang w:eastAsia="zh-CN"/>
                      <w14:textFill>
                        <w14:solidFill>
                          <w14:schemeClr w14:val="tx1"/>
                        </w14:solidFill>
                      </w14:textFill>
                    </w:rPr>
                    <w:t>；</w:t>
                  </w:r>
                  <w:r>
                    <w:rPr>
                      <w:rFonts w:hint="eastAsia"/>
                      <w:color w:val="000000" w:themeColor="text1"/>
                      <w14:textFill>
                        <w14:solidFill>
                          <w14:schemeClr w14:val="tx1"/>
                        </w14:solidFill>
                      </w14:textFill>
                    </w:rPr>
                    <w:t>禁止建设生产和使用高VOCs含量的溶剂型涂料、油墨、胶粘剂等项目。</w:t>
                  </w:r>
                </w:p>
                <w:p w14:paraId="69ED5A52">
                  <w:pPr>
                    <w:jc w:val="center"/>
                    <w:rPr>
                      <w:rFonts w:hint="eastAsia"/>
                      <w:color w:val="000000" w:themeColor="text1"/>
                      <w:vertAlign w:val="baseline"/>
                      <w:lang w:val="en-US" w:eastAsia="zh-CN"/>
                      <w14:textFill>
                        <w14:solidFill>
                          <w14:schemeClr w14:val="tx1"/>
                        </w14:solidFill>
                      </w14:textFill>
                    </w:rPr>
                  </w:pPr>
                  <w:r>
                    <w:rPr>
                      <w:rFonts w:hint="eastAsia"/>
                      <w:color w:val="000000" w:themeColor="text1"/>
                      <w:vertAlign w:val="baseline"/>
                      <w14:textFill>
                        <w14:solidFill>
                          <w14:schemeClr w14:val="tx1"/>
                        </w14:solidFill>
                      </w14:textFill>
                    </w:rPr>
                    <w:t>禁止新建、扩建专业电镀、鞣革、印染、化学制浆等水污染物排放量大或排放一类污染物、持久性有机污染物的项目。</w:t>
                  </w:r>
                </w:p>
                <w:p w14:paraId="2E4492C1">
                  <w:pPr>
                    <w:jc w:val="center"/>
                    <w:rPr>
                      <w:rFonts w:hint="eastAsia"/>
                      <w:color w:val="000000" w:themeColor="text1"/>
                      <w:vertAlign w:val="baseline"/>
                      <w:lang w:val="en-US" w:eastAsia="zh-CN"/>
                      <w14:textFill>
                        <w14:solidFill>
                          <w14:schemeClr w14:val="tx1"/>
                        </w14:solidFill>
                      </w14:textFill>
                    </w:rPr>
                  </w:pPr>
                  <w:r>
                    <w:rPr>
                      <w:rFonts w:hint="eastAsia"/>
                      <w:color w:val="000000" w:themeColor="text1"/>
                      <w:vertAlign w:val="baseline"/>
                      <w14:textFill>
                        <w14:solidFill>
                          <w14:schemeClr w14:val="tx1"/>
                        </w14:solidFill>
                      </w14:textFill>
                    </w:rPr>
                    <w:t>与中部规划居住用地、行政办公用地、教育用地等敏感区域临近的区域优先引进无污染的生产性服务业，布置废气排放量小、工业噪声影响小及没有恶臭气体产生的产业。学校周围直线延伸二百米范围内禁止设立易燃易爆、剧毒、放射性、腐蚀性等危险物品的生产、经营、储存、使用场所或者设施。临近南岸村、饮用水源准保护区等敏感用地优先引进无污染的生产性服务业，布置废气排放量小、工业噪声影响小及没有恶臭气体产生的产业。相关项目环评阶段应充分论证、优化项目布局以及按照相关要求确定大气环境防护距离。</w:t>
                  </w:r>
                </w:p>
                <w:p w14:paraId="18954211">
                  <w:pPr>
                    <w:jc w:val="center"/>
                    <w:rPr>
                      <w:rFonts w:hint="eastAsia"/>
                      <w:color w:val="000000" w:themeColor="text1"/>
                      <w:vertAlign w:val="baseline"/>
                      <w14:textFill>
                        <w14:solidFill>
                          <w14:schemeClr w14:val="tx1"/>
                        </w14:solidFill>
                      </w14:textFill>
                    </w:rPr>
                  </w:pPr>
                  <w:r>
                    <w:rPr>
                      <w:rFonts w:hint="eastAsia"/>
                      <w:color w:val="000000" w:themeColor="text1"/>
                      <w:vertAlign w:val="baseline"/>
                      <w14:textFill>
                        <w14:solidFill>
                          <w14:schemeClr w14:val="tx1"/>
                        </w14:solidFill>
                      </w14:textFill>
                    </w:rPr>
                    <w:t>与饮用水源准保护区重叠区域划定为优先保护单元，不进行工业开发利用，禁止新建、扩建对水体污染严重的建设项目，改建项目不得增加排污量。</w:t>
                  </w:r>
                </w:p>
                <w:p w14:paraId="38826741">
                  <w:pPr>
                    <w:jc w:val="center"/>
                    <w:rPr>
                      <w:rFonts w:hint="eastAsia"/>
                      <w:color w:val="000000" w:themeColor="text1"/>
                      <w:vertAlign w:val="baseline"/>
                      <w:lang w:val="en-US" w:eastAsia="zh-CN"/>
                      <w14:textFill>
                        <w14:solidFill>
                          <w14:schemeClr w14:val="tx1"/>
                        </w14:solidFill>
                      </w14:textFill>
                    </w:rPr>
                  </w:pPr>
                  <w:r>
                    <w:rPr>
                      <w:rFonts w:hint="eastAsia"/>
                      <w:color w:val="000000" w:themeColor="text1"/>
                      <w:vertAlign w:val="baseline"/>
                      <w14:textFill>
                        <w14:solidFill>
                          <w14:schemeClr w14:val="tx1"/>
                        </w14:solidFill>
                      </w14:textFill>
                    </w:rPr>
                    <w:t>在永久基本农田以及居民区、学校、医疗和养老机构等单位周边，避免新建涉重金属、多环芳烃类等持久性有机污染物企业。永久基本农田集中区域内，禁止建设工业固体废物、危险废物集中贮存、利用、处置的设施、场所。</w:t>
                  </w:r>
                </w:p>
              </w:tc>
              <w:tc>
                <w:tcPr>
                  <w:tcW w:w="2172" w:type="dxa"/>
                  <w:vAlign w:val="center"/>
                </w:tcPr>
                <w:p w14:paraId="72148161">
                  <w:pPr>
                    <w:jc w:val="center"/>
                    <w:rPr>
                      <w:rFonts w:hint="default"/>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本项目为金属表面处理及热处理加工行业，不属于造纸、焦化、有色金属、印染、农副食品加工、原料药制造、制革、农药、电镀等行业，不属于“两高”项目。</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本项目满足国家和地方相关产业政策，</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项目所使用溶剂型涂料</w:t>
                  </w:r>
                  <w:r>
                    <w:rPr>
                      <w:rFonts w:hint="eastAsia" w:cs="Times New Roman"/>
                      <w:color w:val="000000" w:themeColor="text1"/>
                      <w:spacing w:val="-1"/>
                      <w:sz w:val="21"/>
                      <w:szCs w:val="21"/>
                      <w:highlight w:val="none"/>
                      <w:lang w:val="en-US" w:eastAsia="zh-CN"/>
                      <w14:textFill>
                        <w14:solidFill>
                          <w14:schemeClr w14:val="tx1"/>
                        </w14:solidFill>
                      </w14:textFill>
                    </w:rPr>
                    <w:t>等</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均为低</w:t>
                  </w:r>
                  <w:r>
                    <w:rPr>
                      <w:rFonts w:hint="eastAsia" w:cs="Times New Roman"/>
                      <w:color w:val="000000" w:themeColor="text1"/>
                      <w:spacing w:val="-1"/>
                      <w:sz w:val="21"/>
                      <w:szCs w:val="21"/>
                      <w:highlight w:val="none"/>
                      <w:lang w:val="en-US" w:eastAsia="zh-CN"/>
                      <w14:textFill>
                        <w14:solidFill>
                          <w14:schemeClr w14:val="tx1"/>
                        </w14:solidFill>
                      </w14:textFill>
                    </w:rPr>
                    <w:t>VOCs含量</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产品，项目</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不排放一类污染物和有毒有害物质，不向河流排放含汞、砷、镉、铬、铅等重金属污染物和持久性有机污染物，不属于园区禁止项目</w:t>
                  </w:r>
                  <w:r>
                    <w:rPr>
                      <w:rFonts w:hint="default" w:ascii="Times New Roman" w:hAnsi="Times New Roman" w:cs="Times New Roman"/>
                      <w:color w:val="000000" w:themeColor="text1"/>
                      <w:sz w:val="21"/>
                      <w:szCs w:val="21"/>
                      <w:highlight w:val="none"/>
                      <w14:textFill>
                        <w14:solidFill>
                          <w14:schemeClr w14:val="tx1"/>
                        </w14:solidFill>
                      </w14:textFill>
                    </w:rPr>
                    <w:t>。</w:t>
                  </w:r>
                </w:p>
              </w:tc>
              <w:tc>
                <w:tcPr>
                  <w:tcW w:w="482" w:type="dxa"/>
                  <w:vAlign w:val="center"/>
                </w:tcPr>
                <w:p w14:paraId="0999741C">
                  <w:pPr>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相符</w:t>
                  </w:r>
                </w:p>
              </w:tc>
            </w:tr>
            <w:tr w14:paraId="4392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688" w:type="dxa"/>
                  <w:vAlign w:val="center"/>
                </w:tcPr>
                <w:p w14:paraId="357B90F9">
                  <w:pPr>
                    <w:jc w:val="center"/>
                    <w:rPr>
                      <w:rFonts w:hint="default" w:eastAsiaTheme="minorEastAsia"/>
                      <w:b/>
                      <w:bCs/>
                      <w:color w:val="000000" w:themeColor="text1"/>
                      <w:vertAlign w:val="baseline"/>
                      <w:lang w:val="en-US" w:eastAsia="zh-CN"/>
                      <w14:textFill>
                        <w14:solidFill>
                          <w14:schemeClr w14:val="tx1"/>
                        </w14:solidFill>
                      </w14:textFill>
                    </w:rPr>
                  </w:pPr>
                  <w:r>
                    <w:rPr>
                      <w:rFonts w:hint="eastAsia"/>
                      <w:b/>
                      <w:bCs/>
                      <w:color w:val="000000" w:themeColor="text1"/>
                      <w:vertAlign w:val="baseline"/>
                      <w:lang w:val="en-US" w:eastAsia="zh-CN"/>
                      <w14:textFill>
                        <w14:solidFill>
                          <w14:schemeClr w14:val="tx1"/>
                        </w14:solidFill>
                      </w14:textFill>
                    </w:rPr>
                    <w:t>污染物排放管控</w:t>
                  </w:r>
                </w:p>
              </w:tc>
              <w:tc>
                <w:tcPr>
                  <w:tcW w:w="3324" w:type="dxa"/>
                  <w:vAlign w:val="center"/>
                </w:tcPr>
                <w:p w14:paraId="17608DDC">
                  <w:pPr>
                    <w:numPr>
                      <w:ilvl w:val="0"/>
                      <w:numId w:val="0"/>
                    </w:numPr>
                    <w:jc w:val="center"/>
                    <w:rPr>
                      <w:rFonts w:hint="eastAsia"/>
                      <w:color w:val="000000" w:themeColor="text1"/>
                      <w:vertAlign w:val="baseline"/>
                      <w14:textFill>
                        <w14:solidFill>
                          <w14:schemeClr w14:val="tx1"/>
                        </w14:solidFill>
                      </w14:textFill>
                    </w:rPr>
                  </w:pPr>
                  <w:r>
                    <w:rPr>
                      <w:rFonts w:hint="eastAsia"/>
                      <w:color w:val="000000" w:themeColor="text1"/>
                      <w:vertAlign w:val="baseline"/>
                      <w14:textFill>
                        <w14:solidFill>
                          <w14:schemeClr w14:val="tx1"/>
                        </w14:solidFill>
                      </w14:textFill>
                    </w:rPr>
                    <w:t>在可核查、可监管的基础上，新建项目原则上实施氮氧化物(NOx)和挥发性有机物(VOCs)等量替代。</w:t>
                  </w:r>
                </w:p>
                <w:p w14:paraId="1217B418">
                  <w:pPr>
                    <w:jc w:val="center"/>
                    <w:rPr>
                      <w:rFonts w:hint="eastAsia"/>
                      <w:color w:val="000000" w:themeColor="text1"/>
                      <w:vertAlign w:val="baseline"/>
                      <w:lang w:val="en-US" w:eastAsia="zh-CN"/>
                      <w14:textFill>
                        <w14:solidFill>
                          <w14:schemeClr w14:val="tx1"/>
                        </w14:solidFill>
                      </w14:textFill>
                    </w:rPr>
                  </w:pPr>
                  <w:r>
                    <w:rPr>
                      <w:rFonts w:hint="eastAsia"/>
                      <w:color w:val="000000" w:themeColor="text1"/>
                      <w:vertAlign w:val="baseline"/>
                      <w14:textFill>
                        <w14:solidFill>
                          <w14:schemeClr w14:val="tx1"/>
                        </w14:solidFill>
                      </w14:textFill>
                    </w:rPr>
                    <w:t>根据《广东省生态环境厅关于在重点区域执行污染物特别排放限值的公告》(粤环发(2023)1号)要求，执行相应特别排放限值要求。</w:t>
                  </w:r>
                </w:p>
                <w:p w14:paraId="11EDA0F2">
                  <w:pPr>
                    <w:jc w:val="center"/>
                    <w:rPr>
                      <w:rFonts w:hint="eastAsia"/>
                      <w:color w:val="000000" w:themeColor="text1"/>
                      <w:vertAlign w:val="baseline"/>
                      <w:lang w:val="en-US" w:eastAsia="zh-CN"/>
                      <w14:textFill>
                        <w14:solidFill>
                          <w14:schemeClr w14:val="tx1"/>
                        </w14:solidFill>
                      </w14:textFill>
                    </w:rPr>
                  </w:pPr>
                  <w:r>
                    <w:rPr>
                      <w:rFonts w:hint="eastAsia"/>
                      <w:color w:val="000000" w:themeColor="text1"/>
                      <w:vertAlign w:val="baseline"/>
                      <w14:textFill>
                        <w14:solidFill>
                          <w14:schemeClr w14:val="tx1"/>
                        </w14:solidFill>
                      </w14:textFill>
                    </w:rPr>
                    <w:t>开发区内各企业污废水原则上应接入园区污水处理厂进行集中处理、达标排放。各企业生产废水需经预处理达到广东省《水污染物排放限值》(DB4426-2001)第二时段三级标准、所属行业排放标准(间接排放)，以及污水处理厂接管标准后，方可与规划区生活污水通过污水管线一并进入园区污水处理厂处理。</w:t>
                  </w:r>
                </w:p>
                <w:p w14:paraId="557F8C9C">
                  <w:pPr>
                    <w:jc w:val="center"/>
                    <w:rPr>
                      <w:rFonts w:hint="eastAsia"/>
                      <w:color w:val="000000" w:themeColor="text1"/>
                      <w:vertAlign w:val="baseline"/>
                      <w:lang w:val="en-US" w:eastAsia="zh-CN"/>
                      <w14:textFill>
                        <w14:solidFill>
                          <w14:schemeClr w14:val="tx1"/>
                        </w14:solidFill>
                      </w14:textFill>
                    </w:rPr>
                  </w:pPr>
                  <w:r>
                    <w:rPr>
                      <w:rFonts w:hint="eastAsia"/>
                      <w:color w:val="000000" w:themeColor="text1"/>
                      <w:vertAlign w:val="baseline"/>
                      <w14:textFill>
                        <w14:solidFill>
                          <w14:schemeClr w14:val="tx1"/>
                        </w14:solidFill>
                      </w14:textFill>
                    </w:rPr>
                    <w:t>新建燃气锅炉废气执行《锅炉大气污染物排放标准》(DB44/765-2019)表3大气污染物特别排放限值:现有单台出力1蒸吨/小时(0.7兆瓦)以上，65蒸吨/小时及以下燃气锅炉执行《锅炉大气污染物排放标准》(DB44/765-2019)表3大气污染物特别排放限值;其它行业工艺废气有行业标准的执行行业标准，无行业标准的排放执行广东省地方标准《大气污染物排放限值》DB44/27-2001)第二时段二级标准。</w:t>
                  </w:r>
                </w:p>
                <w:p w14:paraId="474FB97C">
                  <w:pPr>
                    <w:jc w:val="center"/>
                    <w:rPr>
                      <w:rFonts w:hint="eastAsia"/>
                      <w:color w:val="000000" w:themeColor="text1"/>
                      <w:vertAlign w:val="baseline"/>
                      <w:lang w:val="en-US" w:eastAsia="zh-CN"/>
                      <w14:textFill>
                        <w14:solidFill>
                          <w14:schemeClr w14:val="tx1"/>
                        </w14:solidFill>
                      </w14:textFill>
                    </w:rPr>
                  </w:pPr>
                  <w:r>
                    <w:rPr>
                      <w:rFonts w:hint="eastAsia"/>
                      <w:color w:val="000000" w:themeColor="text1"/>
                      <w:vertAlign w:val="baseline"/>
                      <w14:textFill>
                        <w14:solidFill>
                          <w14:schemeClr w14:val="tx1"/>
                        </w14:solidFill>
                      </w14:textFill>
                    </w:rPr>
                    <w:t>产生固体废物(含危险废物)的企业须配套建设符合规范且满足需求的贮存场所，固体废物(含危险废物)贮存、转移过程中应配套防扬散、防流失、防渗漏及其它防止污染环境的措施。</w:t>
                  </w:r>
                </w:p>
                <w:p w14:paraId="64BD7CD4">
                  <w:pPr>
                    <w:jc w:val="center"/>
                    <w:rPr>
                      <w:rFonts w:hint="eastAsia"/>
                      <w:color w:val="000000" w:themeColor="text1"/>
                      <w:vertAlign w:val="baseline"/>
                      <w:lang w:val="en-US" w:eastAsia="zh-CN"/>
                      <w14:textFill>
                        <w14:solidFill>
                          <w14:schemeClr w14:val="tx1"/>
                        </w14:solidFill>
                      </w14:textFill>
                    </w:rPr>
                  </w:pPr>
                  <w:r>
                    <w:rPr>
                      <w:rFonts w:hint="eastAsia"/>
                      <w:color w:val="000000" w:themeColor="text1"/>
                      <w:vertAlign w:val="baseline"/>
                      <w14:textFill>
                        <w14:solidFill>
                          <w14:schemeClr w14:val="tx1"/>
                        </w14:solidFill>
                      </w14:textFill>
                    </w:rPr>
                    <w:t>重点重金属按照韶关市生态环境分区管控要求执行。</w:t>
                  </w:r>
                </w:p>
              </w:tc>
              <w:tc>
                <w:tcPr>
                  <w:tcW w:w="2172" w:type="dxa"/>
                  <w:vAlign w:val="center"/>
                </w:tcPr>
                <w:p w14:paraId="0222A704">
                  <w:pPr>
                    <w:jc w:val="center"/>
                    <w:rPr>
                      <w:rFonts w:hint="eastAsia" w:eastAsia="宋体"/>
                      <w:color w:val="000000" w:themeColor="text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项目</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不排放一类污染物和有毒有害物质，不向河流排放含汞、砷、镉、铬、铅等重金属污染物和持久性有机污染物，不属于园区禁止项目</w:t>
                  </w:r>
                  <w:r>
                    <w:rPr>
                      <w:rFonts w:hint="eastAsia" w:ascii="Times New Roman" w:hAnsi="Times New Roman" w:eastAsia="宋体" w:cs="Times New Roman"/>
                      <w:color w:val="000000" w:themeColor="text1"/>
                      <w:spacing w:val="-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氮氧化物</w:t>
                  </w:r>
                  <w:r>
                    <w:rPr>
                      <w:rFonts w:hint="eastAsia"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VOCs实行总量控制。项目所在地不涉及饮用水水源保护区，生产废水经自建污水处理站处理后排入园区污水处理厂</w:t>
                  </w:r>
                  <w:r>
                    <w:rPr>
                      <w:rFonts w:hint="eastAsia"/>
                      <w:color w:val="000000" w:themeColor="text1"/>
                      <w:sz w:val="21"/>
                      <w:szCs w:val="21"/>
                      <w:highlight w:val="none"/>
                      <w:lang w:val="en-US" w:eastAsia="zh-CN"/>
                      <w14:textFill>
                        <w14:solidFill>
                          <w14:schemeClr w14:val="tx1"/>
                        </w14:solidFill>
                      </w14:textFill>
                    </w:rPr>
                    <w:t>深度处理</w:t>
                  </w:r>
                  <w:r>
                    <w:rPr>
                      <w:rFonts w:hint="eastAsia"/>
                      <w:color w:val="000000" w:themeColor="text1"/>
                      <w:sz w:val="21"/>
                      <w:szCs w:val="21"/>
                      <w:highlight w:val="none"/>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处理</w:t>
                  </w:r>
                  <w:r>
                    <w:rPr>
                      <w:rFonts w:hint="eastAsia"/>
                      <w:color w:val="000000" w:themeColor="text1"/>
                      <w:sz w:val="21"/>
                      <w:szCs w:val="21"/>
                      <w:highlight w:val="none"/>
                      <w14:textFill>
                        <w14:solidFill>
                          <w14:schemeClr w14:val="tx1"/>
                        </w14:solidFill>
                      </w14:textFill>
                    </w:rPr>
                    <w:t>达标后通过出水管道输送</w:t>
                  </w:r>
                  <w:r>
                    <w:rPr>
                      <w:rFonts w:hint="eastAsia"/>
                      <w:color w:val="000000" w:themeColor="text1"/>
                      <w:sz w:val="21"/>
                      <w:szCs w:val="21"/>
                      <w:highlight w:val="none"/>
                      <w:lang w:val="en-US" w:eastAsia="zh-CN"/>
                      <w14:textFill>
                        <w14:solidFill>
                          <w14:schemeClr w14:val="tx1"/>
                        </w14:solidFill>
                      </w14:textFill>
                    </w:rPr>
                    <w:t>尾水</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经</w:t>
                  </w:r>
                  <w:r>
                    <w:rPr>
                      <w:rFonts w:hint="eastAsia"/>
                      <w:color w:val="000000" w:themeColor="text1"/>
                      <w:sz w:val="21"/>
                      <w:szCs w:val="21"/>
                      <w:highlight w:val="none"/>
                      <w14:textFill>
                        <w14:solidFill>
                          <w14:schemeClr w14:val="tx1"/>
                        </w14:solidFill>
                      </w14:textFill>
                    </w:rPr>
                    <w:t>废水排放口</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WS-LC005001</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排放至</w:t>
                  </w:r>
                  <w:r>
                    <w:rPr>
                      <w:rFonts w:hint="eastAsia"/>
                      <w:color w:val="000000" w:themeColor="text1"/>
                      <w:sz w:val="21"/>
                      <w:szCs w:val="21"/>
                      <w:highlight w:val="none"/>
                      <w14:textFill>
                        <w14:solidFill>
                          <w14:schemeClr w14:val="tx1"/>
                        </w14:solidFill>
                      </w14:textFill>
                    </w:rPr>
                    <w:t>榴村霜降坑河</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最终</w:t>
                  </w:r>
                  <w:r>
                    <w:rPr>
                      <w:rFonts w:hint="eastAsia"/>
                      <w:color w:val="000000" w:themeColor="text1"/>
                      <w:sz w:val="21"/>
                      <w:szCs w:val="21"/>
                      <w:highlight w:val="none"/>
                      <w14:textFill>
                        <w14:solidFill>
                          <w14:schemeClr w14:val="tx1"/>
                        </w14:solidFill>
                      </w14:textFill>
                    </w:rPr>
                    <w:t>流入武江</w:t>
                  </w:r>
                  <w:r>
                    <w:rPr>
                      <w:rFonts w:hint="default" w:ascii="Times New Roman" w:hAnsi="Times New Roman" w:cs="Times New Roman"/>
                      <w:color w:val="000000" w:themeColor="text1"/>
                      <w:sz w:val="21"/>
                      <w:szCs w:val="21"/>
                      <w:highlight w:val="none"/>
                      <w14:textFill>
                        <w14:solidFill>
                          <w14:schemeClr w14:val="tx1"/>
                        </w14:solidFill>
                      </w14:textFill>
                    </w:rPr>
                    <w:t>；生活污水经三级化粪池</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+隔油隔渣池</w:t>
                  </w:r>
                  <w:r>
                    <w:rPr>
                      <w:rFonts w:hint="default" w:ascii="Times New Roman" w:hAnsi="Times New Roman" w:cs="Times New Roman"/>
                      <w:color w:val="000000" w:themeColor="text1"/>
                      <w:sz w:val="21"/>
                      <w:szCs w:val="21"/>
                      <w:highlight w:val="none"/>
                      <w14:textFill>
                        <w14:solidFill>
                          <w14:schemeClr w14:val="tx1"/>
                        </w14:solidFill>
                      </w14:textFill>
                    </w:rPr>
                    <w:t>处理后排入园区污水处理厂，园区污水处理厂执行《城镇污水处理厂污染物排放标准》</w:t>
                  </w:r>
                  <w:r>
                    <w:rPr>
                      <w:rFonts w:hint="eastAsia"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GB18918-2002</w:t>
                  </w:r>
                  <w:r>
                    <w:rPr>
                      <w:rFonts w:hint="eastAsia"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中一级B标准和广东省《水污染物排放限值</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（DB44/26-2001）中的第二时段一级排放标准中严者。</w:t>
                  </w:r>
                </w:p>
              </w:tc>
              <w:tc>
                <w:tcPr>
                  <w:tcW w:w="482" w:type="dxa"/>
                  <w:vAlign w:val="center"/>
                </w:tcPr>
                <w:p w14:paraId="49114389">
                  <w:pPr>
                    <w:jc w:val="center"/>
                    <w:rPr>
                      <w:rFonts w:hint="eastAsia"/>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相符</w:t>
                  </w:r>
                </w:p>
              </w:tc>
            </w:tr>
            <w:tr w14:paraId="0D91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6" w:hRule="atLeast"/>
              </w:trPr>
              <w:tc>
                <w:tcPr>
                  <w:tcW w:w="688" w:type="dxa"/>
                  <w:vAlign w:val="center"/>
                </w:tcPr>
                <w:p w14:paraId="455C11EF">
                  <w:pPr>
                    <w:jc w:val="center"/>
                    <w:rPr>
                      <w:rFonts w:hint="default" w:eastAsiaTheme="minorEastAsia"/>
                      <w:b/>
                      <w:bCs/>
                      <w:color w:val="000000" w:themeColor="text1"/>
                      <w:vertAlign w:val="baseline"/>
                      <w:lang w:val="en-US" w:eastAsia="zh-CN"/>
                      <w14:textFill>
                        <w14:solidFill>
                          <w14:schemeClr w14:val="tx1"/>
                        </w14:solidFill>
                      </w14:textFill>
                    </w:rPr>
                  </w:pPr>
                  <w:r>
                    <w:rPr>
                      <w:rFonts w:hint="eastAsia"/>
                      <w:b/>
                      <w:bCs/>
                      <w:color w:val="000000" w:themeColor="text1"/>
                      <w:vertAlign w:val="baseline"/>
                      <w:lang w:val="en-US" w:eastAsia="zh-CN"/>
                      <w14:textFill>
                        <w14:solidFill>
                          <w14:schemeClr w14:val="tx1"/>
                        </w14:solidFill>
                      </w14:textFill>
                    </w:rPr>
                    <w:t>环境风险管控</w:t>
                  </w:r>
                </w:p>
              </w:tc>
              <w:tc>
                <w:tcPr>
                  <w:tcW w:w="3324" w:type="dxa"/>
                  <w:vAlign w:val="center"/>
                </w:tcPr>
                <w:p w14:paraId="25F061C1">
                  <w:pPr>
                    <w:numPr>
                      <w:ilvl w:val="0"/>
                      <w:numId w:val="0"/>
                    </w:numPr>
                    <w:ind w:left="0" w:leftChars="0" w:firstLine="0" w:firstLineChars="0"/>
                    <w:jc w:val="center"/>
                    <w:rPr>
                      <w:rFonts w:hint="eastAsia"/>
                      <w:color w:val="000000" w:themeColor="text1"/>
                      <w:vertAlign w:val="baseline"/>
                      <w14:textFill>
                        <w14:solidFill>
                          <w14:schemeClr w14:val="tx1"/>
                        </w14:solidFill>
                      </w14:textFill>
                    </w:rPr>
                  </w:pPr>
                  <w:r>
                    <w:rPr>
                      <w:rFonts w:hint="eastAsia"/>
                      <w:color w:val="000000" w:themeColor="text1"/>
                      <w:vertAlign w:val="baseline"/>
                      <w14:textFill>
                        <w14:solidFill>
                          <w14:schemeClr w14:val="tx1"/>
                        </w14:solidFill>
                      </w14:textFill>
                    </w:rPr>
                    <w:t>生产、使用、储存危险化学品或其他存在环境风险的入区项目应配套有效的风险防范措施，并根据国家及广东省环境应急预案管理的要求编制环境风险应急预案，防止因渗漏污染地下水、土壤，以及因事故废水直排污染地表水体。</w:t>
                  </w:r>
                </w:p>
                <w:p w14:paraId="0F72638C">
                  <w:pPr>
                    <w:numPr>
                      <w:ilvl w:val="0"/>
                      <w:numId w:val="0"/>
                    </w:numPr>
                    <w:ind w:leftChars="0"/>
                    <w:jc w:val="center"/>
                    <w:rPr>
                      <w:rFonts w:hint="eastAsia"/>
                      <w:color w:val="000000" w:themeColor="text1"/>
                      <w:vertAlign w:val="baseline"/>
                      <w:lang w:val="en-US" w:eastAsia="zh-CN"/>
                      <w14:textFill>
                        <w14:solidFill>
                          <w14:schemeClr w14:val="tx1"/>
                        </w14:solidFill>
                      </w14:textFill>
                    </w:rPr>
                  </w:pPr>
                  <w:r>
                    <w:rPr>
                      <w:rFonts w:hint="eastAsia"/>
                      <w:color w:val="000000" w:themeColor="text1"/>
                      <w:vertAlign w:val="baseline"/>
                      <w14:textFill>
                        <w14:solidFill>
                          <w14:schemeClr w14:val="tx1"/>
                        </w14:solidFill>
                      </w14:textFill>
                    </w:rPr>
                    <w:t>涉及生产废水排放企业需配套有效措施，防止事故废水直排污染地表水体，防止因渗漏污染地下水。</w:t>
                  </w:r>
                </w:p>
                <w:p w14:paraId="3E690A33">
                  <w:pPr>
                    <w:numPr>
                      <w:ilvl w:val="0"/>
                      <w:numId w:val="0"/>
                    </w:numPr>
                    <w:ind w:leftChars="0"/>
                    <w:jc w:val="center"/>
                    <w:rPr>
                      <w:color w:val="000000" w:themeColor="text1"/>
                      <w:vertAlign w:val="baseline"/>
                      <w14:textFill>
                        <w14:solidFill>
                          <w14:schemeClr w14:val="tx1"/>
                        </w14:solidFill>
                      </w14:textFill>
                    </w:rPr>
                  </w:pPr>
                  <w:r>
                    <w:rPr>
                      <w:rFonts w:hint="eastAsia"/>
                      <w:color w:val="000000" w:themeColor="text1"/>
                      <w:vertAlign w:val="baseline"/>
                      <w14:textFill>
                        <w14:solidFill>
                          <w14:schemeClr w14:val="tx1"/>
                        </w14:solidFill>
                      </w14:textFill>
                    </w:rPr>
                    <w:t>应符合《韶关市人民政府关于印发韶关市“三线一单"生态环境分区管控方案的通知》(韶府(2021)10号)、《韶关市生态环境分区管控动态更新成果》及后续生态环境分区管控动态更新要求</w:t>
                  </w:r>
                </w:p>
              </w:tc>
              <w:tc>
                <w:tcPr>
                  <w:tcW w:w="2172" w:type="dxa"/>
                  <w:vAlign w:val="center"/>
                </w:tcPr>
                <w:p w14:paraId="43DB271E">
                  <w:pPr>
                    <w:numPr>
                      <w:ilvl w:val="0"/>
                      <w:numId w:val="0"/>
                    </w:numPr>
                    <w:ind w:leftChars="0"/>
                    <w:jc w:val="center"/>
                    <w:rPr>
                      <w:rFonts w:hint="eastAsia"/>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不涉及石油加工、化学原料和化学制品制造、有色金属冶炼、纺织印染行业，不涉及饮用水水源地，本项目制定有效的事故风险防范和应急措施，为防范污染事故发生，并避免发生事故对周围环境造成污染，确保环境安全。项目符合环境风险防控要求。</w:t>
                  </w:r>
                </w:p>
              </w:tc>
              <w:tc>
                <w:tcPr>
                  <w:tcW w:w="482" w:type="dxa"/>
                  <w:vAlign w:val="center"/>
                </w:tcPr>
                <w:p w14:paraId="270D4C84">
                  <w:pPr>
                    <w:numPr>
                      <w:ilvl w:val="0"/>
                      <w:numId w:val="0"/>
                    </w:numPr>
                    <w:ind w:leftChars="0"/>
                    <w:jc w:val="center"/>
                    <w:rPr>
                      <w:rFonts w:hint="eastAsia"/>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相符</w:t>
                  </w:r>
                </w:p>
              </w:tc>
            </w:tr>
            <w:tr w14:paraId="7CDB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8" w:hRule="atLeast"/>
              </w:trPr>
              <w:tc>
                <w:tcPr>
                  <w:tcW w:w="688" w:type="dxa"/>
                  <w:vAlign w:val="center"/>
                </w:tcPr>
                <w:p w14:paraId="03DC78EE">
                  <w:pPr>
                    <w:jc w:val="center"/>
                    <w:rPr>
                      <w:rFonts w:hint="default" w:eastAsiaTheme="minorEastAsia"/>
                      <w:b/>
                      <w:bCs/>
                      <w:color w:val="000000" w:themeColor="text1"/>
                      <w:vertAlign w:val="baseline"/>
                      <w:lang w:val="en-US" w:eastAsia="zh-CN"/>
                      <w14:textFill>
                        <w14:solidFill>
                          <w14:schemeClr w14:val="tx1"/>
                        </w14:solidFill>
                      </w14:textFill>
                    </w:rPr>
                  </w:pPr>
                  <w:r>
                    <w:rPr>
                      <w:rFonts w:hint="eastAsia"/>
                      <w:b/>
                      <w:bCs/>
                      <w:color w:val="000000" w:themeColor="text1"/>
                      <w:vertAlign w:val="baseline"/>
                      <w:lang w:val="en-US" w:eastAsia="zh-CN"/>
                      <w14:textFill>
                        <w14:solidFill>
                          <w14:schemeClr w14:val="tx1"/>
                        </w14:solidFill>
                      </w14:textFill>
                    </w:rPr>
                    <w:t>资源开发利用管理</w:t>
                  </w:r>
                </w:p>
              </w:tc>
              <w:tc>
                <w:tcPr>
                  <w:tcW w:w="3324" w:type="dxa"/>
                  <w:vAlign w:val="center"/>
                </w:tcPr>
                <w:p w14:paraId="621A37A3">
                  <w:pPr>
                    <w:jc w:val="center"/>
                    <w:rPr>
                      <w:rFonts w:hint="eastAsia"/>
                      <w:color w:val="000000" w:themeColor="text1"/>
                      <w:vertAlign w:val="baseline"/>
                      <w14:textFill>
                        <w14:solidFill>
                          <w14:schemeClr w14:val="tx1"/>
                        </w14:solidFill>
                      </w14:textFill>
                    </w:rPr>
                  </w:pPr>
                  <w:r>
                    <w:rPr>
                      <w:rFonts w:hint="eastAsia"/>
                      <w:color w:val="000000" w:themeColor="text1"/>
                      <w:vertAlign w:val="baseline"/>
                      <w14:textFill>
                        <w14:solidFill>
                          <w14:schemeClr w14:val="tx1"/>
                        </w14:solidFill>
                      </w14:textFill>
                    </w:rPr>
                    <w:t>禁止使用高污染燃料，建议使用电能、天然气等清洁能源。</w:t>
                  </w:r>
                </w:p>
                <w:p w14:paraId="61D3E95D">
                  <w:pPr>
                    <w:jc w:val="center"/>
                    <w:rPr>
                      <w:rFonts w:hint="eastAsia" w:eastAsiaTheme="minorEastAsia"/>
                      <w:color w:val="000000" w:themeColor="text1"/>
                      <w:vertAlign w:val="baseline"/>
                      <w:lang w:eastAsia="zh-CN"/>
                      <w14:textFill>
                        <w14:solidFill>
                          <w14:schemeClr w14:val="tx1"/>
                        </w14:solidFill>
                      </w14:textFill>
                    </w:rPr>
                  </w:pPr>
                  <w:r>
                    <w:rPr>
                      <w:rFonts w:hint="eastAsia"/>
                      <w:color w:val="000000" w:themeColor="text1"/>
                      <w:vertAlign w:val="baseline"/>
                      <w14:textFill>
                        <w14:solidFill>
                          <w14:schemeClr w14:val="tx1"/>
                        </w14:solidFill>
                      </w14:textFill>
                    </w:rPr>
                    <w:t>贯彻落实“节水优先”方针，实行最严格水资源管理制度</w:t>
                  </w:r>
                  <w:r>
                    <w:rPr>
                      <w:rFonts w:hint="eastAsia"/>
                      <w:color w:val="000000" w:themeColor="text1"/>
                      <w:vertAlign w:val="baseline"/>
                      <w:lang w:eastAsia="zh-CN"/>
                      <w14:textFill>
                        <w14:solidFill>
                          <w14:schemeClr w14:val="tx1"/>
                        </w14:solidFill>
                      </w14:textFill>
                    </w:rPr>
                    <w:t>。</w:t>
                  </w:r>
                </w:p>
                <w:p w14:paraId="4672DF94">
                  <w:pPr>
                    <w:jc w:val="center"/>
                    <w:rPr>
                      <w:rFonts w:hint="eastAsia" w:eastAsiaTheme="minorEastAsia"/>
                      <w:color w:val="000000" w:themeColor="text1"/>
                      <w:vertAlign w:val="baseline"/>
                      <w:lang w:eastAsia="zh-CN"/>
                      <w14:textFill>
                        <w14:solidFill>
                          <w14:schemeClr w14:val="tx1"/>
                        </w14:solidFill>
                      </w14:textFill>
                    </w:rPr>
                  </w:pPr>
                  <w:r>
                    <w:rPr>
                      <w:rFonts w:hint="eastAsia"/>
                      <w:color w:val="000000" w:themeColor="text1"/>
                      <w:vertAlign w:val="baseline"/>
                      <w14:textFill>
                        <w14:solidFill>
                          <w14:schemeClr w14:val="tx1"/>
                        </w14:solidFill>
                      </w14:textFill>
                    </w:rPr>
                    <w:t>符合《韶关市人民政府关于印发韶关市“三线一单”生态环境分区管控方案的通知》(韶府(2021)10号)《韶关市生态环境分区管控动态更新成果》及后续生态环境分区管控动态更新要求</w:t>
                  </w:r>
                  <w:r>
                    <w:rPr>
                      <w:rFonts w:hint="eastAsia"/>
                      <w:color w:val="000000" w:themeColor="text1"/>
                      <w:vertAlign w:val="baseline"/>
                      <w:lang w:eastAsia="zh-CN"/>
                      <w14:textFill>
                        <w14:solidFill>
                          <w14:schemeClr w14:val="tx1"/>
                        </w14:solidFill>
                      </w14:textFill>
                    </w:rPr>
                    <w:t>。</w:t>
                  </w:r>
                </w:p>
              </w:tc>
              <w:tc>
                <w:tcPr>
                  <w:tcW w:w="2172" w:type="dxa"/>
                  <w:vAlign w:val="center"/>
                </w:tcPr>
                <w:p w14:paraId="7765BF25">
                  <w:pPr>
                    <w:jc w:val="center"/>
                    <w:rPr>
                      <w:rFonts w:hint="eastAsia"/>
                      <w:color w:val="000000" w:themeColor="text1"/>
                      <w:vertAlign w:val="baseli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w:t>
                  </w:r>
                  <w:r>
                    <w:rPr>
                      <w:rFonts w:hint="default" w:ascii="Times New Roman" w:hAnsi="Times New Roman" w:cs="Times New Roman"/>
                      <w:color w:val="000000" w:themeColor="text1"/>
                      <w:sz w:val="21"/>
                      <w:szCs w:val="21"/>
                      <w:highlight w:val="none"/>
                      <w:lang w:eastAsia="zh-CN"/>
                      <w14:textFill>
                        <w14:solidFill>
                          <w14:schemeClr w14:val="tx1"/>
                        </w14:solidFill>
                      </w14:textFill>
                    </w:rPr>
                    <w:t>属于</w:t>
                  </w:r>
                  <w:r>
                    <w:rPr>
                      <w:rFonts w:hint="default" w:ascii="Times New Roman" w:hAnsi="Times New Roman" w:cs="Times New Roman"/>
                      <w:color w:val="000000" w:themeColor="text1"/>
                      <w:sz w:val="21"/>
                      <w:szCs w:val="21"/>
                      <w:highlight w:val="none"/>
                      <w14:textFill>
                        <w14:solidFill>
                          <w14:schemeClr w14:val="tx1"/>
                        </w14:solidFill>
                      </w14:textFill>
                    </w:rPr>
                    <w:t>金属表面处理及热处理加工行业，不属于电力、建材、冶炼等重点耗能行业，不涉及水电、风电、矿产资源开发。项目</w:t>
                  </w:r>
                  <w:r>
                    <w:rPr>
                      <w:rFonts w:hint="eastAsia" w:cs="Times New Roman"/>
                      <w:color w:val="000000" w:themeColor="text1"/>
                      <w:sz w:val="21"/>
                      <w:szCs w:val="21"/>
                      <w:highlight w:val="none"/>
                      <w:lang w:val="en-US" w:eastAsia="zh-CN"/>
                      <w14:textFill>
                        <w14:solidFill>
                          <w14:schemeClr w14:val="tx1"/>
                        </w14:solidFill>
                      </w14:textFill>
                    </w:rPr>
                    <w:t>固化炉</w:t>
                  </w:r>
                  <w:r>
                    <w:rPr>
                      <w:rFonts w:hint="default" w:ascii="Times New Roman" w:hAnsi="Times New Roman" w:cs="Times New Roman"/>
                      <w:color w:val="000000" w:themeColor="text1"/>
                      <w:sz w:val="21"/>
                      <w:szCs w:val="21"/>
                      <w:highlight w:val="none"/>
                      <w14:textFill>
                        <w14:solidFill>
                          <w14:schemeClr w14:val="tx1"/>
                        </w14:solidFill>
                      </w14:textFill>
                    </w:rPr>
                    <w:t>能源使用天然气，天然气属于清洁能源。</w:t>
                  </w:r>
                </w:p>
              </w:tc>
              <w:tc>
                <w:tcPr>
                  <w:tcW w:w="482" w:type="dxa"/>
                  <w:vAlign w:val="center"/>
                </w:tcPr>
                <w:p w14:paraId="74C71E57">
                  <w:pPr>
                    <w:jc w:val="center"/>
                    <w:rPr>
                      <w:rFonts w:hint="eastAsia"/>
                      <w:color w:val="000000" w:themeColor="text1"/>
                      <w:vertAlign w:val="baseline"/>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相符</w:t>
                  </w:r>
                </w:p>
              </w:tc>
            </w:tr>
          </w:tbl>
          <w:p w14:paraId="1E94C62D">
            <w:pPr>
              <w:pStyle w:val="109"/>
              <w:keepNext w:val="0"/>
              <w:keepLines w:val="0"/>
              <w:pageBreakBefore w:val="0"/>
              <w:tabs>
                <w:tab w:val="left" w:pos="-2848"/>
              </w:tabs>
              <w:kinsoku/>
              <w:wordWrap w:val="0"/>
              <w:overflowPunct/>
              <w:topLinePunct w:val="0"/>
              <w:bidi w:val="0"/>
              <w:adjustRightInd/>
              <w:snapToGrid/>
              <w:spacing w:line="360" w:lineRule="auto"/>
              <w:ind w:firstLine="476" w:firstLineChars="200"/>
              <w:jc w:val="left"/>
              <w:outlineLvl w:val="9"/>
              <w:rPr>
                <w:rFonts w:hint="eastAsia" w:ascii="Times New Roman" w:hAnsi="Times New Roman" w:cs="Times New Roman"/>
                <w:color w:val="000000" w:themeColor="text1"/>
                <w:spacing w:val="-1"/>
                <w:sz w:val="24"/>
                <w:szCs w:val="24"/>
                <w:highlight w:val="none"/>
                <w:lang w:val="en-US" w:eastAsia="zh-CN"/>
                <w14:textFill>
                  <w14:solidFill>
                    <w14:schemeClr w14:val="tx1"/>
                  </w14:solidFill>
                </w14:textFill>
              </w:rPr>
            </w:pPr>
          </w:p>
        </w:tc>
      </w:tr>
      <w:tr w14:paraId="7C3E30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78" w:type="dxa"/>
            <w:noWrap w:val="0"/>
            <w:vAlign w:val="center"/>
          </w:tcPr>
          <w:p w14:paraId="47132AA7">
            <w:pPr>
              <w:autoSpaceDE w:val="0"/>
              <w:autoSpaceDN w:val="0"/>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其他符合性分析</w:t>
            </w:r>
          </w:p>
        </w:tc>
        <w:tc>
          <w:tcPr>
            <w:tcW w:w="6892" w:type="dxa"/>
            <w:gridSpan w:val="3"/>
            <w:noWrap w:val="0"/>
            <w:vAlign w:val="center"/>
          </w:tcPr>
          <w:p w14:paraId="42BC4FBE">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100" w:lineRule="exact"/>
              <w:jc w:val="left"/>
              <w:textAlignment w:val="auto"/>
              <w:rPr>
                <w:rFonts w:hint="default" w:ascii="Times New Roman" w:hAnsi="Times New Roman" w:eastAsia="宋体" w:cs="Times New Roman"/>
                <w:color w:val="000000" w:themeColor="text1"/>
                <w:kern w:val="0"/>
                <w:highlight w:val="none"/>
                <w14:textFill>
                  <w14:solidFill>
                    <w14:schemeClr w14:val="tx1"/>
                  </w14:solidFill>
                </w14:textFill>
              </w:rPr>
            </w:pPr>
          </w:p>
          <w:p w14:paraId="222300B7">
            <w:pPr>
              <w:adjustRightInd w:val="0"/>
              <w:snapToGrid w:val="0"/>
              <w:spacing w:line="360" w:lineRule="auto"/>
              <w:ind w:firstLine="482" w:firstLineChars="200"/>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14:textFill>
                  <w14:solidFill>
                    <w14:schemeClr w14:val="tx1"/>
                  </w14:solidFill>
                </w14:textFill>
              </w:rPr>
              <w:t>1、产业政策符合性分析</w:t>
            </w:r>
          </w:p>
          <w:p w14:paraId="0EC7AF7B">
            <w:pPr>
              <w:spacing w:line="360" w:lineRule="auto"/>
              <w:ind w:firstLine="480" w:firstLineChars="200"/>
              <w:jc w:val="left"/>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本项目所属行业类别为C3360金属表面处理及热处理加工，根据《产业结构调整指导目录（2024年本）》（国家发展和改革委员会令 第7号），本项目不属于指导目录中的鼓励类、限制类和淘汰类产业，符合国家有关法律、法规和政策规定，属于允许类。经查《市场准入负面清单（202</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年版）》，项目不在清单中禁止和许可两类事项范畴内，可依法平等进入。因此，本项目符合国家产业政策要求。</w:t>
            </w:r>
          </w:p>
          <w:p w14:paraId="66B39871">
            <w:pPr>
              <w:autoSpaceDE w:val="0"/>
              <w:autoSpaceDN w:val="0"/>
              <w:adjustRightInd w:val="0"/>
              <w:snapToGrid w:val="0"/>
              <w:spacing w:line="360" w:lineRule="auto"/>
              <w:ind w:firstLine="482" w:firstLineChars="200"/>
              <w:jc w:val="left"/>
              <w:rPr>
                <w:rFonts w:hint="default" w:ascii="Times New Roman" w:hAnsi="Times New Roman" w:eastAsia="宋体" w:cs="Times New Roman"/>
                <w:b/>
                <w:bCs/>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14:textFill>
                  <w14:solidFill>
                    <w14:schemeClr w14:val="tx1"/>
                  </w14:solidFill>
                </w14:textFill>
              </w:rPr>
              <w:t>2、用地合理性分析</w:t>
            </w:r>
          </w:p>
          <w:p w14:paraId="15E2C782">
            <w:pPr>
              <w:spacing w:line="360" w:lineRule="auto"/>
              <w:ind w:firstLine="480" w:firstLineChars="200"/>
              <w:jc w:val="left"/>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本项目选址于</w:t>
            </w:r>
            <w:r>
              <w:rPr>
                <w:rFonts w:hint="eastAsia" w:ascii="Times New Roman" w:hAnsi="Times New Roman" w:eastAsia="宋体" w:cs="Times New Roman"/>
                <w:color w:val="000000" w:themeColor="text1"/>
                <w:kern w:val="0"/>
                <w:sz w:val="24"/>
                <w:szCs w:val="24"/>
                <w:highlight w:val="none"/>
                <w:lang w:eastAsia="zh-CN" w:bidi="ar"/>
                <w14:textFill>
                  <w14:solidFill>
                    <w14:schemeClr w14:val="tx1"/>
                  </w14:solidFill>
                </w14:textFill>
              </w:rPr>
              <w:t>韶关市乐昌市乐昌经济开发区管理委员会后座046号</w:t>
            </w: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根据建设单位提供的</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不动产权证</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粤（2025）乐昌市不动产权0009019号</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（见附件</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本项目宗地</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面积</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54139.29</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m</w:t>
            </w:r>
            <w:r>
              <w:rPr>
                <w:rFonts w:hint="default" w:ascii="Times New Roman" w:hAnsi="Times New Roman" w:eastAsia="宋体" w:cs="Times New Roman"/>
                <w:bCs/>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属于</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工业</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用地</w:t>
            </w:r>
            <w:r>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t>，没有占用</w:t>
            </w:r>
            <w:r>
              <w:rPr>
                <w:rFonts w:hint="eastAsia" w:cs="Times New Roman"/>
                <w:color w:val="000000" w:themeColor="text1"/>
                <w:kern w:val="0"/>
                <w:sz w:val="24"/>
                <w:szCs w:val="24"/>
                <w:highlight w:val="none"/>
                <w:lang w:eastAsia="zh-CN"/>
                <w14:textFill>
                  <w14:solidFill>
                    <w14:schemeClr w14:val="tx1"/>
                  </w14:solidFill>
                </w14:textFill>
              </w:rPr>
              <w:t>基本农田</w:t>
            </w:r>
            <w:r>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t>，符合韶关市城市建设和环境功能区规划的要求，且具有水、电等供应保障，交通便利等条件。项目周围没有风景名胜区、生态脆弱带等。故项目选址是合理的。</w:t>
            </w:r>
          </w:p>
          <w:p w14:paraId="366ECB08">
            <w:pPr>
              <w:spacing w:line="360" w:lineRule="auto"/>
              <w:ind w:firstLine="482" w:firstLineChars="200"/>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3、与环境功能区划相符性分析</w:t>
            </w:r>
          </w:p>
          <w:p w14:paraId="1BE3721C">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t>（1）根据《广东省人民政府关于印发部分市乡镇集中式饮用水源保护区划分方案的通知》（粤府函〔2015〕17号）</w:t>
            </w:r>
            <w:r>
              <w:rPr>
                <w:rFonts w:hint="eastAsia" w:ascii="Times New Roman" w:hAnsi="Times New Roman" w:eastAsia="宋体" w:cs="Times New Roman"/>
                <w:b w:val="0"/>
                <w:bCs w:val="0"/>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t>《广东省人民政府关于调整韶关市部分饮用水水源保护区的批复》（粤府函〔2018〕427号）及</w:t>
            </w:r>
            <w:r>
              <w:rPr>
                <w:rFonts w:hint="eastAsia" w:ascii="Times New Roman" w:hAnsi="Times New Roman" w:eastAsia="宋体" w:cs="Times New Roman"/>
                <w:b w:val="0"/>
                <w:bCs w:val="0"/>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t>广东省生态环境厅 广东省水利厅关于印发〈韶关市部分饮用水水源保护区调整方案〉的通知</w:t>
            </w:r>
            <w:r>
              <w:rPr>
                <w:rFonts w:hint="eastAsia" w:ascii="Times New Roman" w:hAnsi="Times New Roman" w:eastAsia="宋体" w:cs="Times New Roman"/>
                <w:b w:val="0"/>
                <w:bCs w:val="0"/>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t>粤环函〔2024〕146号</w:t>
            </w:r>
            <w:r>
              <w:rPr>
                <w:rFonts w:hint="eastAsia" w:ascii="Times New Roman" w:hAnsi="Times New Roman" w:eastAsia="宋体" w:cs="Times New Roman"/>
                <w:b w:val="0"/>
                <w:bCs w:val="0"/>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t>，项目所在地不属于韶关市一、二级水源保护区，符合水污染防治条例的有关要求。</w:t>
            </w:r>
          </w:p>
          <w:p w14:paraId="7DCE3E38">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t>（2）根据《乐昌市人民政府办公室关于印发乐昌市生态环境保护“十四五”规划的通知》（乐府办〔2022〕16号）中《乐昌市“十四五”生态环境保护规划大气环境功能区划图》，项目所在区域为环境空气质量二类功能区，不属于环境空气质量一类功能区中的自然保护区风景名胜区和</w:t>
            </w:r>
            <w:r>
              <w:rPr>
                <w:rFonts w:hint="default" w:ascii="Times New Roman" w:hAnsi="Times New Roman" w:eastAsia="宋体" w:cs="Times New Roman"/>
                <w:b w:val="0"/>
                <w:bCs w:val="0"/>
                <w:color w:val="000000" w:themeColor="text1"/>
                <w:kern w:val="0"/>
                <w:sz w:val="24"/>
                <w:highlight w:val="none"/>
                <w:lang w:eastAsia="zh-CN"/>
                <w14:textFill>
                  <w14:solidFill>
                    <w14:schemeClr w14:val="tx1"/>
                  </w14:solidFill>
                </w14:textFill>
              </w:rPr>
              <w:t>其他需要</w:t>
            </w:r>
            <w:r>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t>特殊保护的区域。</w:t>
            </w:r>
          </w:p>
          <w:p w14:paraId="17423262">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t>（3）根据《乐昌产业转移工业园</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城东片区控制性详细规划修编</w:t>
            </w:r>
            <w:r>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t>》及</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不动产权证</w:t>
            </w:r>
            <w:r>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t>，项目所在地</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块</w:t>
            </w:r>
            <w:r>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t>为工业用地，项目所在区域为声环境3类</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和4a类</w:t>
            </w:r>
            <w:r>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t>区，不属于声环境1类区。</w:t>
            </w:r>
          </w:p>
          <w:p w14:paraId="2E30AF25">
            <w:pPr>
              <w:spacing w:line="360" w:lineRule="auto"/>
              <w:ind w:firstLine="482" w:firstLineChars="200"/>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eastAsia" w:ascii="Times New Roman" w:hAnsi="Times New Roman" w:eastAsia="宋体" w:cs="Times New Roman"/>
                <w:b/>
                <w:bCs/>
                <w:color w:val="000000" w:themeColor="text1"/>
                <w:kern w:val="0"/>
                <w:sz w:val="24"/>
                <w:highlight w:val="none"/>
                <w:lang w:val="en-US" w:eastAsia="zh-CN"/>
                <w14:textFill>
                  <w14:solidFill>
                    <w14:schemeClr w14:val="tx1"/>
                  </w14:solidFill>
                </w14:textFill>
              </w:rPr>
              <w:t>4、</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与</w:t>
            </w:r>
            <w:r>
              <w:rPr>
                <w:rFonts w:hint="eastAsia" w:ascii="Times New Roman" w:hAnsi="Times New Roman" w:eastAsia="宋体" w:cs="Times New Roman"/>
                <w:b/>
                <w:bCs/>
                <w:color w:val="000000" w:themeColor="text1"/>
                <w:kern w:val="0"/>
                <w:sz w:val="24"/>
                <w:highlight w:val="none"/>
                <w:lang w:val="en-US" w:eastAsia="zh-CN"/>
                <w14:textFill>
                  <w14:solidFill>
                    <w14:schemeClr w14:val="tx1"/>
                  </w14:solidFill>
                </w14:textFill>
              </w:rPr>
              <w:t>国土空间规划、</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三区三线符合性分析</w:t>
            </w:r>
          </w:p>
          <w:p w14:paraId="70F1B978">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根据《乐昌市人民政府关于印发乐昌市国土空间总体规划（2021—2035年）的通知》（乐府〔2025〕5号）和广东省三区三线专题图叠图分析（见附图13）</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，项目用地位于城镇开发边界范围内</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，不在</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基本农田保护红线</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和</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生态保护红线</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范围内</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p>
          <w:p w14:paraId="7F5CEA32">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综上所述，本评价认为项目选址合理。</w:t>
            </w:r>
          </w:p>
          <w:p w14:paraId="67169B12">
            <w:pPr>
              <w:spacing w:line="360" w:lineRule="auto"/>
              <w:ind w:firstLine="482" w:firstLineChars="200"/>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4"/>
                <w:highlight w:val="none"/>
                <w:lang w:val="en-US" w:eastAsia="zh-CN"/>
                <w14:textFill>
                  <w14:solidFill>
                    <w14:schemeClr w14:val="tx1"/>
                  </w14:solidFill>
                </w14:textFill>
              </w:rPr>
              <w:t>5、</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与《工业和信息化部发布〈限期淘汰产生严重污染环境的工业固体废物的落后生产工艺设备名录〉公告》（中华人民共和国工业和信息化部公告2021年第25号）相符性分析</w:t>
            </w:r>
          </w:p>
          <w:p w14:paraId="6F674DAA">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本项目所用生产工艺及设备不属于《限期淘汰产生严重污染环境的工业固体废物的落后生产工艺设备名录》中限期淘汰的落后生产工艺设备，故与《工业和信息化部发布〈限期淘汰产生严重污染环境的工业固体废物的落后生产工艺设备名录〉公告》（中华人民共和国工业和信息化部公告2021年第25号）相符。</w:t>
            </w:r>
          </w:p>
          <w:p w14:paraId="77A153F3">
            <w:pPr>
              <w:spacing w:line="360" w:lineRule="auto"/>
              <w:ind w:firstLine="482"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
                <w:bCs/>
                <w:color w:val="000000" w:themeColor="text1"/>
                <w:sz w:val="24"/>
                <w:highlight w:val="none"/>
                <w14:textFill>
                  <w14:solidFill>
                    <w14:schemeClr w14:val="tx1"/>
                  </w14:solidFill>
                </w14:textFill>
              </w:rPr>
              <w:t>与《广东省“三线一单”生态环境分区管控方案》</w:t>
            </w:r>
            <w:r>
              <w:rPr>
                <w:rFonts w:hint="default" w:ascii="Times New Roman" w:hAnsi="Times New Roman" w:eastAsia="宋体" w:cs="Times New Roman"/>
                <w:b/>
                <w:bCs/>
                <w:color w:val="000000" w:themeColor="text1"/>
                <w:sz w:val="24"/>
                <w:highlight w:val="none"/>
                <w:lang w:eastAsia="zh-CN"/>
                <w14:textFill>
                  <w14:solidFill>
                    <w14:schemeClr w14:val="tx1"/>
                  </w14:solidFill>
                </w14:textFill>
              </w:rPr>
              <w:t>《广东省2023年度生态环境分区管控动态更新成果公告》</w:t>
            </w:r>
            <w:r>
              <w:rPr>
                <w:rFonts w:hint="default" w:ascii="Times New Roman" w:hAnsi="Times New Roman" w:eastAsia="宋体" w:cs="Times New Roman"/>
                <w:b/>
                <w:bCs/>
                <w:color w:val="000000" w:themeColor="text1"/>
                <w:sz w:val="24"/>
                <w:highlight w:val="none"/>
                <w14:textFill>
                  <w14:solidFill>
                    <w14:schemeClr w14:val="tx1"/>
                  </w14:solidFill>
                </w14:textFill>
              </w:rPr>
              <w:t>相符性分析</w:t>
            </w:r>
          </w:p>
          <w:p w14:paraId="1B4F9B2C">
            <w:pPr>
              <w:spacing w:line="360" w:lineRule="auto"/>
              <w:ind w:firstLine="482"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t>①</w:t>
            </w:r>
            <w:r>
              <w:rPr>
                <w:rFonts w:hint="default" w:ascii="Times New Roman" w:hAnsi="Times New Roman" w:eastAsia="宋体" w:cs="Times New Roman"/>
                <w:b/>
                <w:bCs/>
                <w:color w:val="000000" w:themeColor="text1"/>
                <w:sz w:val="24"/>
                <w:highlight w:val="none"/>
                <w14:textFill>
                  <w14:solidFill>
                    <w14:schemeClr w14:val="tx1"/>
                  </w14:solidFill>
                </w14:textFill>
              </w:rPr>
              <w:t>与《广东省“三线一单”生态环境分区管控方案》</w:t>
            </w:r>
            <w:r>
              <w:rPr>
                <w:rFonts w:hint="default" w:ascii="Times New Roman" w:hAnsi="Times New Roman" w:eastAsia="宋体" w:cs="Times New Roman"/>
                <w:b/>
                <w:bCs/>
                <w:color w:val="000000" w:themeColor="text1"/>
                <w:sz w:val="24"/>
                <w:highlight w:val="none"/>
                <w:lang w:eastAsia="zh-CN"/>
                <w14:textFill>
                  <w14:solidFill>
                    <w14:schemeClr w14:val="tx1"/>
                  </w14:solidFill>
                </w14:textFill>
              </w:rPr>
              <w:t>《广东省2023年度生态环境分区管控动态更新成果公告》</w:t>
            </w:r>
            <w:r>
              <w:rPr>
                <w:rFonts w:hint="default" w:ascii="Times New Roman" w:hAnsi="Times New Roman" w:eastAsia="宋体" w:cs="Times New Roman"/>
                <w:b/>
                <w:bCs/>
                <w:color w:val="000000" w:themeColor="text1"/>
                <w:sz w:val="24"/>
                <w:highlight w:val="none"/>
                <w14:textFill>
                  <w14:solidFill>
                    <w14:schemeClr w14:val="tx1"/>
                  </w14:solidFill>
                </w14:textFill>
              </w:rPr>
              <w:t>相符性分析</w:t>
            </w:r>
          </w:p>
          <w:p w14:paraId="62524CA9">
            <w:pPr>
              <w:pStyle w:val="15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与《广东省“三线一单”生态环境分区管控方案》《广东省</w:t>
            </w:r>
            <w:r>
              <w:rPr>
                <w:rFonts w:hint="eastAsia"/>
                <w:color w:val="000000" w:themeColor="text1"/>
                <w:sz w:val="21"/>
                <w:szCs w:val="21"/>
                <w:highlight w:val="none"/>
                <w:lang w:val="en-US" w:eastAsia="zh-CN"/>
                <w14:textFill>
                  <w14:solidFill>
                    <w14:schemeClr w14:val="tx1"/>
                  </w14:solidFill>
                </w14:textFill>
              </w:rPr>
              <w:br w:type="textWrapping"/>
            </w:r>
            <w:r>
              <w:rPr>
                <w:rFonts w:hint="eastAsia"/>
                <w:color w:val="000000" w:themeColor="text1"/>
                <w:sz w:val="21"/>
                <w:szCs w:val="21"/>
                <w:highlight w:val="none"/>
                <w:lang w:val="en-US" w:eastAsia="zh-CN"/>
                <w14:textFill>
                  <w14:solidFill>
                    <w14:schemeClr w14:val="tx1"/>
                  </w14:solidFill>
                </w14:textFill>
              </w:rPr>
              <w:t>2023年度生态环境分区管控动态更新成果公告》</w:t>
            </w:r>
            <w:r>
              <w:rPr>
                <w:rFonts w:hint="eastAsia"/>
                <w:color w:val="000000" w:themeColor="text1"/>
                <w:sz w:val="21"/>
                <w:szCs w:val="21"/>
                <w:highlight w:val="none"/>
                <w14:textFill>
                  <w14:solidFill>
                    <w14:schemeClr w14:val="tx1"/>
                  </w14:solidFill>
                </w14:textFill>
              </w:rPr>
              <w:t>相符性分析一览表</w:t>
            </w:r>
          </w:p>
          <w:tbl>
            <w:tblPr>
              <w:tblStyle w:val="4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706"/>
              <w:gridCol w:w="2858"/>
              <w:gridCol w:w="2202"/>
              <w:gridCol w:w="468"/>
            </w:tblGrid>
            <w:tr w14:paraId="4567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tcBorders>
                    <w:top w:val="single" w:color="auto" w:sz="4" w:space="0"/>
                    <w:left w:val="single" w:color="auto" w:sz="4" w:space="0"/>
                    <w:bottom w:val="single" w:color="auto" w:sz="4" w:space="0"/>
                    <w:right w:val="single" w:color="auto" w:sz="4" w:space="0"/>
                  </w:tcBorders>
                  <w:noWrap w:val="0"/>
                  <w:vAlign w:val="center"/>
                </w:tcPr>
                <w:p w14:paraId="74E3C6D0">
                  <w:pPr>
                    <w:widowControl w:val="0"/>
                    <w:kinsoku/>
                    <w:autoSpaceDE/>
                    <w:autoSpaceDN/>
                    <w:adjustRightInd/>
                    <w:snapToGrid/>
                    <w:spacing w:line="240" w:lineRule="auto"/>
                    <w:jc w:val="center"/>
                    <w:textAlignment w:val="auto"/>
                    <w:rPr>
                      <w:rFonts w:hint="default" w:ascii="Times New Roman" w:hAnsi="Times New Roman" w:cs="Times New Roman"/>
                      <w:b/>
                      <w:bCs/>
                      <w:color w:val="000000" w:themeColor="text1"/>
                      <w:sz w:val="21"/>
                      <w:szCs w:val="21"/>
                      <w:highlight w:val="none"/>
                      <w:lang w:val="en-US"/>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序号</w:t>
                  </w:r>
                </w:p>
              </w:tc>
              <w:tc>
                <w:tcPr>
                  <w:tcW w:w="530" w:type="pct"/>
                  <w:tcBorders>
                    <w:top w:val="single" w:color="auto" w:sz="4" w:space="0"/>
                    <w:left w:val="single" w:color="auto" w:sz="4" w:space="0"/>
                    <w:bottom w:val="single" w:color="auto" w:sz="4" w:space="0"/>
                    <w:right w:val="single" w:color="auto" w:sz="4" w:space="0"/>
                  </w:tcBorders>
                  <w:noWrap w:val="0"/>
                  <w:vAlign w:val="center"/>
                </w:tcPr>
                <w:p w14:paraId="47390F80">
                  <w:pPr>
                    <w:widowControl w:val="0"/>
                    <w:kinsoku/>
                    <w:autoSpaceDE/>
                    <w:autoSpaceDN/>
                    <w:adjustRightInd/>
                    <w:snapToGrid/>
                    <w:spacing w:line="240" w:lineRule="auto"/>
                    <w:jc w:val="center"/>
                    <w:textAlignment w:val="auto"/>
                    <w:rPr>
                      <w:rFonts w:hint="default" w:ascii="Times New Roman" w:hAnsi="Times New Roman" w:cs="Times New Roman"/>
                      <w:b/>
                      <w:bCs/>
                      <w:color w:val="000000" w:themeColor="text1"/>
                      <w:sz w:val="21"/>
                      <w:szCs w:val="21"/>
                      <w:highlight w:val="none"/>
                      <w:lang w:val="en-US"/>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管控要求</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2B1E65E1">
                  <w:pPr>
                    <w:widowControl w:val="0"/>
                    <w:kinsoku/>
                    <w:autoSpaceDE/>
                    <w:autoSpaceDN/>
                    <w:adjustRightInd/>
                    <w:snapToGrid/>
                    <w:spacing w:line="240" w:lineRule="auto"/>
                    <w:jc w:val="center"/>
                    <w:textAlignment w:val="auto"/>
                    <w:rPr>
                      <w:rFonts w:hint="default" w:ascii="Times New Roman" w:hAnsi="Times New Roman" w:cs="Times New Roman"/>
                      <w:b/>
                      <w:bCs/>
                      <w:color w:val="000000" w:themeColor="text1"/>
                      <w:sz w:val="21"/>
                      <w:szCs w:val="21"/>
                      <w:highlight w:val="none"/>
                      <w:lang w:val="en-US"/>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具体内容</w:t>
                  </w:r>
                </w:p>
              </w:tc>
              <w:tc>
                <w:tcPr>
                  <w:tcW w:w="1652" w:type="pct"/>
                  <w:tcBorders>
                    <w:top w:val="single" w:color="auto" w:sz="4" w:space="0"/>
                    <w:left w:val="single" w:color="auto" w:sz="4" w:space="0"/>
                    <w:bottom w:val="single" w:color="auto" w:sz="4" w:space="0"/>
                    <w:right w:val="single" w:color="auto" w:sz="4" w:space="0"/>
                  </w:tcBorders>
                  <w:noWrap w:val="0"/>
                  <w:vAlign w:val="center"/>
                </w:tcPr>
                <w:p w14:paraId="00B7927D">
                  <w:pPr>
                    <w:widowControl w:val="0"/>
                    <w:kinsoku/>
                    <w:autoSpaceDE/>
                    <w:autoSpaceDN/>
                    <w:adjustRightInd/>
                    <w:snapToGrid/>
                    <w:spacing w:line="240" w:lineRule="auto"/>
                    <w:jc w:val="center"/>
                    <w:textAlignment w:val="auto"/>
                    <w:rPr>
                      <w:rFonts w:hint="default" w:ascii="Times New Roman" w:hAnsi="Times New Roman" w:cs="Times New Roman"/>
                      <w:b/>
                      <w:bCs/>
                      <w:color w:val="000000" w:themeColor="text1"/>
                      <w:sz w:val="21"/>
                      <w:szCs w:val="21"/>
                      <w:highlight w:val="none"/>
                      <w:lang w:val="en-US"/>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本项目情况</w:t>
                  </w:r>
                </w:p>
              </w:tc>
              <w:tc>
                <w:tcPr>
                  <w:tcW w:w="351" w:type="pct"/>
                  <w:tcBorders>
                    <w:top w:val="single" w:color="auto" w:sz="4" w:space="0"/>
                    <w:left w:val="single" w:color="auto" w:sz="4" w:space="0"/>
                    <w:bottom w:val="single" w:color="auto" w:sz="4" w:space="0"/>
                    <w:right w:val="single" w:color="auto" w:sz="4" w:space="0"/>
                  </w:tcBorders>
                  <w:noWrap w:val="0"/>
                  <w:vAlign w:val="center"/>
                </w:tcPr>
                <w:p w14:paraId="2056B750">
                  <w:pPr>
                    <w:widowControl w:val="0"/>
                    <w:kinsoku/>
                    <w:autoSpaceDE/>
                    <w:autoSpaceDN/>
                    <w:adjustRightInd/>
                    <w:snapToGrid/>
                    <w:spacing w:line="240" w:lineRule="auto"/>
                    <w:jc w:val="center"/>
                    <w:textAlignment w:val="auto"/>
                    <w:rPr>
                      <w:rFonts w:hint="default" w:ascii="Times New Roman" w:hAnsi="Times New Roman" w:cs="Times New Roman"/>
                      <w:b/>
                      <w:bCs/>
                      <w:color w:val="000000" w:themeColor="text1"/>
                      <w:sz w:val="21"/>
                      <w:szCs w:val="21"/>
                      <w:highlight w:val="none"/>
                      <w:lang w:val="en-US"/>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符合性</w:t>
                  </w:r>
                </w:p>
              </w:tc>
            </w:tr>
            <w:tr w14:paraId="0BE1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tcBorders>
                    <w:top w:val="single" w:color="auto" w:sz="4" w:space="0"/>
                    <w:left w:val="single" w:color="auto" w:sz="4" w:space="0"/>
                    <w:bottom w:val="single" w:color="auto" w:sz="4" w:space="0"/>
                    <w:right w:val="single" w:color="auto" w:sz="4" w:space="0"/>
                  </w:tcBorders>
                  <w:noWrap w:val="0"/>
                  <w:vAlign w:val="center"/>
                </w:tcPr>
                <w:p w14:paraId="4834B7AB">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w:t>
                  </w:r>
                </w:p>
              </w:tc>
              <w:tc>
                <w:tcPr>
                  <w:tcW w:w="530" w:type="pct"/>
                  <w:tcBorders>
                    <w:top w:val="single" w:color="auto" w:sz="4" w:space="0"/>
                    <w:left w:val="single" w:color="auto" w:sz="4" w:space="0"/>
                    <w:bottom w:val="single" w:color="auto" w:sz="4" w:space="0"/>
                    <w:right w:val="single" w:color="auto" w:sz="4" w:space="0"/>
                  </w:tcBorders>
                  <w:noWrap w:val="0"/>
                  <w:vAlign w:val="center"/>
                </w:tcPr>
                <w:p w14:paraId="6CA529E6">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生态保护红线</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及一般生态空间</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7E255E25">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动态更新后，全省陆域生态保护红线面积34202.57平方公里，占陆域国土面积19.03%；一般生态空间面积29200.30平方公里，占陆域国土面积16.25%。全省海洋生态保护红线面积1.66万平方公里，占全省管辖海域面积的25.66%。</w:t>
                  </w:r>
                </w:p>
              </w:tc>
              <w:tc>
                <w:tcPr>
                  <w:tcW w:w="1652" w:type="pct"/>
                  <w:tcBorders>
                    <w:top w:val="single" w:color="auto" w:sz="4" w:space="0"/>
                    <w:left w:val="single" w:color="auto" w:sz="4" w:space="0"/>
                    <w:bottom w:val="single" w:color="auto" w:sz="4" w:space="0"/>
                    <w:right w:val="single" w:color="auto" w:sz="4" w:space="0"/>
                  </w:tcBorders>
                  <w:noWrap w:val="0"/>
                  <w:vAlign w:val="center"/>
                </w:tcPr>
                <w:p w14:paraId="72DADB13">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sz w:val="21"/>
                      <w:szCs w:val="21"/>
                      <w:highlight w:val="none"/>
                      <w:lang w:val="en-US"/>
                      <w14:textFill>
                        <w14:solidFill>
                          <w14:schemeClr w14:val="tx1"/>
                        </w14:solidFill>
                      </w14:textFill>
                    </w:rPr>
                    <w:t>项目位于</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韶关市乐昌市乐昌经济开发区管理委员会后座046号</w:t>
                  </w:r>
                  <w:r>
                    <w:rPr>
                      <w:rFonts w:hint="default" w:ascii="Times New Roman" w:hAnsi="Times New Roman" w:cs="Times New Roman"/>
                      <w:color w:val="000000" w:themeColor="text1"/>
                      <w:sz w:val="21"/>
                      <w:szCs w:val="21"/>
                      <w:highlight w:val="none"/>
                      <w:lang w:val="en-US"/>
                      <w14:textFill>
                        <w14:solidFill>
                          <w14:schemeClr w14:val="tx1"/>
                        </w14:solidFill>
                      </w14:textFill>
                    </w:rPr>
                    <w:t>，根据广东省生态环境分区管控信息平台（见附图1</w:t>
                  </w:r>
                  <w:r>
                    <w:rPr>
                      <w:rFonts w:hint="eastAsia" w:ascii="Times New Roman" w:cs="Times New Roman"/>
                      <w:color w:val="000000" w:themeColor="text1"/>
                      <w:sz w:val="21"/>
                      <w:szCs w:val="21"/>
                      <w:highlight w:val="none"/>
                      <w:lang w:val="en-US" w:eastAsia="zh-CN"/>
                      <w14:textFill>
                        <w14:solidFill>
                          <w14:schemeClr w14:val="tx1"/>
                        </w14:solidFill>
                      </w14:textFill>
                    </w:rPr>
                    <w:t>4-1</w:t>
                  </w:r>
                  <w:r>
                    <w:rPr>
                      <w:rFonts w:hint="default" w:ascii="Times New Roman" w:hAnsi="Times New Roman" w:cs="Times New Roman"/>
                      <w:color w:val="000000" w:themeColor="text1"/>
                      <w:sz w:val="21"/>
                      <w:szCs w:val="21"/>
                      <w:highlight w:val="none"/>
                      <w:lang w:val="en-US"/>
                      <w14:textFill>
                        <w14:solidFill>
                          <w14:schemeClr w14:val="tx1"/>
                        </w14:solidFill>
                      </w14:textFill>
                    </w:rPr>
                    <w:t>），项目不在生态红线和一般生态空间范围内，符合生态红线及一般生态空间要求。</w:t>
                  </w:r>
                </w:p>
              </w:tc>
              <w:tc>
                <w:tcPr>
                  <w:tcW w:w="351" w:type="pct"/>
                  <w:tcBorders>
                    <w:top w:val="single" w:color="auto" w:sz="4" w:space="0"/>
                    <w:left w:val="single" w:color="auto" w:sz="4" w:space="0"/>
                    <w:bottom w:val="single" w:color="auto" w:sz="4" w:space="0"/>
                    <w:right w:val="single" w:color="auto" w:sz="4" w:space="0"/>
                  </w:tcBorders>
                  <w:noWrap w:val="0"/>
                  <w:vAlign w:val="center"/>
                </w:tcPr>
                <w:p w14:paraId="050ECA10">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符合</w:t>
                  </w:r>
                </w:p>
              </w:tc>
            </w:tr>
            <w:tr w14:paraId="3C496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tcBorders>
                    <w:top w:val="single" w:color="auto" w:sz="4" w:space="0"/>
                    <w:left w:val="single" w:color="auto" w:sz="4" w:space="0"/>
                    <w:bottom w:val="single" w:color="auto" w:sz="4" w:space="0"/>
                    <w:right w:val="single" w:color="auto" w:sz="4" w:space="0"/>
                  </w:tcBorders>
                  <w:noWrap w:val="0"/>
                  <w:vAlign w:val="center"/>
                </w:tcPr>
                <w:p w14:paraId="6D3AD612">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w:t>
                  </w:r>
                </w:p>
              </w:tc>
              <w:tc>
                <w:tcPr>
                  <w:tcW w:w="530" w:type="pct"/>
                  <w:tcBorders>
                    <w:top w:val="single" w:color="auto" w:sz="4" w:space="0"/>
                    <w:left w:val="single" w:color="auto" w:sz="4" w:space="0"/>
                    <w:bottom w:val="single" w:color="auto" w:sz="4" w:space="0"/>
                    <w:right w:val="single" w:color="auto" w:sz="4" w:space="0"/>
                  </w:tcBorders>
                  <w:noWrap w:val="0"/>
                  <w:vAlign w:val="center"/>
                </w:tcPr>
                <w:p w14:paraId="2201397C">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环境质量底线</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2CB8E8F0">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b w:val="0"/>
                      <w:bCs w:val="0"/>
                      <w:snapToGrid/>
                      <w:color w:val="000000" w:themeColor="text1"/>
                      <w:kern w:val="2"/>
                      <w:szCs w:val="21"/>
                      <w:highlight w:val="none"/>
                      <w:lang w:val="en-US" w:eastAsia="zh-CN"/>
                      <w14:textFill>
                        <w14:solidFill>
                          <w14:schemeClr w14:val="tx1"/>
                        </w14:solidFill>
                      </w14:textFill>
                    </w:rPr>
                    <w:t>全省</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水环境质量持续改善，国考、省考断面优良水质比例稳步提升，全面消除劣Ⅳ类水体。大气环境质量继续领跑先行，PM</w:t>
                  </w:r>
                  <w:r>
                    <w:rPr>
                      <w:rFonts w:hint="default" w:ascii="Times New Roman" w:hAnsi="Times New Roman" w:cs="Times New Roman"/>
                      <w:color w:val="000000" w:themeColor="text1"/>
                      <w:sz w:val="21"/>
                      <w:szCs w:val="21"/>
                      <w:highlight w:val="none"/>
                      <w:vertAlign w:val="subscript"/>
                      <w:lang w:val="en-US" w:eastAsia="zh-CN"/>
                      <w14:textFill>
                        <w14:solidFill>
                          <w14:schemeClr w14:val="tx1"/>
                        </w14:solidFill>
                      </w14:textFill>
                    </w:rPr>
                    <w:t>2.5</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年均浓度率先达到世界卫生组织过渡期二阶段目标值（25微克/立方米），臭氧污染得到有效遏制。土壤环境质量稳中向好，土壤环境风险得到管控。近岸海域水体质量稳步提升。</w:t>
                  </w:r>
                </w:p>
              </w:tc>
              <w:tc>
                <w:tcPr>
                  <w:tcW w:w="1652" w:type="pct"/>
                  <w:tcBorders>
                    <w:top w:val="single" w:color="auto" w:sz="4" w:space="0"/>
                    <w:left w:val="single" w:color="auto" w:sz="4" w:space="0"/>
                    <w:bottom w:val="single" w:color="auto" w:sz="4" w:space="0"/>
                    <w:right w:val="single" w:color="auto" w:sz="4" w:space="0"/>
                  </w:tcBorders>
                  <w:noWrap w:val="0"/>
                  <w:vAlign w:val="center"/>
                </w:tcPr>
                <w:p w14:paraId="4FA8C567">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sz w:val="21"/>
                      <w:szCs w:val="21"/>
                      <w:highlight w:val="none"/>
                      <w:lang w:val="en-US"/>
                      <w14:textFill>
                        <w14:solidFill>
                          <w14:schemeClr w14:val="tx1"/>
                        </w14:solidFill>
                      </w14:textFill>
                    </w:rPr>
                    <w:t>根据《202</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4</w:t>
                  </w:r>
                  <w:r>
                    <w:rPr>
                      <w:rFonts w:hint="default" w:ascii="Times New Roman" w:hAnsi="Times New Roman" w:cs="Times New Roman"/>
                      <w:color w:val="000000" w:themeColor="text1"/>
                      <w:sz w:val="21"/>
                      <w:szCs w:val="21"/>
                      <w:highlight w:val="none"/>
                      <w:lang w:val="en-US"/>
                      <w14:textFill>
                        <w14:solidFill>
                          <w14:schemeClr w14:val="tx1"/>
                        </w14:solidFill>
                      </w14:textFill>
                    </w:rPr>
                    <w:t>年韶关市生态环境状况公报》，可知项目所在地大气环境质量属于达标区，地表水环境质量现状良好。</w:t>
                  </w:r>
                  <w:r>
                    <w:rPr>
                      <w:rFonts w:hint="eastAsia" w:ascii="Times New Roman" w:cs="Times New Roman"/>
                      <w:color w:val="000000" w:themeColor="text1"/>
                      <w:sz w:val="21"/>
                      <w:szCs w:val="21"/>
                      <w:highlight w:val="none"/>
                      <w:lang w:val="en-US" w:eastAsia="zh-CN"/>
                      <w14:textFill>
                        <w14:solidFill>
                          <w14:schemeClr w14:val="tx1"/>
                        </w14:solidFill>
                      </w14:textFill>
                    </w:rPr>
                    <w:t>项目</w:t>
                  </w:r>
                  <w:r>
                    <w:rPr>
                      <w:rFonts w:hint="default" w:ascii="Times New Roman" w:hAnsi="Times New Roman" w:cs="Times New Roman"/>
                      <w:color w:val="000000" w:themeColor="text1"/>
                      <w:sz w:val="21"/>
                      <w:szCs w:val="21"/>
                      <w:highlight w:val="none"/>
                      <w:lang w:val="en-US"/>
                      <w14:textFill>
                        <w14:solidFill>
                          <w14:schemeClr w14:val="tx1"/>
                        </w14:solidFill>
                      </w14:textFill>
                    </w:rPr>
                    <w:t>生活污水、生产废水经预处理后引入园区污水处理厂处理，不直接排入水体</w:t>
                  </w:r>
                  <w:r>
                    <w:rPr>
                      <w:rFonts w:hint="eastAsia" w:ascii="Times New Roman" w:cs="Times New Roman"/>
                      <w:color w:val="000000" w:themeColor="text1"/>
                      <w:sz w:val="21"/>
                      <w:szCs w:val="21"/>
                      <w:highlight w:val="none"/>
                      <w:lang w:val="en-US" w:eastAsia="zh-CN"/>
                      <w14:textFill>
                        <w14:solidFill>
                          <w14:schemeClr w14:val="tx1"/>
                        </w14:solidFill>
                      </w14:textFill>
                    </w:rPr>
                    <w:t>。项目废气经收集处理后均达标排放，排放量较小，</w:t>
                  </w:r>
                  <w:r>
                    <w:rPr>
                      <w:rFonts w:hint="default" w:ascii="Times New Roman" w:hAnsi="Times New Roman" w:cs="Times New Roman"/>
                      <w:color w:val="000000" w:themeColor="text1"/>
                      <w:sz w:val="21"/>
                      <w:szCs w:val="21"/>
                      <w:highlight w:val="none"/>
                      <w:lang w:val="en-US"/>
                      <w14:textFill>
                        <w14:solidFill>
                          <w14:schemeClr w14:val="tx1"/>
                        </w14:solidFill>
                      </w14:textFill>
                    </w:rPr>
                    <w:t>不会突破当地环境质量底线，符合环境质量底线要求。</w:t>
                  </w:r>
                </w:p>
              </w:tc>
              <w:tc>
                <w:tcPr>
                  <w:tcW w:w="351" w:type="pct"/>
                  <w:tcBorders>
                    <w:top w:val="single" w:color="auto" w:sz="4" w:space="0"/>
                    <w:left w:val="single" w:color="auto" w:sz="4" w:space="0"/>
                    <w:bottom w:val="single" w:color="auto" w:sz="4" w:space="0"/>
                    <w:right w:val="single" w:color="auto" w:sz="4" w:space="0"/>
                  </w:tcBorders>
                  <w:noWrap w:val="0"/>
                  <w:vAlign w:val="center"/>
                </w:tcPr>
                <w:p w14:paraId="73274F33">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符合</w:t>
                  </w:r>
                </w:p>
              </w:tc>
            </w:tr>
            <w:tr w14:paraId="7740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tcBorders>
                    <w:top w:val="single" w:color="auto" w:sz="4" w:space="0"/>
                    <w:left w:val="single" w:color="auto" w:sz="4" w:space="0"/>
                    <w:bottom w:val="single" w:color="auto" w:sz="4" w:space="0"/>
                    <w:right w:val="single" w:color="auto" w:sz="4" w:space="0"/>
                  </w:tcBorders>
                  <w:noWrap w:val="0"/>
                  <w:vAlign w:val="center"/>
                </w:tcPr>
                <w:p w14:paraId="5B8472DD">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3</w:t>
                  </w:r>
                </w:p>
              </w:tc>
              <w:tc>
                <w:tcPr>
                  <w:tcW w:w="530" w:type="pct"/>
                  <w:tcBorders>
                    <w:top w:val="single" w:color="auto" w:sz="4" w:space="0"/>
                    <w:left w:val="single" w:color="auto" w:sz="4" w:space="0"/>
                    <w:bottom w:val="single" w:color="auto" w:sz="4" w:space="0"/>
                    <w:right w:val="single" w:color="auto" w:sz="4" w:space="0"/>
                  </w:tcBorders>
                  <w:noWrap w:val="0"/>
                  <w:vAlign w:val="center"/>
                </w:tcPr>
                <w:p w14:paraId="41ADB5C7">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资源利用上线</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3A88C7C8">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强化节约集约利用，持续提升资源能源利用效率</w:t>
                  </w:r>
                  <w:r>
                    <w:rPr>
                      <w:rFonts w:hint="eastAsia" w:asci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水资源、土地资源、岸线资源、能源消耗等达到或优于国家下达的总量和强度控制目标。</w:t>
                  </w:r>
                </w:p>
              </w:tc>
              <w:tc>
                <w:tcPr>
                  <w:tcW w:w="1652" w:type="pct"/>
                  <w:tcBorders>
                    <w:top w:val="single" w:color="auto" w:sz="4" w:space="0"/>
                    <w:left w:val="single" w:color="auto" w:sz="4" w:space="0"/>
                    <w:bottom w:val="single" w:color="auto" w:sz="4" w:space="0"/>
                    <w:right w:val="single" w:color="auto" w:sz="4" w:space="0"/>
                  </w:tcBorders>
                  <w:noWrap w:val="0"/>
                  <w:vAlign w:val="center"/>
                </w:tcPr>
                <w:p w14:paraId="66F874DD">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color w:val="000000" w:themeColor="text1"/>
                      <w:sz w:val="21"/>
                      <w:szCs w:val="21"/>
                      <w:highlight w:val="none"/>
                      <w14:textFill>
                        <w14:solidFill>
                          <w14:schemeClr w14:val="tx1"/>
                        </w14:solidFill>
                      </w14:textFill>
                    </w:rPr>
                    <w:t>项目运营过程消耗</w:t>
                  </w:r>
                  <w:r>
                    <w:rPr>
                      <w:rFonts w:hint="eastAsia"/>
                      <w:color w:val="000000" w:themeColor="text1"/>
                      <w:sz w:val="21"/>
                      <w:szCs w:val="21"/>
                      <w:highlight w:val="none"/>
                      <w:lang w:val="en-US" w:eastAsia="zh-CN"/>
                      <w14:textFill>
                        <w14:solidFill>
                          <w14:schemeClr w14:val="tx1"/>
                        </w14:solidFill>
                      </w14:textFill>
                    </w:rPr>
                    <w:t>一定</w:t>
                  </w:r>
                  <w:r>
                    <w:rPr>
                      <w:rFonts w:hint="default"/>
                      <w:color w:val="000000" w:themeColor="text1"/>
                      <w:sz w:val="21"/>
                      <w:szCs w:val="21"/>
                      <w:highlight w:val="none"/>
                      <w14:textFill>
                        <w14:solidFill>
                          <w14:schemeClr w14:val="tx1"/>
                        </w14:solidFill>
                      </w14:textFill>
                    </w:rPr>
                    <w:t>的水、电资源</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项目清洗采用多级溢流水洗，最大限度节约用水、用电</w:t>
                  </w:r>
                  <w:r>
                    <w:rPr>
                      <w:rFonts w:hint="eastAsia"/>
                      <w:color w:val="000000" w:themeColor="text1"/>
                      <w:sz w:val="21"/>
                      <w:szCs w:val="21"/>
                      <w:highlight w:val="none"/>
                      <w:lang w:eastAsia="zh-CN"/>
                      <w14:textFill>
                        <w14:solidFill>
                          <w14:schemeClr w14:val="tx1"/>
                        </w14:solidFill>
                      </w14:textFill>
                    </w:rPr>
                    <w:t>，</w:t>
                  </w:r>
                  <w:r>
                    <w:rPr>
                      <w:rFonts w:hint="default"/>
                      <w:color w:val="000000" w:themeColor="text1"/>
                      <w:sz w:val="21"/>
                      <w:szCs w:val="21"/>
                      <w:highlight w:val="none"/>
                      <w14:textFill>
                        <w14:solidFill>
                          <w14:schemeClr w14:val="tx1"/>
                        </w14:solidFill>
                      </w14:textFill>
                    </w:rPr>
                    <w:t>且所在区域水、电等资源充足</w:t>
                  </w:r>
                  <w:r>
                    <w:rPr>
                      <w:rFonts w:hint="eastAsia"/>
                      <w:color w:val="000000" w:themeColor="text1"/>
                      <w:sz w:val="21"/>
                      <w:szCs w:val="21"/>
                      <w:highlight w:val="none"/>
                      <w:lang w:eastAsia="zh-CN"/>
                      <w14:textFill>
                        <w14:solidFill>
                          <w14:schemeClr w14:val="tx1"/>
                        </w14:solidFill>
                      </w14:textFill>
                    </w:rPr>
                    <w:t>，</w:t>
                  </w:r>
                  <w:r>
                    <w:rPr>
                      <w:rFonts w:hint="default"/>
                      <w:color w:val="000000" w:themeColor="text1"/>
                      <w:sz w:val="21"/>
                      <w:szCs w:val="21"/>
                      <w:highlight w:val="none"/>
                      <w14:textFill>
                        <w14:solidFill>
                          <w14:schemeClr w14:val="tx1"/>
                        </w14:solidFill>
                      </w14:textFill>
                    </w:rPr>
                    <w:t>不会超出资源利用上线。</w:t>
                  </w:r>
                </w:p>
              </w:tc>
              <w:tc>
                <w:tcPr>
                  <w:tcW w:w="351" w:type="pct"/>
                  <w:tcBorders>
                    <w:top w:val="single" w:color="auto" w:sz="4" w:space="0"/>
                    <w:left w:val="single" w:color="auto" w:sz="4" w:space="0"/>
                    <w:bottom w:val="single" w:color="auto" w:sz="4" w:space="0"/>
                    <w:right w:val="single" w:color="auto" w:sz="4" w:space="0"/>
                  </w:tcBorders>
                  <w:noWrap w:val="0"/>
                  <w:vAlign w:val="center"/>
                </w:tcPr>
                <w:p w14:paraId="7F85E0A5">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符合</w:t>
                  </w:r>
                </w:p>
              </w:tc>
            </w:tr>
            <w:tr w14:paraId="7EED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tcBorders>
                    <w:top w:val="single" w:color="auto" w:sz="4" w:space="0"/>
                    <w:left w:val="single" w:color="auto" w:sz="4" w:space="0"/>
                    <w:bottom w:val="single" w:color="auto" w:sz="4" w:space="0"/>
                    <w:right w:val="single" w:color="auto" w:sz="4" w:space="0"/>
                  </w:tcBorders>
                  <w:noWrap w:val="0"/>
                  <w:vAlign w:val="center"/>
                </w:tcPr>
                <w:p w14:paraId="09613223">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w:t>
                  </w:r>
                </w:p>
              </w:tc>
              <w:tc>
                <w:tcPr>
                  <w:tcW w:w="530" w:type="pct"/>
                  <w:tcBorders>
                    <w:top w:val="single" w:color="auto" w:sz="4" w:space="0"/>
                    <w:left w:val="single" w:color="auto" w:sz="4" w:space="0"/>
                    <w:bottom w:val="single" w:color="auto" w:sz="4" w:space="0"/>
                    <w:right w:val="single" w:color="auto" w:sz="4" w:space="0"/>
                  </w:tcBorders>
                  <w:noWrap w:val="0"/>
                  <w:vAlign w:val="center"/>
                </w:tcPr>
                <w:p w14:paraId="684AF81E">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生态环境准入清单</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56E11A36">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环境准入负面清单是基于生态保护红线、环境质量底线和资源利用上线</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以清单方式列出的禁止、限制等差别化环境准入条件和要求。</w:t>
                  </w:r>
                </w:p>
              </w:tc>
              <w:tc>
                <w:tcPr>
                  <w:tcW w:w="1652" w:type="pct"/>
                  <w:tcBorders>
                    <w:top w:val="single" w:color="auto" w:sz="4" w:space="0"/>
                    <w:left w:val="single" w:color="auto" w:sz="4" w:space="0"/>
                    <w:bottom w:val="single" w:color="auto" w:sz="4" w:space="0"/>
                    <w:right w:val="single" w:color="auto" w:sz="4" w:space="0"/>
                  </w:tcBorders>
                  <w:noWrap w:val="0"/>
                  <w:vAlign w:val="center"/>
                </w:tcPr>
                <w:p w14:paraId="6EDA53AE">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项目不属于《市场准入负面清单（202</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5</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年版）》（发改体改规</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〔2025〕466号</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）中的禁止准入事项</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符合准入清单的要求。</w:t>
                  </w:r>
                </w:p>
              </w:tc>
              <w:tc>
                <w:tcPr>
                  <w:tcW w:w="351" w:type="pct"/>
                  <w:tcBorders>
                    <w:top w:val="single" w:color="auto" w:sz="4" w:space="0"/>
                    <w:left w:val="single" w:color="auto" w:sz="4" w:space="0"/>
                    <w:bottom w:val="single" w:color="auto" w:sz="4" w:space="0"/>
                    <w:right w:val="single" w:color="auto" w:sz="4" w:space="0"/>
                  </w:tcBorders>
                  <w:noWrap w:val="0"/>
                  <w:vAlign w:val="center"/>
                </w:tcPr>
                <w:p w14:paraId="7E9950F0">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符合</w:t>
                  </w:r>
                </w:p>
              </w:tc>
            </w:tr>
            <w:tr w14:paraId="62D12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vMerge w:val="restart"/>
                  <w:tcBorders>
                    <w:top w:val="single" w:color="auto" w:sz="4" w:space="0"/>
                    <w:left w:val="single" w:color="auto" w:sz="4" w:space="0"/>
                    <w:right w:val="single" w:color="auto" w:sz="4" w:space="0"/>
                  </w:tcBorders>
                  <w:noWrap w:val="0"/>
                  <w:vAlign w:val="center"/>
                </w:tcPr>
                <w:p w14:paraId="0D623DFA">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5</w:t>
                  </w:r>
                </w:p>
              </w:tc>
              <w:tc>
                <w:tcPr>
                  <w:tcW w:w="530" w:type="pct"/>
                  <w:vMerge w:val="restart"/>
                  <w:tcBorders>
                    <w:top w:val="single" w:color="auto" w:sz="4" w:space="0"/>
                    <w:left w:val="single" w:color="auto" w:sz="4" w:space="0"/>
                    <w:right w:val="single" w:color="auto" w:sz="4" w:space="0"/>
                  </w:tcBorders>
                  <w:noWrap w:val="0"/>
                  <w:vAlign w:val="center"/>
                </w:tcPr>
                <w:p w14:paraId="7FFDA7E0">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w:t>
                  </w:r>
                  <w:r>
                    <w:rPr>
                      <w:rFonts w:hint="default"/>
                      <w:color w:val="000000" w:themeColor="text1"/>
                      <w:sz w:val="21"/>
                      <w:szCs w:val="21"/>
                      <w:highlight w:val="none"/>
                      <w14:textFill>
                        <w14:solidFill>
                          <w14:schemeClr w14:val="tx1"/>
                        </w14:solidFill>
                      </w14:textFill>
                    </w:rPr>
                    <w:t>一核一带一区</w:t>
                  </w:r>
                  <w:r>
                    <w:rPr>
                      <w:rFonts w:hint="eastAsia"/>
                      <w:color w:val="000000" w:themeColor="text1"/>
                      <w:sz w:val="21"/>
                      <w:szCs w:val="21"/>
                      <w:highlight w:val="none"/>
                      <w:lang w:eastAsia="zh-CN"/>
                      <w14:textFill>
                        <w14:solidFill>
                          <w14:schemeClr w14:val="tx1"/>
                        </w14:solidFill>
                      </w14:textFill>
                    </w:rPr>
                    <w:t>”</w:t>
                  </w:r>
                  <w:r>
                    <w:rPr>
                      <w:rFonts w:hint="default"/>
                      <w:color w:val="000000" w:themeColor="text1"/>
                      <w:sz w:val="21"/>
                      <w:szCs w:val="21"/>
                      <w:highlight w:val="none"/>
                      <w14:textFill>
                        <w14:solidFill>
                          <w14:schemeClr w14:val="tx1"/>
                        </w14:solidFill>
                      </w14:textFill>
                    </w:rPr>
                    <w:t>区域管控要求</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41BCC175">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1.珠三角核心区。对标国际一流湾区</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强化创新驱动和绿色引领</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实施更严格的生态环境保护要求。</w:t>
                  </w:r>
                </w:p>
                <w:p w14:paraId="2A9E2A8B">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区域布局管控要求。筑牢珠三角绿色生态屏障</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加强区域生态绿核、珠江流域水生态系统、入海河口等生态保护</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大力保护生物多样性。积极推动深圳前海、广州南沙、珠海横琴等区域重大战略平台发展；引导电子信息、汽车制造、先进材料等战略性支柱产业绿色转型升级发展</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已有石化工业区控制规模</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实现绿色化、智能化、集约化发展；加快发展半导体与集成电路、高端装备制造、前沿新材料、区块链与量子信息等战略性新兴产业。禁止新建、扩建燃煤燃油火电机组和企业自备电站</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推进现有服役期满及落后老旧的燃煤火电机组有序退出；原则上不再新建燃煤锅炉</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逐步淘汰生物质锅炉、集中供热管网覆盖区域内的分散供热锅炉</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逐步推动高污染燃料禁燃区全覆盖；禁止新建、扩建水泥、平板玻璃、化学制浆、生皮制革以及国家规划外的钢铁、原油加工等项目。推广应用低挥发性有机物原辅材料</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严格限制新建生产和使用高挥发性有机物原辅材料的项目</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鼓励建设挥发性有机物共性工厂。除金、银等贵金属</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地热、矿泉水</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以及建筑用石矿可适度开发外</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限制其他矿种开采。</w:t>
                  </w:r>
                </w:p>
              </w:tc>
              <w:tc>
                <w:tcPr>
                  <w:tcW w:w="1652" w:type="pct"/>
                  <w:tcBorders>
                    <w:top w:val="single" w:color="auto" w:sz="4" w:space="0"/>
                    <w:left w:val="single" w:color="auto" w:sz="4" w:space="0"/>
                    <w:bottom w:val="single" w:color="auto" w:sz="4" w:space="0"/>
                    <w:right w:val="single" w:color="auto" w:sz="4" w:space="0"/>
                  </w:tcBorders>
                  <w:noWrap w:val="0"/>
                  <w:vAlign w:val="center"/>
                </w:tcPr>
                <w:p w14:paraId="4F1E7255">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项目</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主要加工生产</w:t>
                  </w:r>
                  <w:r>
                    <w:rPr>
                      <w:rFonts w:hint="eastAsia" w:ascii="Times New Roman" w:cs="Times New Roman"/>
                      <w:color w:val="000000" w:themeColor="text1"/>
                      <w:sz w:val="21"/>
                      <w:szCs w:val="21"/>
                      <w:highlight w:val="none"/>
                      <w:lang w:val="en-US" w:eastAsia="zh-CN"/>
                      <w14:textFill>
                        <w14:solidFill>
                          <w14:schemeClr w14:val="tx1"/>
                        </w14:solidFill>
                      </w14:textFill>
                    </w:rPr>
                    <w:t>金属制品</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不设锅炉</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不属于水泥、平板玻璃、化学制浆、生皮制革以及国家规划外的钢铁、原油加工等项目</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项目不使用高VOCs</w:t>
                  </w:r>
                  <w:r>
                    <w:rPr>
                      <w:rFonts w:hint="eastAsia" w:cs="Times New Roman"/>
                      <w:color w:val="000000" w:themeColor="text1"/>
                      <w:sz w:val="21"/>
                      <w:szCs w:val="21"/>
                      <w:highlight w:val="none"/>
                      <w:lang w:val="en-US" w:eastAsia="zh-CN"/>
                      <w14:textFill>
                        <w14:solidFill>
                          <w14:schemeClr w14:val="tx1"/>
                        </w14:solidFill>
                      </w14:textFill>
                    </w:rPr>
                    <w:t>含量</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原辅料</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与区域</w:t>
                  </w:r>
                  <w:r>
                    <w:rPr>
                      <w:rFonts w:hint="eastAsia" w:ascii="Times New Roman" w:cs="Times New Roman"/>
                      <w:color w:val="000000" w:themeColor="text1"/>
                      <w:sz w:val="21"/>
                      <w:szCs w:val="21"/>
                      <w:highlight w:val="none"/>
                      <w:lang w:val="en-US" w:eastAsia="zh-CN"/>
                      <w14:textFill>
                        <w14:solidFill>
                          <w14:schemeClr w14:val="tx1"/>
                        </w14:solidFill>
                      </w14:textFill>
                    </w:rPr>
                    <w:t>布局</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管控要</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求</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相符。</w:t>
                  </w:r>
                </w:p>
              </w:tc>
              <w:tc>
                <w:tcPr>
                  <w:tcW w:w="351" w:type="pct"/>
                  <w:tcBorders>
                    <w:top w:val="single" w:color="auto" w:sz="4" w:space="0"/>
                    <w:left w:val="single" w:color="auto" w:sz="4" w:space="0"/>
                    <w:bottom w:val="single" w:color="auto" w:sz="4" w:space="0"/>
                    <w:right w:val="single" w:color="auto" w:sz="4" w:space="0"/>
                  </w:tcBorders>
                  <w:noWrap w:val="0"/>
                  <w:vAlign w:val="center"/>
                </w:tcPr>
                <w:p w14:paraId="099F7C7D">
                  <w:pPr>
                    <w:widowControl w:val="0"/>
                    <w:kinsoku/>
                    <w:autoSpaceDE/>
                    <w:autoSpaceDN/>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符合</w:t>
                  </w:r>
                </w:p>
              </w:tc>
            </w:tr>
            <w:tr w14:paraId="5F1A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vMerge w:val="continue"/>
                  <w:tcBorders>
                    <w:left w:val="single" w:color="auto" w:sz="4" w:space="0"/>
                    <w:right w:val="single" w:color="auto" w:sz="4" w:space="0"/>
                  </w:tcBorders>
                  <w:noWrap w:val="0"/>
                  <w:vAlign w:val="center"/>
                </w:tcPr>
                <w:p w14:paraId="4FB66393">
                  <w:pPr>
                    <w:pStyle w:val="88"/>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240" w:lineRule="auto"/>
                    <w:ind w:left="0" w:right="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530" w:type="pct"/>
                  <w:vMerge w:val="continue"/>
                  <w:tcBorders>
                    <w:left w:val="single" w:color="auto" w:sz="4" w:space="0"/>
                    <w:right w:val="single" w:color="auto" w:sz="4" w:space="0"/>
                  </w:tcBorders>
                  <w:noWrap w:val="0"/>
                  <w:vAlign w:val="center"/>
                </w:tcPr>
                <w:p w14:paraId="0FC171A6">
                  <w:pPr>
                    <w:pStyle w:val="88"/>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240" w:lineRule="auto"/>
                    <w:ind w:left="0" w:right="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2144" w:type="pct"/>
                  <w:tcBorders>
                    <w:top w:val="single" w:color="auto" w:sz="4" w:space="0"/>
                    <w:left w:val="single" w:color="auto" w:sz="4" w:space="0"/>
                    <w:bottom w:val="single" w:color="auto" w:sz="4" w:space="0"/>
                    <w:right w:val="single" w:color="auto" w:sz="4" w:space="0"/>
                  </w:tcBorders>
                  <w:noWrap w:val="0"/>
                  <w:vAlign w:val="center"/>
                </w:tcPr>
                <w:p w14:paraId="2ECEBAB1">
                  <w:pPr>
                    <w:pStyle w:val="88"/>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240" w:lineRule="auto"/>
                    <w:ind w:left="0" w:right="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能源资源利用要求。科学实施能源消费总量和强度</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双控</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新建高能耗项目单位产品（产值）能耗达到国际国内先进水平</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实现煤炭消费总量负增长。率先探索建立二氧化碳总量管理制度</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加快实现碳排放达峰。依法依规科学合理优化调整储油库、加油站布局</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加快充电桩、加气站、加氢站以及综合性能源补给站建设</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积极推动机动车和非道路移动机械电动化（或实现清洁燃料替代）。大力推进绿色港口和公用码头建设</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提升岸电使用率；有序推动船舶、港作机械等</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油改气</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油改电</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降低港口柴油使用比例。鼓励天然气企业对城市燃气公司和大工业用户直供</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降低供气成本。推进工业节水减排</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重点在高耗水行业开展节水改造</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提高工业用水效率。加强江河湖库水量调度</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保障生态流量。盘活存量建设用地</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控制新增建设用地规模。</w:t>
                  </w:r>
                </w:p>
              </w:tc>
              <w:tc>
                <w:tcPr>
                  <w:tcW w:w="1652" w:type="pct"/>
                  <w:tcBorders>
                    <w:top w:val="single" w:color="auto" w:sz="4" w:space="0"/>
                    <w:left w:val="single" w:color="auto" w:sz="4" w:space="0"/>
                    <w:bottom w:val="single" w:color="auto" w:sz="4" w:space="0"/>
                    <w:right w:val="single" w:color="auto" w:sz="4" w:space="0"/>
                  </w:tcBorders>
                  <w:noWrap w:val="0"/>
                  <w:vAlign w:val="center"/>
                </w:tcPr>
                <w:p w14:paraId="2038CC43">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color w:val="000000" w:themeColor="text1"/>
                      <w:sz w:val="21"/>
                      <w:szCs w:val="21"/>
                      <w:highlight w:val="none"/>
                      <w14:textFill>
                        <w14:solidFill>
                          <w14:schemeClr w14:val="tx1"/>
                        </w14:solidFill>
                      </w14:textFill>
                    </w:rPr>
                    <w:t>项目不属于高耗能、高耗水行业</w:t>
                  </w:r>
                  <w:r>
                    <w:rPr>
                      <w:rFonts w:hint="eastAsia"/>
                      <w:color w:val="000000" w:themeColor="text1"/>
                      <w:sz w:val="21"/>
                      <w:szCs w:val="21"/>
                      <w:highlight w:val="none"/>
                      <w:lang w:eastAsia="zh-CN"/>
                      <w14:textFill>
                        <w14:solidFill>
                          <w14:schemeClr w14:val="tx1"/>
                        </w14:solidFill>
                      </w14:textFill>
                    </w:rPr>
                    <w:t>，</w:t>
                  </w:r>
                  <w:r>
                    <w:rPr>
                      <w:rFonts w:hint="default"/>
                      <w:color w:val="000000" w:themeColor="text1"/>
                      <w:sz w:val="21"/>
                      <w:szCs w:val="21"/>
                      <w:highlight w:val="none"/>
                      <w14:textFill>
                        <w14:solidFill>
                          <w14:schemeClr w14:val="tx1"/>
                        </w14:solidFill>
                      </w14:textFill>
                    </w:rPr>
                    <w:t>与能源资源利用要求相符。</w:t>
                  </w:r>
                </w:p>
              </w:tc>
              <w:tc>
                <w:tcPr>
                  <w:tcW w:w="351" w:type="pct"/>
                  <w:tcBorders>
                    <w:top w:val="single" w:color="auto" w:sz="4" w:space="0"/>
                    <w:left w:val="single" w:color="auto" w:sz="4" w:space="0"/>
                    <w:bottom w:val="single" w:color="auto" w:sz="4" w:space="0"/>
                    <w:right w:val="single" w:color="auto" w:sz="4" w:space="0"/>
                  </w:tcBorders>
                  <w:noWrap w:val="0"/>
                  <w:vAlign w:val="center"/>
                </w:tcPr>
                <w:p w14:paraId="2E742695">
                  <w:pPr>
                    <w:widowControl w:val="0"/>
                    <w:kinsoku/>
                    <w:autoSpaceDE/>
                    <w:autoSpaceDN/>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符合</w:t>
                  </w:r>
                </w:p>
              </w:tc>
            </w:tr>
            <w:tr w14:paraId="4F1E3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vMerge w:val="continue"/>
                  <w:tcBorders>
                    <w:left w:val="single" w:color="auto" w:sz="4" w:space="0"/>
                    <w:right w:val="single" w:color="auto" w:sz="4" w:space="0"/>
                  </w:tcBorders>
                  <w:noWrap w:val="0"/>
                  <w:vAlign w:val="center"/>
                </w:tcPr>
                <w:p w14:paraId="0EF37E57">
                  <w:pPr>
                    <w:pStyle w:val="88"/>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240" w:lineRule="auto"/>
                    <w:ind w:left="0" w:right="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530" w:type="pct"/>
                  <w:vMerge w:val="continue"/>
                  <w:tcBorders>
                    <w:left w:val="single" w:color="auto" w:sz="4" w:space="0"/>
                    <w:right w:val="single" w:color="auto" w:sz="4" w:space="0"/>
                  </w:tcBorders>
                  <w:noWrap w:val="0"/>
                  <w:vAlign w:val="center"/>
                </w:tcPr>
                <w:p w14:paraId="3D3F1843">
                  <w:pPr>
                    <w:pStyle w:val="88"/>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240" w:lineRule="auto"/>
                    <w:ind w:left="0" w:right="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2144" w:type="pct"/>
                  <w:noWrap w:val="0"/>
                  <w:vAlign w:val="center"/>
                </w:tcPr>
                <w:p w14:paraId="0157629A">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污染物排放管控要求。在可核查、可监管的基础上</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新建项目原则上实施氮氧化物等量替代</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挥发性有机物两倍削减量替代。以臭氧生成潜势较大的行业企业为重点</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推进挥发性有机物源头替代</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全面加强无组织排放控制</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深入实施精细化治理。现有每小时</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5蒸吨及以上的燃煤锅炉加快实施超低排放治理</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每小时</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5蒸吨以下的燃煤锅炉加快完成清洁能源改造。实行水污染物排放的行业标杆管理</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严格执行茅洲河、淡水河、石马河、汾江河等重点流域水污染物排放标准。重点水污染物未达到环境质量改善目标的区域内</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新建、改建、扩建项目实施减量替代。电镀专业园区、电镀企业严格执行广东省电镀水污染物排放限值。探索设立区域性城镇污水处理厂污染物排放标准</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推动城镇生活污水处理设施提质增效。率先消除城中村、老旧城区和城乡结合部生活污水收集处理设施空白区。大力推进固体废物源头减量化、资源化利用和无害化处置</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稳步推进</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无废城市</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试点建设。加强珠江口、大亚湾、广海湾、镇海湾等重点河口海湾陆源污染控制。</w:t>
                  </w:r>
                </w:p>
              </w:tc>
              <w:tc>
                <w:tcPr>
                  <w:tcW w:w="1652" w:type="pct"/>
                  <w:noWrap w:val="0"/>
                  <w:vAlign w:val="center"/>
                </w:tcPr>
                <w:p w14:paraId="020E1F45">
                  <w:pPr>
                    <w:widowControl w:val="0"/>
                    <w:kinsoku/>
                    <w:autoSpaceDE/>
                    <w:autoSpaceDN/>
                    <w:adjustRightInd/>
                    <w:snapToGrid/>
                    <w:spacing w:line="240" w:lineRule="auto"/>
                    <w:jc w:val="center"/>
                    <w:textAlignment w:val="auto"/>
                    <w:rPr>
                      <w:rFonts w:hint="eastAsia" w:asci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项目产生的</w:t>
                  </w:r>
                  <w:r>
                    <w:rPr>
                      <w:rFonts w:hint="eastAsia" w:cs="Times New Roman"/>
                      <w:color w:val="000000" w:themeColor="text1"/>
                      <w:sz w:val="21"/>
                      <w:szCs w:val="21"/>
                      <w:lang w:val="en-US" w:eastAsia="zh-CN"/>
                      <w14:textFill>
                        <w14:solidFill>
                          <w14:schemeClr w14:val="tx1"/>
                        </w14:solidFill>
                      </w14:textFill>
                    </w:rPr>
                    <w:t>VOCs、</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氮氧化物</w:t>
                  </w:r>
                  <w:r>
                    <w:rPr>
                      <w:rFonts w:hint="eastAsia" w:ascii="Times New Roman" w:cs="Times New Roman"/>
                      <w:color w:val="000000" w:themeColor="text1"/>
                      <w:sz w:val="21"/>
                      <w:szCs w:val="21"/>
                      <w:highlight w:val="none"/>
                      <w:lang w:val="en-US" w:eastAsia="zh-CN"/>
                      <w14:textFill>
                        <w14:solidFill>
                          <w14:schemeClr w14:val="tx1"/>
                        </w14:solidFill>
                      </w14:textFill>
                    </w:rPr>
                    <w:t>实施</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等量替代</w:t>
                  </w:r>
                  <w:r>
                    <w:rPr>
                      <w:rFonts w:hint="eastAsia" w:ascii="Times New Roman" w:cs="Times New Roman"/>
                      <w:color w:val="000000" w:themeColor="text1"/>
                      <w:sz w:val="21"/>
                      <w:szCs w:val="21"/>
                      <w:highlight w:val="none"/>
                      <w:lang w:val="en-US" w:eastAsia="zh-CN"/>
                      <w14:textFill>
                        <w14:solidFill>
                          <w14:schemeClr w14:val="tx1"/>
                        </w14:solidFill>
                      </w14:textFill>
                    </w:rPr>
                    <w:t>。</w:t>
                  </w:r>
                </w:p>
                <w:p w14:paraId="3F4C8B44">
                  <w:pPr>
                    <w:widowControl w:val="0"/>
                    <w:kinsoku/>
                    <w:autoSpaceDE/>
                    <w:autoSpaceDN/>
                    <w:adjustRightInd/>
                    <w:snapToGrid/>
                    <w:spacing w:line="240" w:lineRule="auto"/>
                    <w:jc w:val="center"/>
                    <w:textAlignment w:val="auto"/>
                    <w:rPr>
                      <w:rFonts w:hint="eastAsia" w:asci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项目不设锅炉，不设电镀工艺。</w:t>
                  </w:r>
                </w:p>
                <w:p w14:paraId="7B1242E5">
                  <w:pPr>
                    <w:widowControl w:val="0"/>
                    <w:kinsoku/>
                    <w:autoSpaceDE/>
                    <w:autoSpaceDN/>
                    <w:adjustRightInd/>
                    <w:snapToGrid/>
                    <w:spacing w:line="240" w:lineRule="auto"/>
                    <w:jc w:val="center"/>
                    <w:textAlignment w:val="auto"/>
                    <w:rPr>
                      <w:rFonts w:hint="default" w:asci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i w:val="0"/>
                      <w:iCs w:val="0"/>
                      <w:color w:val="000000" w:themeColor="text1"/>
                      <w:kern w:val="0"/>
                      <w:sz w:val="21"/>
                      <w:szCs w:val="21"/>
                      <w:highlight w:val="none"/>
                      <w:u w:val="none"/>
                      <w:lang w:val="en-US" w:eastAsia="zh-CN" w:bidi="ar"/>
                      <w14:textFill>
                        <w14:solidFill>
                          <w14:schemeClr w14:val="tx1"/>
                        </w14:solidFill>
                      </w14:textFill>
                    </w:rPr>
                    <w:t>项目</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生产废水</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经</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自建污水处理站处理</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后，生活污水经</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“三级化粪池</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+隔油隔渣池</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”预处理后</w:t>
                  </w:r>
                  <w:r>
                    <w:rPr>
                      <w:rFonts w:hint="eastAsia" w:ascii="Times New Roman"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排入园区污水处理厂进一步处理，达标后</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尾水</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排放至武江</w:t>
                  </w:r>
                  <w:r>
                    <w:rPr>
                      <w:rFonts w:hint="eastAsia" w:ascii="Times New Roman"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351" w:type="pct"/>
                  <w:noWrap w:val="0"/>
                  <w:vAlign w:val="center"/>
                </w:tcPr>
                <w:p w14:paraId="72E669C4">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符合</w:t>
                  </w:r>
                </w:p>
              </w:tc>
            </w:tr>
            <w:tr w14:paraId="3FB2E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vMerge w:val="continue"/>
                  <w:tcBorders>
                    <w:left w:val="single" w:color="auto" w:sz="4" w:space="0"/>
                    <w:right w:val="single" w:color="auto" w:sz="4" w:space="0"/>
                  </w:tcBorders>
                  <w:noWrap w:val="0"/>
                  <w:vAlign w:val="center"/>
                </w:tcPr>
                <w:p w14:paraId="2E1D7F49">
                  <w:pPr>
                    <w:pStyle w:val="88"/>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240" w:lineRule="auto"/>
                    <w:ind w:left="0" w:right="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530" w:type="pct"/>
                  <w:vMerge w:val="continue"/>
                  <w:tcBorders>
                    <w:left w:val="single" w:color="auto" w:sz="4" w:space="0"/>
                    <w:right w:val="single" w:color="auto" w:sz="4" w:space="0"/>
                  </w:tcBorders>
                  <w:noWrap w:val="0"/>
                  <w:vAlign w:val="center"/>
                </w:tcPr>
                <w:p w14:paraId="24B76FE2">
                  <w:pPr>
                    <w:pStyle w:val="88"/>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240" w:lineRule="auto"/>
                    <w:ind w:left="0" w:right="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2144" w:type="pct"/>
                  <w:noWrap w:val="0"/>
                  <w:vAlign w:val="center"/>
                </w:tcPr>
                <w:p w14:paraId="106B43D5">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环境风险防控要求。逐步构建城市多水源联网供水格局</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建立完善突发环境事件应急管理体系。加强惠州大亚湾石化区、广州石化、珠海高栏港、珠西新材料集聚区等石化、化工重点园区环境风险防控</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建立完善污染源在线监控系统</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开展有毒有害气体监测</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落实环境风险应急预案。提升危险废物监管能力</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利用信息化手段</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推进全过程跟踪管理；健全危险废物收集体系</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推进危险废物利用处置能力结构优化。</w:t>
                  </w:r>
                </w:p>
              </w:tc>
              <w:tc>
                <w:tcPr>
                  <w:tcW w:w="1652" w:type="pct"/>
                  <w:noWrap w:val="0"/>
                  <w:vAlign w:val="center"/>
                </w:tcPr>
                <w:p w14:paraId="6C1D9C36">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本项目危险废物统一收集后交由有资质单位处理。</w:t>
                  </w:r>
                </w:p>
              </w:tc>
              <w:tc>
                <w:tcPr>
                  <w:tcW w:w="351" w:type="pct"/>
                  <w:noWrap w:val="0"/>
                  <w:vAlign w:val="center"/>
                </w:tcPr>
                <w:p w14:paraId="5230F208">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符合</w:t>
                  </w:r>
                </w:p>
              </w:tc>
            </w:tr>
            <w:tr w14:paraId="660B5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vMerge w:val="restart"/>
                  <w:noWrap w:val="0"/>
                  <w:vAlign w:val="center"/>
                </w:tcPr>
                <w:p w14:paraId="5ECE83FB">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6</w:t>
                  </w:r>
                </w:p>
              </w:tc>
              <w:tc>
                <w:tcPr>
                  <w:tcW w:w="530" w:type="pct"/>
                  <w:vMerge w:val="restart"/>
                  <w:noWrap w:val="0"/>
                  <w:vAlign w:val="center"/>
                </w:tcPr>
                <w:p w14:paraId="4FFB7D48">
                  <w:pPr>
                    <w:widowControl w:val="0"/>
                    <w:kinsoku/>
                    <w:autoSpaceDE/>
                    <w:autoSpaceDN/>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color w:val="000000" w:themeColor="text1"/>
                      <w:sz w:val="21"/>
                      <w:szCs w:val="21"/>
                      <w:highlight w:val="none"/>
                      <w14:textFill>
                        <w14:solidFill>
                          <w14:schemeClr w14:val="tx1"/>
                        </w14:solidFill>
                      </w14:textFill>
                    </w:rPr>
                    <w:t>环境管控单元总体管控要求</w:t>
                  </w:r>
                </w:p>
              </w:tc>
              <w:tc>
                <w:tcPr>
                  <w:tcW w:w="2144" w:type="pct"/>
                  <w:noWrap w:val="0"/>
                  <w:vAlign w:val="center"/>
                </w:tcPr>
                <w:p w14:paraId="5BA3F86C">
                  <w:pPr>
                    <w:widowControl w:val="0"/>
                    <w:kinsoku/>
                    <w:autoSpaceDE/>
                    <w:autoSpaceDN/>
                    <w:adjustRightInd/>
                    <w:snapToGrid/>
                    <w:spacing w:line="240" w:lineRule="auto"/>
                    <w:jc w:val="center"/>
                    <w:textAlignment w:val="auto"/>
                    <w:rPr>
                      <w:rFonts w:hint="default" w:ascii="Times New Roman" w:hAnsi="Times New Roman" w:eastAsia="宋体" w:cs="Times New Roman"/>
                      <w:color w:val="000000" w:themeColor="text1"/>
                      <w:kern w:val="2"/>
                      <w:position w:val="-10"/>
                      <w:sz w:val="21"/>
                      <w:szCs w:val="21"/>
                      <w:highlight w:val="none"/>
                      <w:lang w:val="en-US" w:eastAsia="zh-CN" w:bidi="ar-SA"/>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省级以上工业园区重点管控单元。依法开展园区规划环评，严格落实规划环评管理要求，开展环境质量跟踪监测，发布环境管理状况公告，制定并实施园区突发环境事件应急预案，定期开展环境安全隐患排查，提升风险防控及应急处置能力。周边1公里范围内涉及生态保护红线、自然保护地、饮用水水源地等生态环境敏感区域的园区，应优化产业布局，控制开发强度，优先引进无污染或轻污染的产业和项目，防止侵占生态空间。纳污水体水质超标的园区，应实施污水深度处理，新建、改建、扩建项目应实行重点污染物排放等量或减量替代。造纸、电镀、印染、鞣革等专业园区或基地应不断提升工艺水平，提高水回用率，逐步削减污染物排放总量；石化园区加快绿色智能升级改造，强化环保投入和管理，构建高效、清洁、低碳、循环的绿色制造体系。</w:t>
                  </w:r>
                </w:p>
              </w:tc>
              <w:tc>
                <w:tcPr>
                  <w:tcW w:w="1652" w:type="pct"/>
                  <w:noWrap w:val="0"/>
                  <w:vAlign w:val="center"/>
                </w:tcPr>
                <w:p w14:paraId="6C694BFF">
                  <w:pPr>
                    <w:widowControl w:val="0"/>
                    <w:kinsoku/>
                    <w:autoSpaceDE/>
                    <w:autoSpaceDN/>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14:textFill>
                        <w14:solidFill>
                          <w14:schemeClr w14:val="tx1"/>
                        </w14:solidFill>
                      </w14:textFill>
                    </w:rPr>
                    <w:t>根据</w:t>
                  </w:r>
                  <w:r>
                    <w:rPr>
                      <w:rFonts w:hint="eastAsia" w:ascii="Times New Roman" w:hAnsi="Times New Roman" w:eastAsia="宋体" w:cs="Times New Roman"/>
                      <w:b w:val="0"/>
                      <w:bCs w:val="0"/>
                      <w:snapToGrid/>
                      <w:color w:val="000000" w:themeColor="text1"/>
                      <w:kern w:val="2"/>
                      <w:szCs w:val="21"/>
                      <w:highlight w:val="none"/>
                      <w:lang w:val="en-US" w:eastAsia="zh-CN"/>
                      <w14:textFill>
                        <w14:solidFill>
                          <w14:schemeClr w14:val="tx1"/>
                        </w14:solidFill>
                      </w14:textFill>
                    </w:rPr>
                    <w:t>附图</w:t>
                  </w:r>
                  <w:r>
                    <w:rPr>
                      <w:rFonts w:hint="eastAsia"/>
                      <w:color w:val="000000" w:themeColor="text1"/>
                      <w:sz w:val="21"/>
                      <w:szCs w:val="21"/>
                      <w:highlight w:val="none"/>
                      <w14:textFill>
                        <w14:solidFill>
                          <w14:schemeClr w14:val="tx1"/>
                        </w14:solidFill>
                      </w14:textFill>
                    </w:rPr>
                    <w:t>1</w:t>
                  </w:r>
                  <w:r>
                    <w:rPr>
                      <w:rFonts w:hint="eastAsia"/>
                      <w:color w:val="000000" w:themeColor="text1"/>
                      <w:sz w:val="21"/>
                      <w:szCs w:val="21"/>
                      <w:highlight w:val="none"/>
                      <w:lang w:val="en-US" w:eastAsia="zh-CN"/>
                      <w14:textFill>
                        <w14:solidFill>
                          <w14:schemeClr w14:val="tx1"/>
                        </w14:solidFill>
                      </w14:textFill>
                    </w:rPr>
                    <w:t>4-1</w:t>
                  </w:r>
                  <w:r>
                    <w:rPr>
                      <w:rFonts w:hint="eastAsia"/>
                      <w:color w:val="000000" w:themeColor="text1"/>
                      <w:sz w:val="21"/>
                      <w:szCs w:val="21"/>
                      <w:highlight w:val="none"/>
                      <w14:textFill>
                        <w14:solidFill>
                          <w14:schemeClr w14:val="tx1"/>
                        </w14:solidFill>
                      </w14:textFill>
                    </w:rPr>
                    <w:t>，项目位于乐昌经济开发区重点管控单元（管控编码ZH44028120003），属于园区重点管控单元，项目主要从事金属表面处理及热处理加工，生产过程中产生氮氧化物需分配大气污染物总量；</w:t>
                  </w:r>
                  <w:r>
                    <w:rPr>
                      <w:rFonts w:hint="eastAsia" w:ascii="Times New Roman" w:cs="Times New Roman"/>
                      <w:i w:val="0"/>
                      <w:iCs w:val="0"/>
                      <w:color w:val="000000" w:themeColor="text1"/>
                      <w:kern w:val="0"/>
                      <w:sz w:val="21"/>
                      <w:szCs w:val="21"/>
                      <w:highlight w:val="none"/>
                      <w:u w:val="none"/>
                      <w:lang w:val="en-US" w:eastAsia="zh-CN" w:bidi="ar"/>
                      <w14:textFill>
                        <w14:solidFill>
                          <w14:schemeClr w14:val="tx1"/>
                        </w14:solidFill>
                      </w14:textFill>
                    </w:rPr>
                    <w:t>项目</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生产废水</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经</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自建污水处理站处理</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后、</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生活污水</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经</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“三级化粪池</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+隔油隔渣池</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”预处理后排入园区污水处理厂进一步处理达标后排放</w:t>
                  </w:r>
                  <w:r>
                    <w:rPr>
                      <w:rFonts w:hint="eastAsia"/>
                      <w:color w:val="000000" w:themeColor="text1"/>
                      <w:sz w:val="21"/>
                      <w:szCs w:val="21"/>
                      <w:highlight w:val="none"/>
                      <w14:textFill>
                        <w14:solidFill>
                          <w14:schemeClr w14:val="tx1"/>
                        </w14:solidFill>
                      </w14:textFill>
                    </w:rPr>
                    <w:t>，无需分配水污染物总量。</w:t>
                  </w:r>
                </w:p>
              </w:tc>
              <w:tc>
                <w:tcPr>
                  <w:tcW w:w="351" w:type="pct"/>
                  <w:noWrap w:val="0"/>
                  <w:vAlign w:val="center"/>
                </w:tcPr>
                <w:p w14:paraId="35EEC8CB">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position w:val="-10"/>
                      <w:sz w:val="21"/>
                      <w:szCs w:val="21"/>
                      <w:highlight w:val="none"/>
                      <w:lang w:val="en-US" w:eastAsia="zh-CN" w:bidi="ar-SA"/>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符合</w:t>
                  </w:r>
                </w:p>
              </w:tc>
            </w:tr>
            <w:tr w14:paraId="79739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vMerge w:val="continue"/>
                  <w:noWrap w:val="0"/>
                  <w:vAlign w:val="center"/>
                </w:tcPr>
                <w:p w14:paraId="663B8093">
                  <w:pPr>
                    <w:pStyle w:val="88"/>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240" w:lineRule="auto"/>
                    <w:ind w:left="0" w:right="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530" w:type="pct"/>
                  <w:vMerge w:val="continue"/>
                  <w:noWrap w:val="0"/>
                  <w:vAlign w:val="center"/>
                </w:tcPr>
                <w:p w14:paraId="77129F03">
                  <w:pPr>
                    <w:pStyle w:val="88"/>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240" w:lineRule="auto"/>
                    <w:ind w:left="0" w:right="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2144" w:type="pct"/>
                  <w:noWrap w:val="0"/>
                  <w:vAlign w:val="center"/>
                </w:tcPr>
                <w:p w14:paraId="12B0246E">
                  <w:pPr>
                    <w:widowControl w:val="0"/>
                    <w:kinsoku/>
                    <w:autoSpaceDE/>
                    <w:autoSpaceDN/>
                    <w:adjustRightInd/>
                    <w:snapToGrid/>
                    <w:spacing w:line="240" w:lineRule="auto"/>
                    <w:jc w:val="center"/>
                    <w:textAlignment w:val="auto"/>
                    <w:rPr>
                      <w:rFonts w:hint="default" w:ascii="Times New Roman" w:hAnsi="Times New Roman" w:eastAsia="宋体" w:cs="Times New Roman"/>
                      <w:color w:val="000000" w:themeColor="text1"/>
                      <w:kern w:val="2"/>
                      <w:position w:val="-10"/>
                      <w:sz w:val="21"/>
                      <w:szCs w:val="21"/>
                      <w:highlight w:val="none"/>
                      <w:lang w:val="en-US" w:eastAsia="zh-CN" w:bidi="ar-SA"/>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水环境质量超标类重点管控单元。严格控制耗水量大、污染物排放强度高的行业发展，新建、改建、扩建项目实施重点水污染物减量替代。以城镇生活污染为主的单元，加快推进城镇生活污水有效收集处理，重点完善污水处理设施配套管网建设，加快实施雨污分流改造，推动提升污水处理设施进水水量和浓度，充分发挥污水处理设施治污效能。</w:t>
                  </w:r>
                </w:p>
              </w:tc>
              <w:tc>
                <w:tcPr>
                  <w:tcW w:w="1652" w:type="pct"/>
                  <w:noWrap w:val="0"/>
                  <w:vAlign w:val="center"/>
                </w:tcPr>
                <w:p w14:paraId="6F6D379A">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position w:val="-10"/>
                      <w:sz w:val="21"/>
                      <w:szCs w:val="21"/>
                      <w:highlight w:val="none"/>
                      <w:lang w:val="en-US" w:eastAsia="zh-CN" w:bidi="ar-SA"/>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项目不属于耗水量大和污染物排放强度高的行业，生活污水经三级化粪池</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+隔油隔渣池</w:t>
                  </w:r>
                  <w:r>
                    <w:rPr>
                      <w:rFonts w:hint="eastAsia"/>
                      <w:color w:val="000000" w:themeColor="text1"/>
                      <w:kern w:val="2"/>
                      <w:sz w:val="21"/>
                      <w:szCs w:val="21"/>
                      <w:highlight w:val="none"/>
                      <w14:textFill>
                        <w14:solidFill>
                          <w14:schemeClr w14:val="tx1"/>
                        </w14:solidFill>
                      </w14:textFill>
                    </w:rPr>
                    <w:t>预处理后排入园区污水处理</w:t>
                  </w:r>
                  <w:r>
                    <w:rPr>
                      <w:rFonts w:hint="eastAsia"/>
                      <w:color w:val="000000" w:themeColor="text1"/>
                      <w:kern w:val="2"/>
                      <w:sz w:val="21"/>
                      <w:szCs w:val="21"/>
                      <w:highlight w:val="none"/>
                      <w:lang w:eastAsia="zh-CN"/>
                      <w14:textFill>
                        <w14:solidFill>
                          <w14:schemeClr w14:val="tx1"/>
                        </w14:solidFill>
                      </w14:textFill>
                    </w:rPr>
                    <w:t>厂</w:t>
                  </w:r>
                  <w:r>
                    <w:rPr>
                      <w:rFonts w:hint="eastAsia"/>
                      <w:color w:val="000000" w:themeColor="text1"/>
                      <w:kern w:val="2"/>
                      <w:sz w:val="21"/>
                      <w:szCs w:val="21"/>
                      <w:highlight w:val="none"/>
                      <w14:textFill>
                        <w14:solidFill>
                          <w14:schemeClr w14:val="tx1"/>
                        </w14:solidFill>
                      </w14:textFill>
                    </w:rPr>
                    <w:t>；</w:t>
                  </w:r>
                  <w:r>
                    <w:rPr>
                      <w:rFonts w:hint="eastAsia" w:ascii="Times New Roman" w:cs="Times New Roman"/>
                      <w:i w:val="0"/>
                      <w:iCs w:val="0"/>
                      <w:color w:val="000000" w:themeColor="text1"/>
                      <w:kern w:val="0"/>
                      <w:sz w:val="21"/>
                      <w:szCs w:val="21"/>
                      <w:highlight w:val="none"/>
                      <w:u w:val="none"/>
                      <w:lang w:val="en-US" w:eastAsia="zh-CN" w:bidi="ar"/>
                      <w14:textFill>
                        <w14:solidFill>
                          <w14:schemeClr w14:val="tx1"/>
                        </w14:solidFill>
                      </w14:textFill>
                    </w:rPr>
                    <w:t>项目</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生产废水</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经</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自建污水处理站处理</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后</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排入园区污水处理厂进一步处理达标后排放</w:t>
                  </w:r>
                  <w:r>
                    <w:rPr>
                      <w:rFonts w:hint="eastAsia"/>
                      <w:color w:val="000000" w:themeColor="text1"/>
                      <w:kern w:val="2"/>
                      <w:sz w:val="21"/>
                      <w:szCs w:val="21"/>
                      <w:highlight w:val="none"/>
                      <w14:textFill>
                        <w14:solidFill>
                          <w14:schemeClr w14:val="tx1"/>
                        </w14:solidFill>
                      </w14:textFill>
                    </w:rPr>
                    <w:t>，对水环境影响不大。</w:t>
                  </w:r>
                </w:p>
              </w:tc>
              <w:tc>
                <w:tcPr>
                  <w:tcW w:w="351" w:type="pct"/>
                  <w:noWrap w:val="0"/>
                  <w:vAlign w:val="center"/>
                </w:tcPr>
                <w:p w14:paraId="5F3A3058">
                  <w:pPr>
                    <w:widowControl w:val="0"/>
                    <w:kinsoku/>
                    <w:autoSpaceDE/>
                    <w:autoSpaceDN/>
                    <w:adjustRightInd/>
                    <w:snapToGrid/>
                    <w:spacing w:line="240" w:lineRule="auto"/>
                    <w:jc w:val="center"/>
                    <w:textAlignment w:val="auto"/>
                    <w:rPr>
                      <w:rFonts w:hint="default" w:ascii="Times New Roman" w:hAnsi="Times New Roman" w:eastAsia="宋体" w:cs="Times New Roman"/>
                      <w:color w:val="000000" w:themeColor="text1"/>
                      <w:kern w:val="2"/>
                      <w:position w:val="-10"/>
                      <w:sz w:val="21"/>
                      <w:szCs w:val="21"/>
                      <w:highlight w:val="none"/>
                      <w:lang w:val="en-US" w:eastAsia="zh-CN" w:bidi="ar-SA"/>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符合</w:t>
                  </w:r>
                </w:p>
              </w:tc>
            </w:tr>
            <w:tr w14:paraId="07BA0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vMerge w:val="continue"/>
                  <w:noWrap w:val="0"/>
                  <w:vAlign w:val="center"/>
                </w:tcPr>
                <w:p w14:paraId="694DD551">
                  <w:pPr>
                    <w:pStyle w:val="88"/>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240" w:lineRule="auto"/>
                    <w:ind w:left="0" w:right="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530" w:type="pct"/>
                  <w:vMerge w:val="continue"/>
                  <w:noWrap w:val="0"/>
                  <w:vAlign w:val="center"/>
                </w:tcPr>
                <w:p w14:paraId="717650E0">
                  <w:pPr>
                    <w:pStyle w:val="88"/>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240" w:lineRule="auto"/>
                    <w:ind w:left="0" w:right="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2144" w:type="pct"/>
                  <w:noWrap w:val="0"/>
                  <w:vAlign w:val="center"/>
                </w:tcPr>
                <w:p w14:paraId="026A0B8D">
                  <w:pPr>
                    <w:widowControl w:val="0"/>
                    <w:kinsoku/>
                    <w:autoSpaceDE/>
                    <w:autoSpaceDN/>
                    <w:adjustRightInd/>
                    <w:snapToGrid/>
                    <w:spacing w:line="240" w:lineRule="auto"/>
                    <w:jc w:val="center"/>
                    <w:textAlignment w:val="auto"/>
                    <w:rPr>
                      <w:rFonts w:hint="default" w:ascii="Times New Roman" w:hAnsi="Times New Roman" w:eastAsia="宋体" w:cs="Times New Roman"/>
                      <w:color w:val="000000" w:themeColor="text1"/>
                      <w:kern w:val="2"/>
                      <w:position w:val="-10"/>
                      <w:sz w:val="21"/>
                      <w:szCs w:val="21"/>
                      <w:highlight w:val="none"/>
                      <w:lang w:val="en-US" w:eastAsia="zh-CN" w:bidi="ar-SA"/>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大气环境受体敏感类重点管控单元。严格限制新建</w:t>
                  </w:r>
                  <w:r>
                    <w:rPr>
                      <w:rFonts w:hint="eastAsia" w:ascii="Times New Roman" w:hAnsi="Times New Roman" w:eastAsia="宋体" w:cs="Times New Roman"/>
                      <w:b w:val="0"/>
                      <w:bCs w:val="0"/>
                      <w:snapToGrid/>
                      <w:color w:val="000000" w:themeColor="text1"/>
                      <w:kern w:val="2"/>
                      <w:szCs w:val="21"/>
                      <w:highlight w:val="none"/>
                      <w:lang w:val="en-US" w:eastAsia="zh-CN"/>
                      <w14:textFill>
                        <w14:solidFill>
                          <w14:schemeClr w14:val="tx1"/>
                        </w14:solidFill>
                      </w14:textFill>
                    </w:rPr>
                    <w:t>钢铁</w:t>
                  </w:r>
                  <w:r>
                    <w:rPr>
                      <w:rFonts w:hint="eastAsia"/>
                      <w:color w:val="000000" w:themeColor="text1"/>
                      <w:kern w:val="2"/>
                      <w:sz w:val="21"/>
                      <w:szCs w:val="21"/>
                      <w:highlight w:val="none"/>
                      <w14:textFill>
                        <w14:solidFill>
                          <w14:schemeClr w14:val="tx1"/>
                        </w14:solidFill>
                      </w14:textFill>
                    </w:rPr>
                    <w:t>、燃煤燃油火电、石化、储油库等项目，产生和排放有毒有害大气污染物项目，以及使用溶剂型油墨、涂料、清洗剂、胶黏剂等高挥发性有机物原辅材料的项目；鼓励现有该类项目逐步搬迁退出</w:t>
                  </w:r>
                </w:p>
              </w:tc>
              <w:tc>
                <w:tcPr>
                  <w:tcW w:w="1652" w:type="pct"/>
                  <w:noWrap w:val="0"/>
                  <w:vAlign w:val="center"/>
                </w:tcPr>
                <w:p w14:paraId="33C51DE8">
                  <w:pPr>
                    <w:widowControl w:val="0"/>
                    <w:kinsoku/>
                    <w:autoSpaceDE/>
                    <w:autoSpaceDN/>
                    <w:adjustRightInd/>
                    <w:snapToGrid/>
                    <w:spacing w:line="240" w:lineRule="auto"/>
                    <w:jc w:val="center"/>
                    <w:textAlignment w:val="auto"/>
                    <w:rPr>
                      <w:rFonts w:hint="eastAsia" w:ascii="Times New Roman" w:hAnsi="Times New Roman" w:eastAsia="宋体" w:cs="Times New Roman"/>
                      <w:color w:val="000000" w:themeColor="text1"/>
                      <w:kern w:val="2"/>
                      <w:position w:val="-10"/>
                      <w:sz w:val="21"/>
                      <w:szCs w:val="21"/>
                      <w:highlight w:val="none"/>
                      <w:lang w:val="en-US" w:eastAsia="zh-CN" w:bidi="ar-SA"/>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项目不属于钢铁、燃煤燃油火电、石化、储油库等项目</w:t>
                  </w:r>
                  <w:r>
                    <w:rPr>
                      <w:rFonts w:hint="eastAsia"/>
                      <w:color w:val="000000" w:themeColor="text1"/>
                      <w:kern w:val="2"/>
                      <w:sz w:val="21"/>
                      <w:szCs w:val="21"/>
                      <w:highlight w:val="none"/>
                      <w:lang w:eastAsia="zh-CN"/>
                      <w14:textFill>
                        <w14:solidFill>
                          <w14:schemeClr w14:val="tx1"/>
                        </w14:solidFill>
                      </w14:textFill>
                    </w:rPr>
                    <w:t>，</w:t>
                  </w:r>
                  <w:r>
                    <w:rPr>
                      <w:rFonts w:hint="eastAsia"/>
                      <w:color w:val="000000" w:themeColor="text1"/>
                      <w:kern w:val="2"/>
                      <w:sz w:val="21"/>
                      <w:szCs w:val="21"/>
                      <w:highlight w:val="none"/>
                      <w14:textFill>
                        <w14:solidFill>
                          <w14:schemeClr w14:val="tx1"/>
                        </w14:solidFill>
                      </w14:textFill>
                    </w:rPr>
                    <w:t>不属于</w:t>
                  </w:r>
                  <w:r>
                    <w:rPr>
                      <w:rFonts w:hint="eastAsia"/>
                      <w:color w:val="000000" w:themeColor="text1"/>
                      <w:kern w:val="2"/>
                      <w:sz w:val="21"/>
                      <w:szCs w:val="21"/>
                      <w:highlight w:val="none"/>
                      <w:lang w:val="en-US" w:eastAsia="zh-CN"/>
                      <w14:textFill>
                        <w14:solidFill>
                          <w14:schemeClr w14:val="tx1"/>
                        </w14:solidFill>
                      </w14:textFill>
                    </w:rPr>
                    <w:t>产生和排放</w:t>
                  </w:r>
                  <w:r>
                    <w:rPr>
                      <w:rFonts w:hint="eastAsia"/>
                      <w:color w:val="000000" w:themeColor="text1"/>
                      <w:kern w:val="2"/>
                      <w:sz w:val="21"/>
                      <w:szCs w:val="21"/>
                      <w:highlight w:val="none"/>
                      <w14:textFill>
                        <w14:solidFill>
                          <w14:schemeClr w14:val="tx1"/>
                        </w14:solidFill>
                      </w14:textFill>
                    </w:rPr>
                    <w:t>有毒有害大气污染物的项目</w:t>
                  </w:r>
                  <w:r>
                    <w:rPr>
                      <w:rFonts w:hint="eastAsia"/>
                      <w:color w:val="000000" w:themeColor="text1"/>
                      <w:kern w:val="2"/>
                      <w:sz w:val="21"/>
                      <w:szCs w:val="21"/>
                      <w:highlight w:val="none"/>
                      <w:lang w:eastAsia="zh-CN"/>
                      <w14:textFill>
                        <w14:solidFill>
                          <w14:schemeClr w14:val="tx1"/>
                        </w14:solidFill>
                      </w14:textFill>
                    </w:rPr>
                    <w:t>。</w:t>
                  </w:r>
                </w:p>
              </w:tc>
              <w:tc>
                <w:tcPr>
                  <w:tcW w:w="351" w:type="pct"/>
                  <w:noWrap w:val="0"/>
                  <w:vAlign w:val="center"/>
                </w:tcPr>
                <w:p w14:paraId="5C2E557D">
                  <w:pPr>
                    <w:widowControl w:val="0"/>
                    <w:kinsoku/>
                    <w:autoSpaceDE/>
                    <w:autoSpaceDN/>
                    <w:adjustRightInd/>
                    <w:snapToGrid/>
                    <w:spacing w:line="240" w:lineRule="auto"/>
                    <w:jc w:val="center"/>
                    <w:textAlignment w:val="auto"/>
                    <w:rPr>
                      <w:rFonts w:hint="default" w:ascii="Times New Roman" w:hAnsi="Times New Roman" w:eastAsia="宋体" w:cs="Times New Roman"/>
                      <w:b w:val="0"/>
                      <w:bCs w:val="0"/>
                      <w:snapToGrid/>
                      <w:color w:val="000000" w:themeColor="text1"/>
                      <w:kern w:val="2"/>
                      <w:szCs w:val="21"/>
                      <w:highlight w:val="none"/>
                      <w:lang w:val="en-US" w:eastAsia="zh-CN"/>
                      <w14:textFill>
                        <w14:solidFill>
                          <w14:schemeClr w14:val="tx1"/>
                        </w14:solidFill>
                      </w14:textFill>
                    </w:rPr>
                  </w:pPr>
                  <w:r>
                    <w:rPr>
                      <w:rFonts w:hint="eastAsia" w:ascii="Times New Roman" w:hAnsi="Times New Roman" w:eastAsia="宋体" w:cs="Times New Roman"/>
                      <w:b w:val="0"/>
                      <w:bCs w:val="0"/>
                      <w:snapToGrid/>
                      <w:color w:val="000000" w:themeColor="text1"/>
                      <w:kern w:val="2"/>
                      <w:szCs w:val="21"/>
                      <w:highlight w:val="none"/>
                      <w:lang w:val="en-US" w:eastAsia="zh-CN"/>
                      <w14:textFill>
                        <w14:solidFill>
                          <w14:schemeClr w14:val="tx1"/>
                        </w14:solidFill>
                      </w14:textFill>
                    </w:rPr>
                    <w:t>符合</w:t>
                  </w:r>
                </w:p>
              </w:tc>
            </w:tr>
          </w:tbl>
          <w:p w14:paraId="48E0DD44">
            <w:pPr>
              <w:keepNext w:val="0"/>
              <w:keepLines w:val="0"/>
              <w:pageBreakBefore w:val="0"/>
              <w:widowControl w:val="0"/>
              <w:kinsoku/>
              <w:wordWrap/>
              <w:overflowPunct/>
              <w:topLinePunct w:val="0"/>
              <w:autoSpaceDE/>
              <w:autoSpaceDN/>
              <w:bidi w:val="0"/>
              <w:adjustRightInd/>
              <w:snapToGrid/>
              <w:spacing w:line="100" w:lineRule="exact"/>
              <w:jc w:val="center"/>
              <w:textAlignment w:val="auto"/>
              <w:rPr>
                <w:rFonts w:hint="eastAsia"/>
                <w:color w:val="000000" w:themeColor="text1"/>
                <w:highlight w:val="none"/>
                <w14:textFill>
                  <w14:solidFill>
                    <w14:schemeClr w14:val="tx1"/>
                  </w14:solidFill>
                </w14:textFill>
              </w:rPr>
            </w:pPr>
          </w:p>
          <w:p w14:paraId="2A94CED8">
            <w:pPr>
              <w:spacing w:line="360" w:lineRule="auto"/>
              <w:ind w:firstLine="480" w:firstLineChars="200"/>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综上所述，项目符合《广东省人民政府关于印发广东省“三线一单”生态环境分区管控方案的通知（粤府〔2020〕71号）》《广东省2023年度生态环境分区管控动态更新成果公告》的相关要求。</w:t>
            </w:r>
          </w:p>
          <w:p w14:paraId="5112A000">
            <w:pPr>
              <w:spacing w:line="360" w:lineRule="auto"/>
              <w:ind w:firstLine="482" w:firstLineChars="200"/>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4"/>
                <w:highlight w:val="none"/>
                <w:lang w:val="en-US" w:eastAsia="zh-CN"/>
                <w14:textFill>
                  <w14:solidFill>
                    <w14:schemeClr w14:val="tx1"/>
                  </w14:solidFill>
                </w14:textFill>
              </w:rPr>
              <w:t>②与《韶关市“三线一单”生态环境分区管控方案》（韶府〔2021〕10号）和《韶关市生态环境分区管控动态更新成果》的相符性分析</w:t>
            </w:r>
          </w:p>
          <w:p w14:paraId="37EF6427">
            <w:pPr>
              <w:spacing w:line="360" w:lineRule="auto"/>
              <w:ind w:firstLine="480" w:firstLineChars="200"/>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本项目所在环境管控单位为乐昌经济开发区重点管控单元（编号：ZH44028120003）</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，本项目与所在区域的生态保护红线、环境质量底线、资源利用上线</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如下表所示。</w:t>
            </w:r>
          </w:p>
          <w:p w14:paraId="71334135">
            <w:pPr>
              <w:pStyle w:val="155"/>
              <w:keepNext w:val="0"/>
              <w:keepLines w:val="0"/>
              <w:suppressLineNumbers w:val="0"/>
              <w:bidi w:val="0"/>
              <w:spacing w:before="0" w:beforeAutospacing="0" w:after="0" w:afterAutospacing="0" w:line="240" w:lineRule="auto"/>
              <w:ind w:left="0" w:leftChars="0" w:right="0" w:firstLine="0" w:firstLineChars="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与《韶关市“三线一单”生态环境分区管控方案》（韶府</w:t>
            </w:r>
            <w:r>
              <w:rPr>
                <w:rFonts w:hint="eastAsia"/>
                <w:color w:val="000000" w:themeColor="text1"/>
                <w:sz w:val="21"/>
                <w:szCs w:val="21"/>
                <w:highlight w:val="none"/>
                <w:lang w:val="en-US" w:eastAsia="zh-CN"/>
                <w14:textFill>
                  <w14:solidFill>
                    <w14:schemeClr w14:val="tx1"/>
                  </w14:solidFill>
                </w14:textFill>
              </w:rPr>
              <w:br w:type="textWrapping"/>
            </w:r>
            <w:r>
              <w:rPr>
                <w:rFonts w:hint="eastAsia"/>
                <w:color w:val="000000" w:themeColor="text1"/>
                <w:sz w:val="21"/>
                <w:szCs w:val="21"/>
                <w:highlight w:val="none"/>
                <w:lang w:val="en-US" w:eastAsia="zh-CN"/>
                <w14:textFill>
                  <w14:solidFill>
                    <w14:schemeClr w14:val="tx1"/>
                  </w14:solidFill>
                </w14:textFill>
              </w:rPr>
              <w:t>〔2021〕10号）和《韶关市生态环境分区管控动态更新成果》</w:t>
            </w:r>
            <w:r>
              <w:rPr>
                <w:rFonts w:hint="eastAsia"/>
                <w:color w:val="000000" w:themeColor="text1"/>
                <w:sz w:val="21"/>
                <w:szCs w:val="21"/>
                <w:highlight w:val="none"/>
                <w14:textFill>
                  <w14:solidFill>
                    <w14:schemeClr w14:val="tx1"/>
                  </w14:solidFill>
                </w14:textFill>
              </w:rPr>
              <w:t>相符性分析一览表</w:t>
            </w:r>
          </w:p>
          <w:tbl>
            <w:tblPr>
              <w:tblStyle w:val="4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9"/>
              <w:gridCol w:w="3565"/>
              <w:gridCol w:w="2148"/>
              <w:gridCol w:w="503"/>
            </w:tblGrid>
            <w:tr w14:paraId="5C7B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7" w:type="pct"/>
                  <w:noWrap w:val="0"/>
                  <w:vAlign w:val="center"/>
                </w:tcPr>
                <w:p w14:paraId="17701220">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kern w:val="0"/>
                      <w:sz w:val="21"/>
                      <w:szCs w:val="21"/>
                      <w:highlight w:val="none"/>
                      <w14:textFill>
                        <w14:solidFill>
                          <w14:schemeClr w14:val="tx1"/>
                        </w14:solidFill>
                      </w14:textFill>
                    </w:rPr>
                  </w:pPr>
                  <w:r>
                    <w:rPr>
                      <w:rFonts w:hint="default" w:ascii="Times New Roman" w:hAnsi="Times New Roman" w:cs="Times New Roman"/>
                      <w:b/>
                      <w:bCs/>
                      <w:color w:val="000000" w:themeColor="text1"/>
                      <w:kern w:val="0"/>
                      <w:sz w:val="21"/>
                      <w:szCs w:val="21"/>
                      <w:highlight w:val="none"/>
                      <w14:textFill>
                        <w14:solidFill>
                          <w14:schemeClr w14:val="tx1"/>
                        </w14:solidFill>
                      </w14:textFill>
                    </w:rPr>
                    <w:t>类别</w:t>
                  </w:r>
                </w:p>
              </w:tc>
              <w:tc>
                <w:tcPr>
                  <w:tcW w:w="2673" w:type="pct"/>
                  <w:noWrap w:val="0"/>
                  <w:vAlign w:val="center"/>
                </w:tcPr>
                <w:p w14:paraId="25BBF3FB">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kern w:val="0"/>
                      <w:sz w:val="21"/>
                      <w:szCs w:val="21"/>
                      <w:highlight w:val="none"/>
                      <w14:textFill>
                        <w14:solidFill>
                          <w14:schemeClr w14:val="tx1"/>
                        </w14:solidFill>
                      </w14:textFill>
                    </w:rPr>
                  </w:pPr>
                  <w:r>
                    <w:rPr>
                      <w:rFonts w:hint="default" w:ascii="Times New Roman" w:hAnsi="Times New Roman" w:cs="Times New Roman"/>
                      <w:b/>
                      <w:bCs/>
                      <w:color w:val="000000" w:themeColor="text1"/>
                      <w:kern w:val="0"/>
                      <w:sz w:val="21"/>
                      <w:szCs w:val="21"/>
                      <w:highlight w:val="none"/>
                      <w14:textFill>
                        <w14:solidFill>
                          <w14:schemeClr w14:val="tx1"/>
                        </w14:solidFill>
                      </w14:textFill>
                    </w:rPr>
                    <w:t>文件要求</w:t>
                  </w:r>
                </w:p>
              </w:tc>
              <w:tc>
                <w:tcPr>
                  <w:tcW w:w="1611" w:type="pct"/>
                  <w:noWrap w:val="0"/>
                  <w:vAlign w:val="center"/>
                </w:tcPr>
                <w:p w14:paraId="4FAE7A86">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kern w:val="0"/>
                      <w:sz w:val="21"/>
                      <w:szCs w:val="21"/>
                      <w:highlight w:val="none"/>
                      <w14:textFill>
                        <w14:solidFill>
                          <w14:schemeClr w14:val="tx1"/>
                        </w14:solidFill>
                      </w14:textFill>
                    </w:rPr>
                  </w:pPr>
                  <w:r>
                    <w:rPr>
                      <w:rFonts w:hint="default" w:ascii="Times New Roman" w:hAnsi="Times New Roman" w:cs="Times New Roman"/>
                      <w:b/>
                      <w:bCs/>
                      <w:color w:val="000000" w:themeColor="text1"/>
                      <w:kern w:val="0"/>
                      <w:sz w:val="21"/>
                      <w:szCs w:val="21"/>
                      <w:highlight w:val="none"/>
                      <w14:textFill>
                        <w14:solidFill>
                          <w14:schemeClr w14:val="tx1"/>
                        </w14:solidFill>
                      </w14:textFill>
                    </w:rPr>
                    <w:t>本项目情况</w:t>
                  </w:r>
                </w:p>
              </w:tc>
              <w:tc>
                <w:tcPr>
                  <w:tcW w:w="377" w:type="pct"/>
                  <w:noWrap w:val="0"/>
                  <w:vAlign w:val="center"/>
                </w:tcPr>
                <w:p w14:paraId="1E1430C4">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kern w:val="0"/>
                      <w:sz w:val="21"/>
                      <w:szCs w:val="21"/>
                      <w:highlight w:val="none"/>
                      <w14:textFill>
                        <w14:solidFill>
                          <w14:schemeClr w14:val="tx1"/>
                        </w14:solidFill>
                      </w14:textFill>
                    </w:rPr>
                  </w:pPr>
                  <w:r>
                    <w:rPr>
                      <w:rFonts w:hint="default" w:ascii="Times New Roman" w:hAnsi="Times New Roman" w:cs="Times New Roman"/>
                      <w:b/>
                      <w:bCs/>
                      <w:color w:val="000000" w:themeColor="text1"/>
                      <w:kern w:val="0"/>
                      <w:sz w:val="21"/>
                      <w:szCs w:val="21"/>
                      <w:highlight w:val="none"/>
                      <w14:textFill>
                        <w14:solidFill>
                          <w14:schemeClr w14:val="tx1"/>
                        </w14:solidFill>
                      </w14:textFill>
                    </w:rPr>
                    <w:t>符合性</w:t>
                  </w:r>
                </w:p>
              </w:tc>
            </w:tr>
            <w:tr w14:paraId="7C00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7" w:type="pct"/>
                  <w:noWrap w:val="0"/>
                  <w:vAlign w:val="center"/>
                </w:tcPr>
                <w:p w14:paraId="2164DEEA">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kern w:val="0"/>
                      <w:sz w:val="21"/>
                      <w:szCs w:val="21"/>
                      <w:highlight w:val="none"/>
                      <w14:textFill>
                        <w14:solidFill>
                          <w14:schemeClr w14:val="tx1"/>
                        </w14:solidFill>
                      </w14:textFill>
                    </w:rPr>
                  </w:pPr>
                  <w:r>
                    <w:rPr>
                      <w:rFonts w:hint="default" w:ascii="Times New Roman" w:hAnsi="Times New Roman" w:cs="Times New Roman"/>
                      <w:b/>
                      <w:bCs/>
                      <w:color w:val="000000" w:themeColor="text1"/>
                      <w:kern w:val="0"/>
                      <w:sz w:val="21"/>
                      <w:szCs w:val="21"/>
                      <w:highlight w:val="none"/>
                      <w14:textFill>
                        <w14:solidFill>
                          <w14:schemeClr w14:val="tx1"/>
                        </w14:solidFill>
                      </w14:textFill>
                    </w:rPr>
                    <w:t>生态保护红线</w:t>
                  </w:r>
                </w:p>
              </w:tc>
              <w:tc>
                <w:tcPr>
                  <w:tcW w:w="2673" w:type="pct"/>
                  <w:noWrap w:val="0"/>
                  <w:vAlign w:val="center"/>
                </w:tcPr>
                <w:p w14:paraId="1D8D77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生态保护红线及一般生态空间。全市陆域生态保护红线面积5827.58平方千米，占全市陆域国土面积的31.65%；一般生态空间面积4951.43平方千米。</w:t>
                  </w:r>
                </w:p>
                <w:p w14:paraId="38B064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生态保护红线内自然保护地核心保护区外，禁止开发性、生产性建设活动，在符合法律法规的前提下，仅允许对生态功能不造成破坏的有限人为活动；生态保护红线内自然保护区、风景名胜区、饮用水水源保护区等区域，依照法律法规执行。上述允许的有限人为活动之外，确需占用生态保护红线的国家重大项目，按照有关规定办理用地审批。</w:t>
                  </w:r>
                </w:p>
              </w:tc>
              <w:tc>
                <w:tcPr>
                  <w:tcW w:w="1611" w:type="pct"/>
                  <w:noWrap w:val="0"/>
                  <w:vAlign w:val="center"/>
                </w:tcPr>
                <w:p w14:paraId="22F4B905">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本项目选址不涉及自然保护区、风景名胜区、饮用水源保护区、基本农田保护区</w:t>
                  </w:r>
                  <w:r>
                    <w:rPr>
                      <w:rFonts w:hint="eastAsia" w:ascii="Times New Roman" w:hAnsi="Times New Roman" w:cs="Times New Roman"/>
                      <w:color w:val="000000" w:themeColor="text1"/>
                      <w:kern w:val="0"/>
                      <w:sz w:val="21"/>
                      <w:szCs w:val="21"/>
                      <w:highlight w:val="none"/>
                      <w:lang w:eastAsia="zh-CN"/>
                      <w14:textFill>
                        <w14:solidFill>
                          <w14:schemeClr w14:val="tx1"/>
                        </w14:solidFill>
                      </w14:textFill>
                    </w:rPr>
                    <w:t>及其他</w:t>
                  </w:r>
                  <w:r>
                    <w:rPr>
                      <w:rFonts w:hint="default" w:ascii="Times New Roman" w:hAnsi="Times New Roman" w:cs="Times New Roman"/>
                      <w:color w:val="000000" w:themeColor="text1"/>
                      <w:kern w:val="0"/>
                      <w:sz w:val="21"/>
                      <w:szCs w:val="21"/>
                      <w:highlight w:val="none"/>
                      <w14:textFill>
                        <w14:solidFill>
                          <w14:schemeClr w14:val="tx1"/>
                        </w14:solidFill>
                      </w14:textFill>
                    </w:rPr>
                    <w:t>需要特殊保护的敏感区域，项目位于</w:t>
                  </w:r>
                  <w:r>
                    <w:rPr>
                      <w:rFonts w:hint="eastAsia" w:ascii="Times New Roman" w:hAnsi="Times New Roman" w:cs="Times New Roman"/>
                      <w:color w:val="000000" w:themeColor="text1"/>
                      <w:kern w:val="0"/>
                      <w:sz w:val="21"/>
                      <w:szCs w:val="21"/>
                      <w:highlight w:val="none"/>
                      <w:lang w:eastAsia="zh-CN"/>
                      <w14:textFill>
                        <w14:solidFill>
                          <w14:schemeClr w14:val="tx1"/>
                        </w14:solidFill>
                      </w14:textFill>
                    </w:rPr>
                    <w:t>韶关市乐昌市乐昌经济开发区管理委员会后座046号</w:t>
                  </w:r>
                  <w:r>
                    <w:rPr>
                      <w:rFonts w:hint="default" w:ascii="Times New Roman" w:hAnsi="Times New Roman" w:cs="Times New Roman"/>
                      <w:color w:val="000000" w:themeColor="text1"/>
                      <w:sz w:val="21"/>
                      <w:szCs w:val="21"/>
                      <w:highlight w:val="none"/>
                      <w14:textFill>
                        <w14:solidFill>
                          <w14:schemeClr w14:val="tx1"/>
                        </w14:solidFill>
                      </w14:textFill>
                    </w:rPr>
                    <w:t>，不在生态红线内。</w:t>
                  </w:r>
                </w:p>
              </w:tc>
              <w:tc>
                <w:tcPr>
                  <w:tcW w:w="377" w:type="pct"/>
                  <w:noWrap w:val="0"/>
                  <w:vAlign w:val="center"/>
                </w:tcPr>
                <w:p w14:paraId="0A08045E">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符合</w:t>
                  </w:r>
                </w:p>
              </w:tc>
            </w:tr>
            <w:tr w14:paraId="6DB52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7" w:type="pct"/>
                  <w:noWrap w:val="0"/>
                  <w:vAlign w:val="center"/>
                </w:tcPr>
                <w:p w14:paraId="2B66361F">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kern w:val="0"/>
                      <w:sz w:val="21"/>
                      <w:szCs w:val="21"/>
                      <w:highlight w:val="none"/>
                      <w14:textFill>
                        <w14:solidFill>
                          <w14:schemeClr w14:val="tx1"/>
                        </w14:solidFill>
                      </w14:textFill>
                    </w:rPr>
                  </w:pPr>
                  <w:r>
                    <w:rPr>
                      <w:rFonts w:hint="default" w:ascii="Times New Roman" w:hAnsi="Times New Roman" w:cs="Times New Roman"/>
                      <w:b/>
                      <w:bCs/>
                      <w:color w:val="000000" w:themeColor="text1"/>
                      <w:kern w:val="0"/>
                      <w:sz w:val="21"/>
                      <w:szCs w:val="21"/>
                      <w:highlight w:val="none"/>
                      <w14:textFill>
                        <w14:solidFill>
                          <w14:schemeClr w14:val="tx1"/>
                        </w14:solidFill>
                      </w14:textFill>
                    </w:rPr>
                    <w:t>环境质量底线</w:t>
                  </w:r>
                </w:p>
              </w:tc>
              <w:tc>
                <w:tcPr>
                  <w:tcW w:w="2673" w:type="pct"/>
                  <w:noWrap w:val="0"/>
                  <w:vAlign w:val="center"/>
                </w:tcPr>
                <w:p w14:paraId="5CB2FB3B">
                  <w:pPr>
                    <w:keepNext w:val="0"/>
                    <w:keepLines w:val="0"/>
                    <w:pageBreakBefore w:val="0"/>
                    <w:widowControl/>
                    <w:suppressLineNumbers w:val="0"/>
                    <w:kinsoku/>
                    <w:wordWrap/>
                    <w:overflowPunct/>
                    <w:topLinePunct w:val="0"/>
                    <w:bidi w:val="0"/>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全市水环境质量保持优良，县级以上集中式饮用水水源水质全面稳定达到或优于Ⅲ类，考核断面优良水质比例达100%。大气环境质量持续改善，AQI和PM</w:t>
                  </w:r>
                  <w:r>
                    <w:rPr>
                      <w:rFonts w:hint="default" w:ascii="Times New Roman" w:hAnsi="Times New Roman" w:cs="Times New Roman"/>
                      <w:color w:val="000000" w:themeColor="text1"/>
                      <w:kern w:val="0"/>
                      <w:sz w:val="21"/>
                      <w:szCs w:val="21"/>
                      <w:highlight w:val="none"/>
                      <w:vertAlign w:val="subscript"/>
                      <w14:textFill>
                        <w14:solidFill>
                          <w14:schemeClr w14:val="tx1"/>
                        </w14:solidFill>
                      </w14:textFill>
                    </w:rPr>
                    <w:t>2.5</w:t>
                  </w:r>
                  <w:r>
                    <w:rPr>
                      <w:rFonts w:hint="default" w:ascii="Times New Roman" w:hAnsi="Times New Roman" w:cs="Times New Roman"/>
                      <w:color w:val="000000" w:themeColor="text1"/>
                      <w:kern w:val="0"/>
                      <w:sz w:val="21"/>
                      <w:szCs w:val="21"/>
                      <w:highlight w:val="none"/>
                      <w14:textFill>
                        <w14:solidFill>
                          <w14:schemeClr w14:val="tx1"/>
                        </w14:solidFill>
                      </w14:textFill>
                    </w:rPr>
                    <w:t>等主要指标达到省下达的任务要求，臭氧污染得到有效遏制。土壤环境质量稳中向好，土壤环境风险得到管控。</w:t>
                  </w:r>
                </w:p>
              </w:tc>
              <w:tc>
                <w:tcPr>
                  <w:tcW w:w="1611" w:type="pct"/>
                  <w:noWrap w:val="0"/>
                  <w:vAlign w:val="center"/>
                </w:tcPr>
                <w:p w14:paraId="4610A2BD">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项目所在区域的声环境质量能够符合相应的标准要求；地表水质量达标；根据《</w:t>
                  </w:r>
                  <w:r>
                    <w:rPr>
                      <w:rFonts w:hint="eastAsia" w:ascii="Times New Roman" w:hAnsi="Times New Roman" w:cs="Times New Roman"/>
                      <w:color w:val="000000" w:themeColor="text1"/>
                      <w:kern w:val="0"/>
                      <w:sz w:val="21"/>
                      <w:szCs w:val="21"/>
                      <w:highlight w:val="none"/>
                      <w:lang w:val="en-US" w:eastAsia="zh-CN"/>
                      <w14:textFill>
                        <w14:solidFill>
                          <w14:schemeClr w14:val="tx1"/>
                        </w14:solidFill>
                      </w14:textFill>
                    </w:rPr>
                    <w:t>2024</w:t>
                  </w:r>
                  <w:r>
                    <w:rPr>
                      <w:rFonts w:hint="default" w:ascii="Times New Roman" w:hAnsi="Times New Roman" w:cs="Times New Roman"/>
                      <w:color w:val="000000" w:themeColor="text1"/>
                      <w:kern w:val="0"/>
                      <w:sz w:val="21"/>
                      <w:szCs w:val="21"/>
                      <w:highlight w:val="none"/>
                      <w14:textFill>
                        <w14:solidFill>
                          <w14:schemeClr w14:val="tx1"/>
                        </w14:solidFill>
                      </w14:textFill>
                    </w:rPr>
                    <w:t>年韶关市生态环境状况公报》</w:t>
                  </w:r>
                  <w:r>
                    <w:rPr>
                      <w:rFonts w:hint="default" w:ascii="Times New Roman" w:hAnsi="Times New Roman" w:cs="Times New Roman"/>
                      <w:bCs/>
                      <w:color w:val="000000" w:themeColor="text1"/>
                      <w:sz w:val="21"/>
                      <w:szCs w:val="21"/>
                      <w:highlight w:val="none"/>
                      <w14:textFill>
                        <w14:solidFill>
                          <w14:schemeClr w14:val="tx1"/>
                        </w14:solidFill>
                      </w14:textFill>
                    </w:rPr>
                    <w:t>，乐昌市</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各项基本污染物</w:t>
                  </w:r>
                  <w:r>
                    <w:rPr>
                      <w:rFonts w:hint="default" w:ascii="Times New Roman" w:hAnsi="Times New Roman" w:cs="Times New Roman"/>
                      <w:bCs/>
                      <w:color w:val="000000" w:themeColor="text1"/>
                      <w:sz w:val="21"/>
                      <w:szCs w:val="21"/>
                      <w:highlight w:val="none"/>
                      <w14:textFill>
                        <w14:solidFill>
                          <w14:schemeClr w14:val="tx1"/>
                        </w14:solidFill>
                      </w14:textFill>
                    </w:rPr>
                    <w:t>均满足《环境空气质量标准》（GB3095-2026）过渡阶段浓度限值二级标准，由此说明</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韶关市</w:t>
                  </w:r>
                  <w:r>
                    <w:rPr>
                      <w:rFonts w:hint="default" w:ascii="Times New Roman" w:hAnsi="Times New Roman" w:cs="Times New Roman"/>
                      <w:bCs/>
                      <w:color w:val="000000" w:themeColor="text1"/>
                      <w:sz w:val="21"/>
                      <w:szCs w:val="21"/>
                      <w:highlight w:val="none"/>
                      <w14:textFill>
                        <w14:solidFill>
                          <w14:schemeClr w14:val="tx1"/>
                        </w14:solidFill>
                      </w14:textFill>
                    </w:rPr>
                    <w:t>乐昌市属于环境空气质量达标区</w:t>
                  </w:r>
                  <w:r>
                    <w:rPr>
                      <w:rFonts w:hint="default" w:ascii="Times New Roman" w:hAnsi="Times New Roman" w:cs="Times New Roman"/>
                      <w:color w:val="000000" w:themeColor="text1"/>
                      <w:kern w:val="0"/>
                      <w:sz w:val="21"/>
                      <w:szCs w:val="21"/>
                      <w:highlight w:val="none"/>
                      <w14:textFill>
                        <w14:solidFill>
                          <w14:schemeClr w14:val="tx1"/>
                        </w14:solidFill>
                      </w14:textFill>
                    </w:rPr>
                    <w:t>。本项目排放的大气污染物</w:t>
                  </w: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为颗粒物、二氧化硫、氮氧化物</w:t>
                  </w:r>
                  <w:r>
                    <w:rPr>
                      <w:rFonts w:hint="eastAsia" w:cs="Times New Roman"/>
                      <w:color w:val="000000" w:themeColor="text1"/>
                      <w:kern w:val="0"/>
                      <w:sz w:val="21"/>
                      <w:szCs w:val="21"/>
                      <w:highlight w:val="none"/>
                      <w:lang w:val="en-US" w:eastAsia="zh-CN"/>
                      <w14:textFill>
                        <w14:solidFill>
                          <w14:schemeClr w14:val="tx1"/>
                        </w14:solidFill>
                      </w14:textFill>
                    </w:rPr>
                    <w:t>、非甲烷总烃、苯系物、油烟、臭气浓度等</w:t>
                  </w:r>
                  <w:r>
                    <w:rPr>
                      <w:rFonts w:hint="default" w:ascii="Times New Roman" w:hAnsi="Times New Roman" w:cs="Times New Roman"/>
                      <w:color w:val="000000" w:themeColor="text1"/>
                      <w:kern w:val="0"/>
                      <w:sz w:val="21"/>
                      <w:szCs w:val="21"/>
                      <w:highlight w:val="none"/>
                      <w14:textFill>
                        <w14:solidFill>
                          <w14:schemeClr w14:val="tx1"/>
                        </w14:solidFill>
                      </w14:textFill>
                    </w:rPr>
                    <w:t>，</w:t>
                  </w: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项目废气排放量较少</w:t>
                  </w:r>
                  <w:r>
                    <w:rPr>
                      <w:rFonts w:hint="default" w:ascii="Times New Roman" w:hAnsi="Times New Roman" w:cs="Times New Roman"/>
                      <w:color w:val="000000" w:themeColor="text1"/>
                      <w:kern w:val="0"/>
                      <w:sz w:val="21"/>
                      <w:szCs w:val="21"/>
                      <w:highlight w:val="none"/>
                      <w14:textFill>
                        <w14:solidFill>
                          <w14:schemeClr w14:val="tx1"/>
                        </w14:solidFill>
                      </w14:textFill>
                    </w:rPr>
                    <w:t>，对周围大气环境影响不大。项目</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生产废水、</w:t>
                  </w:r>
                  <w:r>
                    <w:rPr>
                      <w:rFonts w:hint="default" w:ascii="Times New Roman" w:hAnsi="Times New Roman" w:cs="Times New Roman"/>
                      <w:color w:val="000000" w:themeColor="text1"/>
                      <w:sz w:val="21"/>
                      <w:szCs w:val="21"/>
                      <w:highlight w:val="none"/>
                      <w14:textFill>
                        <w14:solidFill>
                          <w14:schemeClr w14:val="tx1"/>
                        </w14:solidFill>
                      </w14:textFill>
                    </w:rPr>
                    <w:t>生活污水</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经处理达标后排入园区污水处理厂处理</w:t>
                  </w:r>
                  <w:r>
                    <w:rPr>
                      <w:rFonts w:hint="default" w:ascii="Times New Roman" w:hAnsi="Times New Roman" w:cs="Times New Roman"/>
                      <w:color w:val="000000" w:themeColor="text1"/>
                      <w:sz w:val="21"/>
                      <w:szCs w:val="21"/>
                      <w:highlight w:val="none"/>
                      <w14:textFill>
                        <w14:solidFill>
                          <w14:schemeClr w14:val="tx1"/>
                        </w14:solidFill>
                      </w14:textFill>
                    </w:rPr>
                    <w:t>。</w:t>
                  </w:r>
                </w:p>
              </w:tc>
              <w:tc>
                <w:tcPr>
                  <w:tcW w:w="377" w:type="pct"/>
                  <w:noWrap w:val="0"/>
                  <w:vAlign w:val="center"/>
                </w:tcPr>
                <w:p w14:paraId="22408099">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符合</w:t>
                  </w:r>
                </w:p>
              </w:tc>
            </w:tr>
            <w:tr w14:paraId="4B7B2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7" w:type="pct"/>
                  <w:noWrap w:val="0"/>
                  <w:vAlign w:val="center"/>
                </w:tcPr>
                <w:p w14:paraId="6C39F21B">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kern w:val="0"/>
                      <w:sz w:val="21"/>
                      <w:szCs w:val="21"/>
                      <w:highlight w:val="none"/>
                      <w14:textFill>
                        <w14:solidFill>
                          <w14:schemeClr w14:val="tx1"/>
                        </w14:solidFill>
                      </w14:textFill>
                    </w:rPr>
                  </w:pPr>
                  <w:r>
                    <w:rPr>
                      <w:rFonts w:hint="default" w:ascii="Times New Roman" w:hAnsi="Times New Roman" w:cs="Times New Roman"/>
                      <w:b/>
                      <w:bCs/>
                      <w:color w:val="000000" w:themeColor="text1"/>
                      <w:kern w:val="0"/>
                      <w:sz w:val="21"/>
                      <w:szCs w:val="21"/>
                      <w:highlight w:val="none"/>
                      <w14:textFill>
                        <w14:solidFill>
                          <w14:schemeClr w14:val="tx1"/>
                        </w14:solidFill>
                      </w14:textFill>
                    </w:rPr>
                    <w:t>资源利用上线</w:t>
                  </w:r>
                </w:p>
              </w:tc>
              <w:tc>
                <w:tcPr>
                  <w:tcW w:w="2673" w:type="pct"/>
                  <w:noWrap w:val="0"/>
                  <w:vAlign w:val="center"/>
                </w:tcPr>
                <w:p w14:paraId="732A8A76">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强化节约集约利用，持续提升资源能源利用效率，水资源、土地资源、岸线资源、能源消耗等达到或优于国家、省下达的总量和强度控制目标。水资源利用效率持续提高。到2025年，全市用水总量控制在19.71亿立方米以内，万元地区生产总值用水量较2020年降幅不低于24%，万元工业增加值用水量较2020年降幅不低于20%。</w:t>
                  </w:r>
                </w:p>
                <w:p w14:paraId="250C1748">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土地资源集约化利用水平不断提升。耕地保有量、永久基本农田保护面积、建设用地总规模、城乡建设用地规模等严格落实国家和省下达的总量和强度控制指标。</w:t>
                  </w:r>
                </w:p>
                <w:p w14:paraId="044D4580">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岸线资源得到有效保护。自然岸线保有率达到省级考核要求。</w:t>
                  </w:r>
                </w:p>
                <w:p w14:paraId="1F46E6E2">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0"/>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能源利用效率持续提升，能源结构不断优化。到2025年，全市单位地区生产总值能源消耗比2020年下降15.5%。碳排放控制步伐加快推进，与全省同步达峰。</w:t>
                  </w:r>
                </w:p>
              </w:tc>
              <w:tc>
                <w:tcPr>
                  <w:tcW w:w="1611" w:type="pct"/>
                  <w:noWrap w:val="0"/>
                  <w:vAlign w:val="center"/>
                </w:tcPr>
                <w:p w14:paraId="36FC6EB6">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本项目营运过程中消耗一定量的电能</w:t>
                  </w:r>
                  <w:r>
                    <w:rPr>
                      <w:rFonts w:hint="default" w:ascii="Times New Roman" w:hAnsi="Times New Roman" w:cs="Times New Roman"/>
                      <w:color w:val="000000" w:themeColor="text1"/>
                      <w:kern w:val="0"/>
                      <w:sz w:val="21"/>
                      <w:szCs w:val="21"/>
                      <w:highlight w:val="none"/>
                      <w:lang w:eastAsia="zh-CN"/>
                      <w14:textFill>
                        <w14:solidFill>
                          <w14:schemeClr w14:val="tx1"/>
                        </w14:solidFill>
                      </w14:textFill>
                    </w:rPr>
                    <w:t>、</w:t>
                  </w: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天然气</w:t>
                  </w:r>
                  <w:r>
                    <w:rPr>
                      <w:rFonts w:hint="default" w:ascii="Times New Roman" w:hAnsi="Times New Roman" w:cs="Times New Roman"/>
                      <w:color w:val="000000" w:themeColor="text1"/>
                      <w:kern w:val="0"/>
                      <w:sz w:val="21"/>
                      <w:szCs w:val="21"/>
                      <w:highlight w:val="none"/>
                      <w14:textFill>
                        <w14:solidFill>
                          <w14:schemeClr w14:val="tx1"/>
                        </w14:solidFill>
                      </w14:textFill>
                    </w:rPr>
                    <w:t>、水资源，项目资源消耗量相对区域</w:t>
                  </w:r>
                  <w:r>
                    <w:rPr>
                      <w:rFonts w:hint="eastAsia" w:ascii="Times New Roman" w:hAnsi="Times New Roman" w:cs="Times New Roman"/>
                      <w:color w:val="000000" w:themeColor="text1"/>
                      <w:kern w:val="0"/>
                      <w:sz w:val="21"/>
                      <w:szCs w:val="21"/>
                      <w:highlight w:val="none"/>
                      <w:lang w:eastAsia="zh-CN"/>
                      <w14:textFill>
                        <w14:solidFill>
                          <w14:schemeClr w14:val="tx1"/>
                        </w14:solidFill>
                      </w14:textFill>
                    </w:rPr>
                    <w:t>资源</w:t>
                  </w:r>
                  <w:r>
                    <w:rPr>
                      <w:rFonts w:hint="default" w:ascii="Times New Roman" w:hAnsi="Times New Roman" w:cs="Times New Roman"/>
                      <w:color w:val="000000" w:themeColor="text1"/>
                      <w:kern w:val="0"/>
                      <w:sz w:val="21"/>
                      <w:szCs w:val="21"/>
                      <w:highlight w:val="none"/>
                      <w14:textFill>
                        <w14:solidFill>
                          <w14:schemeClr w14:val="tx1"/>
                        </w14:solidFill>
                      </w14:textFill>
                    </w:rPr>
                    <w:t>利用总量较少，符合资源利用上限的要求。</w:t>
                  </w:r>
                </w:p>
              </w:tc>
              <w:tc>
                <w:tcPr>
                  <w:tcW w:w="377" w:type="pct"/>
                  <w:noWrap w:val="0"/>
                  <w:vAlign w:val="center"/>
                </w:tcPr>
                <w:p w14:paraId="4305ED57">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符合</w:t>
                  </w:r>
                </w:p>
              </w:tc>
            </w:tr>
          </w:tbl>
          <w:p w14:paraId="146722E7">
            <w:pPr>
              <w:keepNext w:val="0"/>
              <w:keepLines w:val="0"/>
              <w:pageBreakBefore w:val="0"/>
              <w:widowControl w:val="0"/>
              <w:kinsoku/>
              <w:wordWrap/>
              <w:overflowPunct/>
              <w:topLinePunct w:val="0"/>
              <w:autoSpaceDE/>
              <w:autoSpaceDN/>
              <w:bidi w:val="0"/>
              <w:adjustRightInd/>
              <w:snapToGrid/>
              <w:spacing w:line="100" w:lineRule="exact"/>
              <w:jc w:val="center"/>
              <w:textAlignment w:val="auto"/>
              <w:rPr>
                <w:rFonts w:hint="eastAsia"/>
                <w:color w:val="000000" w:themeColor="text1"/>
                <w:highlight w:val="none"/>
                <w14:textFill>
                  <w14:solidFill>
                    <w14:schemeClr w14:val="tx1"/>
                  </w14:solidFill>
                </w14:textFill>
              </w:rPr>
            </w:pPr>
          </w:p>
          <w:p w14:paraId="196B03A1">
            <w:pPr>
              <w:spacing w:line="360" w:lineRule="auto"/>
              <w:ind w:firstLine="480" w:firstLineChars="200"/>
              <w:rPr>
                <w:rFonts w:hint="default" w:eastAsia="宋体"/>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本项目与</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韶关市</w:t>
            </w:r>
            <w:r>
              <w:rPr>
                <w:rFonts w:hint="eastAsia" w:cs="Times New Roman"/>
                <w:b w:val="0"/>
                <w:bCs w:val="0"/>
                <w:color w:val="000000" w:themeColor="text1"/>
                <w:sz w:val="24"/>
                <w:szCs w:val="24"/>
                <w:highlight w:val="none"/>
                <w:lang w:val="en-US" w:eastAsia="zh-CN"/>
                <w14:textFill>
                  <w14:solidFill>
                    <w14:schemeClr w14:val="tx1"/>
                  </w14:solidFill>
                </w14:textFill>
              </w:rPr>
              <w:t>生态环境分区管控方案</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全市管控要求如下表所示：</w:t>
            </w:r>
          </w:p>
          <w:p w14:paraId="61FEE978">
            <w:pPr>
              <w:pStyle w:val="155"/>
              <w:keepNext w:val="0"/>
              <w:keepLines w:val="0"/>
              <w:suppressLineNumbers w:val="0"/>
              <w:bidi w:val="0"/>
              <w:spacing w:before="0" w:beforeAutospacing="0" w:after="0" w:afterAutospacing="0" w:line="240" w:lineRule="auto"/>
              <w:ind w:left="0" w:leftChars="0" w:right="0" w:firstLine="0" w:firstLineChars="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与韶关市生态环境分区管控方案相符性分析</w:t>
            </w:r>
          </w:p>
          <w:tbl>
            <w:tblPr>
              <w:tblStyle w:val="4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427"/>
              <w:gridCol w:w="3439"/>
              <w:gridCol w:w="1944"/>
              <w:gridCol w:w="428"/>
            </w:tblGrid>
            <w:tr w14:paraId="425A9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39" w:type="pct"/>
                  <w:gridSpan w:val="2"/>
                  <w:tcBorders>
                    <w:tl2br w:val="nil"/>
                    <w:tr2bl w:val="nil"/>
                  </w:tcBorders>
                  <w:noWrap w:val="0"/>
                  <w:vAlign w:val="center"/>
                </w:tcPr>
                <w:p w14:paraId="5880198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内容</w:t>
                  </w:r>
                </w:p>
              </w:tc>
              <w:tc>
                <w:tcPr>
                  <w:tcW w:w="2978" w:type="pct"/>
                  <w:tcBorders>
                    <w:tl2br w:val="nil"/>
                    <w:tr2bl w:val="nil"/>
                  </w:tcBorders>
                  <w:noWrap w:val="0"/>
                  <w:vAlign w:val="center"/>
                </w:tcPr>
                <w:p w14:paraId="03C30DC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要求</w:t>
                  </w:r>
                </w:p>
              </w:tc>
              <w:tc>
                <w:tcPr>
                  <w:tcW w:w="999" w:type="pct"/>
                  <w:tcBorders>
                    <w:tl2br w:val="nil"/>
                    <w:tr2bl w:val="nil"/>
                  </w:tcBorders>
                  <w:noWrap w:val="0"/>
                  <w:vAlign w:val="center"/>
                </w:tcPr>
                <w:p w14:paraId="024A59A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相符性分析</w:t>
                  </w:r>
                </w:p>
              </w:tc>
              <w:tc>
                <w:tcPr>
                  <w:tcW w:w="382" w:type="pct"/>
                  <w:tcBorders>
                    <w:tl2br w:val="nil"/>
                    <w:tr2bl w:val="nil"/>
                  </w:tcBorders>
                  <w:noWrap w:val="0"/>
                  <w:vAlign w:val="center"/>
                </w:tcPr>
                <w:p w14:paraId="798B1A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结论</w:t>
                  </w:r>
                </w:p>
              </w:tc>
            </w:tr>
            <w:tr w14:paraId="6642D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19" w:type="pct"/>
                  <w:vMerge w:val="restart"/>
                  <w:tcBorders>
                    <w:tl2br w:val="nil"/>
                    <w:tr2bl w:val="nil"/>
                  </w:tcBorders>
                  <w:noWrap w:val="0"/>
                  <w:vAlign w:val="center"/>
                </w:tcPr>
                <w:p w14:paraId="4A4801F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全市总体管控</w:t>
                  </w:r>
                </w:p>
              </w:tc>
              <w:tc>
                <w:tcPr>
                  <w:tcW w:w="320" w:type="pct"/>
                  <w:tcBorders>
                    <w:tl2br w:val="nil"/>
                    <w:tr2bl w:val="nil"/>
                  </w:tcBorders>
                  <w:noWrap w:val="0"/>
                  <w:vAlign w:val="center"/>
                </w:tcPr>
                <w:p w14:paraId="50BE07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lang w:bidi="ar"/>
                      <w14:textFill>
                        <w14:solidFill>
                          <w14:schemeClr w14:val="tx1"/>
                        </w14:solidFill>
                      </w14:textFill>
                    </w:rPr>
                    <w:t>区域布局管控</w:t>
                  </w:r>
                </w:p>
              </w:tc>
              <w:tc>
                <w:tcPr>
                  <w:tcW w:w="2978" w:type="pct"/>
                  <w:tcBorders>
                    <w:tl2br w:val="nil"/>
                    <w:tr2bl w:val="nil"/>
                  </w:tcBorders>
                  <w:noWrap w:val="0"/>
                  <w:vAlign w:val="center"/>
                </w:tcPr>
                <w:p w14:paraId="3013440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严格控制涉重金属和高污染高能耗项目建设。新建、扩建石化、化工、焦化、有色金属冶炼、平板玻璃项目应布设在依法合规设立并经规划环评的产业园区。严格控制水污染严重地区和水源保护敏感区域高耗水、高污染行业发展。新丰县东南部（丰城街道、梅坑镇、黄礤镇、马头镇）严控水污染项目建设，新建、改建、扩建涉水建设项目实行主要污染物和特征污染物排放减量替代。环境空气质量一类功能区实施严格保护，禁止新建、扩建排放大气污染物的工业项目（国家和省规定不纳入环评管理的项目除外）。逐步扩大高污染燃料禁燃区范围。</w:t>
                  </w:r>
                </w:p>
              </w:tc>
              <w:tc>
                <w:tcPr>
                  <w:tcW w:w="999" w:type="pct"/>
                  <w:tcBorders>
                    <w:tl2br w:val="nil"/>
                    <w:tr2bl w:val="nil"/>
                  </w:tcBorders>
                  <w:noWrap w:val="0"/>
                  <w:vAlign w:val="center"/>
                </w:tcPr>
                <w:p w14:paraId="3CC97FF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主要从事金属表面处理及热处理加工行业，不涉重金属，不属于高污染高耗能行业，项目位于乐昌产业转移工业园，园区已开展规划环境评价，项目符合园区准入条件。项目所在地属于环境功能二类区、水环境质量达标区。</w:t>
                  </w:r>
                </w:p>
              </w:tc>
              <w:tc>
                <w:tcPr>
                  <w:tcW w:w="382" w:type="pct"/>
                  <w:tcBorders>
                    <w:tl2br w:val="nil"/>
                    <w:tr2bl w:val="nil"/>
                  </w:tcBorders>
                  <w:noWrap w:val="0"/>
                  <w:vAlign w:val="center"/>
                </w:tcPr>
                <w:p w14:paraId="02F0AA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符合</w:t>
                  </w:r>
                </w:p>
              </w:tc>
            </w:tr>
            <w:tr w14:paraId="7778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19" w:type="pct"/>
                  <w:vMerge w:val="continue"/>
                  <w:tcBorders>
                    <w:tl2br w:val="nil"/>
                    <w:tr2bl w:val="nil"/>
                  </w:tcBorders>
                  <w:noWrap w:val="0"/>
                  <w:vAlign w:val="center"/>
                </w:tcPr>
                <w:p w14:paraId="4B27B60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p>
              </w:tc>
              <w:tc>
                <w:tcPr>
                  <w:tcW w:w="320" w:type="pct"/>
                  <w:tcBorders>
                    <w:tl2br w:val="nil"/>
                    <w:tr2bl w:val="nil"/>
                  </w:tcBorders>
                  <w:noWrap w:val="0"/>
                  <w:vAlign w:val="center"/>
                </w:tcPr>
                <w:p w14:paraId="1805052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能源资源利用</w:t>
                  </w:r>
                </w:p>
              </w:tc>
              <w:tc>
                <w:tcPr>
                  <w:tcW w:w="2978" w:type="pct"/>
                  <w:tcBorders>
                    <w:tl2br w:val="nil"/>
                    <w:tr2bl w:val="nil"/>
                  </w:tcBorders>
                  <w:noWrap w:val="0"/>
                  <w:vAlign w:val="center"/>
                </w:tcPr>
                <w:p w14:paraId="1EC3EC8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积极落实国家、省制定的碳达峰碳中和目标任务，制定并落实碳达峰与碳减排工作计划、行动方案，综合运用相关政策工具和手段措施，持续推动实施。进一步优化调整能源结构，发展以光伏全产业链为龙头的风光氢等多元化可再生清洁能源产业，提高可再生能源发电装机占比，推动电力源网荷储一体化和多能互补。实行能源消费强度与消费总量“双控”制度。抓好电力、建材、冶炼等重点耗能行业的节能降耗工作，推动单位GDP能源消耗、单位GDP二氧化碳排放持续下降。鼓励使用天然气及可再生能源，县级及以上城市建成区，禁止新建每小时35蒸吨以下燃煤锅炉。原则上不再新建小水电以及除国家和省规划外的风电项目，对不符合生态环境要求的小水电进行清理整改。严格落实东江、北江流域等重要控制断面生态流量保障目标。加强城市节水，提高水资源的利用效率和效益。严格矿产资源开发准入管理，从严控制矿产资源开发总量和综合利用标准。加强矿产资源规划管理，提高矿产资源开发利用效率，推动矿产资源开发合理布局和节约集约利用。推进大宝山、凡口矿等矿山企业转型升级，打造国家级绿色矿山。全市矿山企业在2025年前全部达到绿色矿山标准。</w:t>
                  </w:r>
                </w:p>
              </w:tc>
              <w:tc>
                <w:tcPr>
                  <w:tcW w:w="999" w:type="pct"/>
                  <w:tcBorders>
                    <w:tl2br w:val="nil"/>
                    <w:tr2bl w:val="nil"/>
                  </w:tcBorders>
                  <w:noWrap w:val="0"/>
                  <w:vAlign w:val="center"/>
                </w:tcPr>
                <w:p w14:paraId="210D8F3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w:t>
                  </w:r>
                  <w:r>
                    <w:rPr>
                      <w:rFonts w:hint="default" w:ascii="Times New Roman" w:hAnsi="Times New Roman" w:cs="Times New Roman"/>
                      <w:color w:val="000000" w:themeColor="text1"/>
                      <w:sz w:val="21"/>
                      <w:szCs w:val="21"/>
                      <w:highlight w:val="none"/>
                      <w:lang w:eastAsia="zh-CN"/>
                      <w14:textFill>
                        <w14:solidFill>
                          <w14:schemeClr w14:val="tx1"/>
                        </w14:solidFill>
                      </w14:textFill>
                    </w:rPr>
                    <w:t>属于</w:t>
                  </w:r>
                  <w:r>
                    <w:rPr>
                      <w:rFonts w:hint="default" w:ascii="Times New Roman" w:hAnsi="Times New Roman" w:cs="Times New Roman"/>
                      <w:color w:val="000000" w:themeColor="text1"/>
                      <w:sz w:val="21"/>
                      <w:szCs w:val="21"/>
                      <w:highlight w:val="none"/>
                      <w14:textFill>
                        <w14:solidFill>
                          <w14:schemeClr w14:val="tx1"/>
                        </w14:solidFill>
                      </w14:textFill>
                    </w:rPr>
                    <w:t>金属表面处理及热处理加工行业，不属于电力、建材、冶炼等重点耗能行业，不涉及水电、风电、矿产资源开发。项目</w:t>
                  </w:r>
                  <w:r>
                    <w:rPr>
                      <w:rFonts w:hint="eastAsia" w:cs="Times New Roman"/>
                      <w:color w:val="000000" w:themeColor="text1"/>
                      <w:sz w:val="21"/>
                      <w:szCs w:val="21"/>
                      <w:highlight w:val="none"/>
                      <w:lang w:val="en-US" w:eastAsia="zh-CN"/>
                      <w14:textFill>
                        <w14:solidFill>
                          <w14:schemeClr w14:val="tx1"/>
                        </w14:solidFill>
                      </w14:textFill>
                    </w:rPr>
                    <w:t>固化炉</w:t>
                  </w:r>
                  <w:r>
                    <w:rPr>
                      <w:rFonts w:hint="default" w:ascii="Times New Roman" w:hAnsi="Times New Roman" w:cs="Times New Roman"/>
                      <w:color w:val="000000" w:themeColor="text1"/>
                      <w:sz w:val="21"/>
                      <w:szCs w:val="21"/>
                      <w:highlight w:val="none"/>
                      <w14:textFill>
                        <w14:solidFill>
                          <w14:schemeClr w14:val="tx1"/>
                        </w14:solidFill>
                      </w14:textFill>
                    </w:rPr>
                    <w:t>能源使用天然气，天然气属于清洁能源。</w:t>
                  </w:r>
                </w:p>
              </w:tc>
              <w:tc>
                <w:tcPr>
                  <w:tcW w:w="382" w:type="pct"/>
                  <w:tcBorders>
                    <w:tl2br w:val="nil"/>
                    <w:tr2bl w:val="nil"/>
                  </w:tcBorders>
                  <w:noWrap w:val="0"/>
                  <w:vAlign w:val="center"/>
                </w:tcPr>
                <w:p w14:paraId="12AA96F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符合</w:t>
                  </w:r>
                </w:p>
              </w:tc>
            </w:tr>
            <w:tr w14:paraId="79D5A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19" w:type="pct"/>
                  <w:vMerge w:val="continue"/>
                  <w:tcBorders>
                    <w:tl2br w:val="nil"/>
                    <w:tr2bl w:val="nil"/>
                  </w:tcBorders>
                  <w:noWrap w:val="0"/>
                  <w:vAlign w:val="center"/>
                </w:tcPr>
                <w:p w14:paraId="7C7C9C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p>
              </w:tc>
              <w:tc>
                <w:tcPr>
                  <w:tcW w:w="320" w:type="pct"/>
                  <w:tcBorders>
                    <w:tl2br w:val="nil"/>
                    <w:tr2bl w:val="nil"/>
                  </w:tcBorders>
                  <w:noWrap w:val="0"/>
                  <w:vAlign w:val="center"/>
                </w:tcPr>
                <w:p w14:paraId="61B351D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污染物排放管控</w:t>
                  </w:r>
                </w:p>
              </w:tc>
              <w:tc>
                <w:tcPr>
                  <w:tcW w:w="2978" w:type="pct"/>
                  <w:tcBorders>
                    <w:tl2br w:val="nil"/>
                    <w:tr2bl w:val="nil"/>
                  </w:tcBorders>
                  <w:noWrap w:val="0"/>
                  <w:vAlign w:val="center"/>
                </w:tcPr>
                <w:p w14:paraId="26A390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深入实施重点污染物总量控制。“十四五”期间重点污染物排放总量在现有基础上持续减少。优化总量分配和调控机制，重点污染物排放总量指标优先向重点建设项目、重点工业园区、战略性产业集群倾斜。新建“两高”项目应配套区域主要污染物削减方案，采取有效的主要污染物区域削减措施，腾出足够的环境容量。新建项目原则上实施氮氧化物（NOx）和挥发性有机物（VOCs）等量替代，推动钢铁行业执行大气污染物超低排放标准。新建、改建、扩建造纸、焦化、有色金属、印染、农副食品加工、原料药制造、制革、农药、电镀等行业建设项目实行主要水体污染物排放等量替代。实施低挥发性有机物（VOCs）含量产品源头替代工程。全面加强无组织排放控制，深入实施精细化治理。推进溶剂使用及挥发性有机液体储运销环节的减排，全过程实施反应活性物质、有毒有害物质、恶臭物质的协同控制。对VOCs重点企业实施分级和清单化管控，将全面使用低VOCs含量原辅材料的企业纳入正面清单和政府绿色采购清单。</w:t>
                  </w:r>
                </w:p>
                <w:p w14:paraId="14825C2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北江流域实行重金属污染物排放总量控制。新建、改建、扩建的项目严格实行重金属等特征污染物排放减量替代。加强“三矿两厂”等日常监督，在重点防控区域内新建、改建、扩建增加重金属污染物排放总量的建设项目应通过实施区域削减，实现增产减污。凡口铅锌矿及其周边区域（仁化县董塘镇）、大宝山矿及其周边区域（曲江区沙溪镇、翁源县铁龙镇）严格执行部分重金属水污染物特别排放限值的相关规定。</w:t>
                  </w:r>
                </w:p>
                <w:p w14:paraId="5F716E9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饮用水水源保护区全面加强水源涵养，强化源头控制，禁止新建排污口，严格防范水源污染风险，切实保障饮用水安全，一级保护区内禁止新建、改建、扩建与供水设施和保护水源无关的建设项目：二级保护区内禁止新建、改建、扩建排放污染物的建设项目。饮用水水源准保护区内禁止新建、扩建对水体污染严重的建设项目。</w:t>
                  </w:r>
                </w:p>
                <w:p w14:paraId="46749E9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完善污水处理厂配套管网建设，切实提高运行负荷。强化城中村、老旧城区和城乡结合部污水截流、收集。现有合流制排水系统应加快实施雨污分流改造，加快镇级生活污水处理设施及配套管网建设，因地制宜建设农村生活污水处理设施。加强农业面源污染治理，实施种植业“肥药双控”；严格禁养区管理，加强养殖污染防治，加强畜禽养殖废弃物资源化利用。</w:t>
                  </w:r>
                </w:p>
              </w:tc>
              <w:tc>
                <w:tcPr>
                  <w:tcW w:w="999" w:type="pct"/>
                  <w:tcBorders>
                    <w:tl2br w:val="nil"/>
                    <w:tr2bl w:val="nil"/>
                  </w:tcBorders>
                  <w:noWrap w:val="0"/>
                  <w:vAlign w:val="center"/>
                </w:tcPr>
                <w:p w14:paraId="1678F2E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本项目为金属表面处理及热处理加工行业，不属于造纸、焦化、有色金属、印染、农副食品加工、原料药制造、制革、农药、电镀等行业，不属于“两高”项目。氮氧化物</w:t>
                  </w:r>
                  <w:r>
                    <w:rPr>
                      <w:rFonts w:hint="eastAsia"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VOCs实行总量控制。项目所在地不涉及饮用水水源保护区，生产废水经自建污水处理站处理后排入园区污水处理厂</w:t>
                  </w:r>
                  <w:r>
                    <w:rPr>
                      <w:rFonts w:hint="eastAsia"/>
                      <w:color w:val="000000" w:themeColor="text1"/>
                      <w:sz w:val="21"/>
                      <w:szCs w:val="21"/>
                      <w:highlight w:val="none"/>
                      <w:lang w:val="en-US" w:eastAsia="zh-CN"/>
                      <w14:textFill>
                        <w14:solidFill>
                          <w14:schemeClr w14:val="tx1"/>
                        </w14:solidFill>
                      </w14:textFill>
                    </w:rPr>
                    <w:t>深度处理</w:t>
                  </w:r>
                  <w:r>
                    <w:rPr>
                      <w:rFonts w:hint="default" w:ascii="Times New Roman" w:hAnsi="Times New Roman" w:cs="Times New Roman"/>
                      <w:color w:val="000000" w:themeColor="text1"/>
                      <w:sz w:val="21"/>
                      <w:szCs w:val="21"/>
                      <w:highlight w:val="none"/>
                      <w14:textFill>
                        <w14:solidFill>
                          <w14:schemeClr w14:val="tx1"/>
                        </w14:solidFill>
                      </w14:textFill>
                    </w:rPr>
                    <w:t>；生活污水经三级化粪池</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+隔油隔渣池</w:t>
                  </w:r>
                  <w:r>
                    <w:rPr>
                      <w:rFonts w:hint="default" w:ascii="Times New Roman" w:hAnsi="Times New Roman" w:cs="Times New Roman"/>
                      <w:color w:val="000000" w:themeColor="text1"/>
                      <w:sz w:val="21"/>
                      <w:szCs w:val="21"/>
                      <w:highlight w:val="none"/>
                      <w14:textFill>
                        <w14:solidFill>
                          <w14:schemeClr w14:val="tx1"/>
                        </w14:solidFill>
                      </w14:textFill>
                    </w:rPr>
                    <w:t>处理后排入园区污水处理厂</w:t>
                  </w: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污水处理厂废水</w:t>
                  </w:r>
                  <w:r>
                    <w:rPr>
                      <w:rFonts w:hint="eastAsia"/>
                      <w:color w:val="000000" w:themeColor="text1"/>
                      <w:sz w:val="21"/>
                      <w:szCs w:val="21"/>
                      <w:highlight w:val="none"/>
                      <w:lang w:val="en-US" w:eastAsia="zh-CN"/>
                      <w14:textFill>
                        <w14:solidFill>
                          <w14:schemeClr w14:val="tx1"/>
                        </w14:solidFill>
                      </w14:textFill>
                    </w:rPr>
                    <w:t>处理</w:t>
                  </w:r>
                  <w:r>
                    <w:rPr>
                      <w:rFonts w:hint="eastAsia"/>
                      <w:color w:val="000000" w:themeColor="text1"/>
                      <w:sz w:val="21"/>
                      <w:szCs w:val="21"/>
                      <w:highlight w:val="none"/>
                      <w14:textFill>
                        <w14:solidFill>
                          <w14:schemeClr w14:val="tx1"/>
                        </w14:solidFill>
                      </w14:textFill>
                    </w:rPr>
                    <w:t>达标后通过出水管道输送</w:t>
                  </w:r>
                  <w:r>
                    <w:rPr>
                      <w:rFonts w:hint="eastAsia"/>
                      <w:color w:val="000000" w:themeColor="text1"/>
                      <w:sz w:val="21"/>
                      <w:szCs w:val="21"/>
                      <w:highlight w:val="none"/>
                      <w:lang w:val="en-US" w:eastAsia="zh-CN"/>
                      <w14:textFill>
                        <w14:solidFill>
                          <w14:schemeClr w14:val="tx1"/>
                        </w14:solidFill>
                      </w14:textFill>
                    </w:rPr>
                    <w:t>尾水</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经</w:t>
                  </w:r>
                  <w:r>
                    <w:rPr>
                      <w:rFonts w:hint="eastAsia"/>
                      <w:color w:val="000000" w:themeColor="text1"/>
                      <w:sz w:val="21"/>
                      <w:szCs w:val="21"/>
                      <w:highlight w:val="none"/>
                      <w14:textFill>
                        <w14:solidFill>
                          <w14:schemeClr w14:val="tx1"/>
                        </w14:solidFill>
                      </w14:textFill>
                    </w:rPr>
                    <w:t>废水排放口</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WS-LC005001</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排放至</w:t>
                  </w:r>
                  <w:r>
                    <w:rPr>
                      <w:rFonts w:hint="eastAsia"/>
                      <w:color w:val="000000" w:themeColor="text1"/>
                      <w:sz w:val="21"/>
                      <w:szCs w:val="21"/>
                      <w:highlight w:val="none"/>
                      <w14:textFill>
                        <w14:solidFill>
                          <w14:schemeClr w14:val="tx1"/>
                        </w14:solidFill>
                      </w14:textFill>
                    </w:rPr>
                    <w:t>榴村霜降坑河</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最终</w:t>
                  </w:r>
                  <w:r>
                    <w:rPr>
                      <w:rFonts w:hint="eastAsia"/>
                      <w:color w:val="000000" w:themeColor="text1"/>
                      <w:sz w:val="21"/>
                      <w:szCs w:val="21"/>
                      <w:highlight w:val="none"/>
                      <w14:textFill>
                        <w14:solidFill>
                          <w14:schemeClr w14:val="tx1"/>
                        </w14:solidFill>
                      </w14:textFill>
                    </w:rPr>
                    <w:t>流入武江</w:t>
                  </w:r>
                  <w:r>
                    <w:rPr>
                      <w:rFonts w:hint="eastAsia"/>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园区污水处理厂执行《城镇污水处理厂污染物排放标准》</w:t>
                  </w:r>
                  <w:r>
                    <w:rPr>
                      <w:rFonts w:hint="eastAsia"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GB18918-2002</w:t>
                  </w:r>
                  <w:r>
                    <w:rPr>
                      <w:rFonts w:hint="eastAsia"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中一级B标准和广东省《水污染物排放限值</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（DB44/26-2001）中的第二时段一级排放标准中严者。</w:t>
                  </w:r>
                </w:p>
              </w:tc>
              <w:tc>
                <w:tcPr>
                  <w:tcW w:w="382" w:type="pct"/>
                  <w:tcBorders>
                    <w:tl2br w:val="nil"/>
                    <w:tr2bl w:val="nil"/>
                  </w:tcBorders>
                  <w:noWrap w:val="0"/>
                  <w:vAlign w:val="center"/>
                </w:tcPr>
                <w:p w14:paraId="767952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符合</w:t>
                  </w:r>
                </w:p>
              </w:tc>
            </w:tr>
            <w:tr w14:paraId="08755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19" w:type="pct"/>
                  <w:vMerge w:val="continue"/>
                  <w:tcBorders>
                    <w:tl2br w:val="nil"/>
                    <w:tr2bl w:val="nil"/>
                  </w:tcBorders>
                  <w:noWrap w:val="0"/>
                  <w:vAlign w:val="center"/>
                </w:tcPr>
                <w:p w14:paraId="569C32F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320" w:type="pct"/>
                  <w:tcBorders>
                    <w:tl2br w:val="nil"/>
                    <w:tr2bl w:val="nil"/>
                  </w:tcBorders>
                  <w:noWrap w:val="0"/>
                  <w:vAlign w:val="center"/>
                </w:tcPr>
                <w:p w14:paraId="7BBDD93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环境风险管控</w:t>
                  </w:r>
                </w:p>
              </w:tc>
              <w:tc>
                <w:tcPr>
                  <w:tcW w:w="2978" w:type="pct"/>
                  <w:tcBorders>
                    <w:tl2br w:val="nil"/>
                    <w:tr2bl w:val="nil"/>
                  </w:tcBorders>
                  <w:noWrap w:val="0"/>
                  <w:vAlign w:val="center"/>
                </w:tcPr>
                <w:p w14:paraId="2E94962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加强北江、东江干流沿岸以及饮用水水源地环境风险防控。严格控制沿岸石油加工、化学原料和化学制品制造、有色金属冶炼、纺织印染等项目环境风险。强化地表水、地下水和土壤污染风险协同防控，建立完善突发环境事件应急管理体系，全面排查“千吨万人”饮用水水源地周边环境问题并及时开展专项整治，保障饮用水水源地安全。重点加强环境风险分级分类管控，建立全市环境风险源在线监控预警系统，强化化工企业、涉重金属行业、工业园区和尾矿库等重点环境风险源的环境风险防控。构建企业、园区和区域三级环境风险防控联动体系，增强园区风险防控能力。园区管理机构应定期开展环境风险评估，编制完善综合环境应急预案并备案，整合应急资源，储备环境应急物资及装备，定期组织开展应急演练，全面提升园区突发环境事件应急处理能力。持续推进土壤环境风险管控工作。实行农用地分类分级安全利用，有效提升农用地土地资源开发利用率，依法划定特定农作物禁止种植区域，严格按照耕地土壤环境质量类别划分成果对耕地实施安全利用，防范农产品重金属含量超标风险。加强建设用地准入管理，规范受污染建设用地地块再开发。加强尾矿库的环境风险排查与防范。加强金属矿采选、金属冶炼企业的重金属污染风险防控。强化选矿废水治理设施的升级改造，选矿废水原则上回用不外排。全力避免因各类安全事故（事件）引发的次生环境风险事故（事件）。</w:t>
                  </w:r>
                </w:p>
              </w:tc>
              <w:tc>
                <w:tcPr>
                  <w:tcW w:w="999" w:type="pct"/>
                  <w:tcBorders>
                    <w:tl2br w:val="nil"/>
                    <w:tr2bl w:val="nil"/>
                  </w:tcBorders>
                  <w:noWrap w:val="0"/>
                  <w:vAlign w:val="center"/>
                </w:tcPr>
                <w:p w14:paraId="06509B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不涉及石油加工、化学原料和化学制品制造、有色金属冶炼、纺织印染行业，不涉及饮用水水源地，本项目制定有效的事故风险防范和应急措施，为防范污染事故发生，并避免发生事故对周围环境造成污染，确保环境安全。项目符合环境风险防控要求。</w:t>
                  </w:r>
                </w:p>
              </w:tc>
              <w:tc>
                <w:tcPr>
                  <w:tcW w:w="382" w:type="pct"/>
                  <w:tcBorders>
                    <w:tl2br w:val="nil"/>
                    <w:tr2bl w:val="nil"/>
                  </w:tcBorders>
                  <w:noWrap w:val="0"/>
                  <w:vAlign w:val="center"/>
                </w:tcPr>
                <w:p w14:paraId="739830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符合</w:t>
                  </w:r>
                </w:p>
              </w:tc>
            </w:tr>
          </w:tbl>
          <w:p w14:paraId="269E8D61">
            <w:pPr>
              <w:keepNext w:val="0"/>
              <w:keepLines w:val="0"/>
              <w:pageBreakBefore w:val="0"/>
              <w:widowControl w:val="0"/>
              <w:kinsoku/>
              <w:wordWrap/>
              <w:overflowPunct/>
              <w:topLinePunct w:val="0"/>
              <w:autoSpaceDE/>
              <w:autoSpaceDN/>
              <w:bidi w:val="0"/>
              <w:adjustRightInd/>
              <w:snapToGrid/>
              <w:spacing w:line="100" w:lineRule="exact"/>
              <w:jc w:val="center"/>
              <w:textAlignment w:val="auto"/>
              <w:rPr>
                <w:rFonts w:hint="eastAsia"/>
                <w:color w:val="000000" w:themeColor="text1"/>
                <w:highlight w:val="none"/>
                <w14:textFill>
                  <w14:solidFill>
                    <w14:schemeClr w14:val="tx1"/>
                  </w14:solidFill>
                </w14:textFill>
              </w:rPr>
            </w:pPr>
          </w:p>
          <w:p w14:paraId="3079D600">
            <w:pPr>
              <w:spacing w:line="360" w:lineRule="auto"/>
              <w:ind w:firstLine="480" w:firstLineChars="200"/>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本项目位于韶关市乐昌市乐昌经济开发区管理委员会后座046号，根据广东省</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三线一单</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应用平台的查询结果，涉及5个单元，根据单元准入要求分析，总计发现需关注的准入要求16条，其他准入要求22条。其中：</w:t>
            </w:r>
          </w:p>
          <w:p w14:paraId="45D5B892">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（1）本项目</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陆域环境管控单元为</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ZH44028120003乐昌经济开发区重点管控单元</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见附图</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14-1</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w:t>
            </w:r>
          </w:p>
          <w:p w14:paraId="35AFE4C9">
            <w:pPr>
              <w:spacing w:line="360" w:lineRule="auto"/>
              <w:ind w:firstLine="480" w:firstLineChars="200"/>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）本项目</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生态空间分区为YS4402813110001乐昌市生态空间一般管控区，</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见附图</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14-2。</w:t>
            </w:r>
          </w:p>
          <w:p w14:paraId="302E22D0">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）本项目</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水环境管控分区为YS4402813210013廊田水韶关市长来-廊田-五山镇控制单元，</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见附图</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14-3</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w:t>
            </w:r>
          </w:p>
          <w:p w14:paraId="75268DCC">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）本项目</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大气环境管控分区为YS4402812310002大气环境高排放重点管控区，</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见附图</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14-4</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w:t>
            </w:r>
          </w:p>
          <w:p w14:paraId="3A8D73ED">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5</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）本项目</w:t>
            </w:r>
            <w:r>
              <w:rPr>
                <w:rFonts w:hint="eastAsia" w:cs="Times New Roman"/>
                <w:b w:val="0"/>
                <w:bCs w:val="0"/>
                <w:color w:val="000000" w:themeColor="text1"/>
                <w:kern w:val="0"/>
                <w:sz w:val="24"/>
                <w:highlight w:val="none"/>
                <w:lang w:val="en-US" w:eastAsia="zh-CN"/>
                <w14:textFill>
                  <w14:solidFill>
                    <w14:schemeClr w14:val="tx1"/>
                  </w14:solidFill>
                </w14:textFill>
              </w:rPr>
              <w:t>所在区域</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为YS4402812540001乐昌市高污染燃料禁燃区，</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见附图</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14-5</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w:t>
            </w:r>
          </w:p>
          <w:p w14:paraId="653B1AEA">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其具体管控要求相符性分析详见下表。</w:t>
            </w:r>
          </w:p>
          <w:p w14:paraId="14550C00">
            <w:pPr>
              <w:pStyle w:val="155"/>
              <w:keepNext w:val="0"/>
              <w:keepLines w:val="0"/>
              <w:suppressLineNumbers w:val="0"/>
              <w:bidi w:val="0"/>
              <w:spacing w:before="0" w:beforeAutospacing="0" w:after="0" w:afterAutospacing="0" w:line="240" w:lineRule="auto"/>
              <w:ind w:left="0" w:leftChars="0" w:right="0" w:firstLine="0" w:firstLineChars="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与</w:t>
            </w:r>
            <w:r>
              <w:rPr>
                <w:rFonts w:hint="eastAsia"/>
                <w:b/>
                <w:bCs/>
                <w:color w:val="000000" w:themeColor="text1"/>
                <w:sz w:val="21"/>
                <w:szCs w:val="21"/>
                <w:highlight w:val="none"/>
                <w14:textFill>
                  <w14:solidFill>
                    <w14:schemeClr w14:val="tx1"/>
                  </w14:solidFill>
                </w14:textFill>
              </w:rPr>
              <w:t>生态环境准入清单</w:t>
            </w:r>
            <w:r>
              <w:rPr>
                <w:rFonts w:hint="eastAsia"/>
                <w:color w:val="000000" w:themeColor="text1"/>
                <w:sz w:val="21"/>
                <w:szCs w:val="21"/>
                <w:highlight w:val="none"/>
                <w:lang w:val="en-US" w:eastAsia="zh-CN"/>
                <w14:textFill>
                  <w14:solidFill>
                    <w14:schemeClr w14:val="tx1"/>
                  </w14:solidFill>
                </w14:textFill>
              </w:rPr>
              <w:t>相符性分析</w:t>
            </w:r>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708"/>
              <w:gridCol w:w="554"/>
              <w:gridCol w:w="2605"/>
              <w:gridCol w:w="1519"/>
              <w:gridCol w:w="91"/>
              <w:gridCol w:w="24"/>
              <w:gridCol w:w="20"/>
              <w:gridCol w:w="482"/>
            </w:tblGrid>
            <w:tr w14:paraId="3551A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000" w:type="pct"/>
                  <w:gridSpan w:val="9"/>
                  <w:tcBorders>
                    <w:tl2br w:val="nil"/>
                    <w:tr2bl w:val="nil"/>
                  </w:tcBorders>
                  <w:noWrap w:val="0"/>
                  <w:vAlign w:val="center"/>
                </w:tcPr>
                <w:p w14:paraId="60E8D2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与</w:t>
                  </w:r>
                  <w:r>
                    <w:rPr>
                      <w:rFonts w:hint="default" w:ascii="Times New Roman" w:hAnsi="Times New Roman" w:cs="Times New Roman"/>
                      <w:b/>
                      <w:bCs/>
                      <w:color w:val="000000" w:themeColor="text1"/>
                      <w:kern w:val="0"/>
                      <w:sz w:val="21"/>
                      <w:szCs w:val="21"/>
                      <w:highlight w:val="none"/>
                      <w:lang w:val="en-US" w:eastAsia="zh-CN"/>
                      <w14:textFill>
                        <w14:solidFill>
                          <w14:schemeClr w14:val="tx1"/>
                        </w14:solidFill>
                      </w14:textFill>
                    </w:rPr>
                    <w:t>乐昌经济开发区重点管控单元（ZH44028120003）要求相符性分析</w:t>
                  </w:r>
                </w:p>
              </w:tc>
            </w:tr>
            <w:tr w14:paraId="1FFF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87" w:type="pct"/>
                  <w:vMerge w:val="restart"/>
                  <w:tcBorders>
                    <w:tl2br w:val="nil"/>
                    <w:tr2bl w:val="nil"/>
                  </w:tcBorders>
                  <w:noWrap w:val="0"/>
                  <w:vAlign w:val="center"/>
                </w:tcPr>
                <w:p w14:paraId="400A0F2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生态环境准入清单</w:t>
                  </w:r>
                </w:p>
              </w:tc>
              <w:tc>
                <w:tcPr>
                  <w:tcW w:w="306" w:type="pct"/>
                  <w:tcBorders>
                    <w:tl2br w:val="nil"/>
                    <w:tr2bl w:val="nil"/>
                  </w:tcBorders>
                  <w:noWrap w:val="0"/>
                  <w:vAlign w:val="center"/>
                </w:tcPr>
                <w:p w14:paraId="075BF19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区域布局管控</w:t>
                  </w:r>
                </w:p>
              </w:tc>
              <w:tc>
                <w:tcPr>
                  <w:tcW w:w="2714" w:type="pct"/>
                  <w:gridSpan w:val="2"/>
                  <w:tcBorders>
                    <w:tl2br w:val="nil"/>
                    <w:tr2bl w:val="nil"/>
                  </w:tcBorders>
                  <w:noWrap w:val="0"/>
                  <w:vAlign w:val="center"/>
                </w:tcPr>
                <w:p w14:paraId="46D9B2A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1-1.【产业/鼓励引导类】重点发展现代轻工产业（消费电子等）、先进装备制造业等产业，优先引进无污染物或轻污染项目。</w:t>
                  </w:r>
                </w:p>
                <w:p w14:paraId="1379996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1-2.【产业/禁止类】园区禁止引入专业电镀、化学制浆、鞣革等水污染物排放量大或排放一类污染物、持久性有机污染物的项目。</w:t>
                  </w:r>
                </w:p>
                <w:p w14:paraId="3282AA6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1-3.【产业/限制类】严格限制不符合园区发展定位的项目入驻。</w:t>
                  </w:r>
                </w:p>
                <w:p w14:paraId="303A75D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1-4.【产业/综合类】居民区、学校等环境敏感点邻近地块优先布局废气排放量小、工业噪声影响小的产业。</w:t>
                  </w:r>
                </w:p>
              </w:tc>
              <w:tc>
                <w:tcPr>
                  <w:tcW w:w="1317" w:type="pct"/>
                  <w:gridSpan w:val="3"/>
                  <w:tcBorders>
                    <w:tl2br w:val="nil"/>
                    <w:tr2bl w:val="nil"/>
                  </w:tcBorders>
                  <w:noWrap w:val="0"/>
                  <w:vAlign w:val="center"/>
                </w:tcPr>
                <w:p w14:paraId="18102FC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本项目为金属表面处理及热处理加工行业，不属于专业电镀、化学制浆、鞣革等水污染物排放量大或排放一类污染物、持久性有机污染物的项目；项目符合园区发展定位；</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本项目废气排放量较小，涉及环境敏感点为居民区，符合布局要求</w:t>
                  </w:r>
                  <w:r>
                    <w:rPr>
                      <w:rFonts w:hint="default" w:ascii="Times New Roman" w:hAnsi="Times New Roman" w:cs="Times New Roman"/>
                      <w:color w:val="000000" w:themeColor="text1"/>
                      <w:sz w:val="21"/>
                      <w:szCs w:val="21"/>
                      <w:highlight w:val="none"/>
                      <w14:textFill>
                        <w14:solidFill>
                          <w14:schemeClr w14:val="tx1"/>
                        </w14:solidFill>
                      </w14:textFill>
                    </w:rPr>
                    <w:t>。</w:t>
                  </w:r>
                </w:p>
              </w:tc>
              <w:tc>
                <w:tcPr>
                  <w:tcW w:w="374" w:type="pct"/>
                  <w:gridSpan w:val="2"/>
                  <w:tcBorders>
                    <w:tl2br w:val="nil"/>
                    <w:tr2bl w:val="nil"/>
                  </w:tcBorders>
                  <w:noWrap w:val="0"/>
                  <w:vAlign w:val="center"/>
                </w:tcPr>
                <w:p w14:paraId="373289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76" w:rightChars="36"/>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符合</w:t>
                  </w:r>
                </w:p>
              </w:tc>
            </w:tr>
            <w:tr w14:paraId="00C76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87" w:type="pct"/>
                  <w:vMerge w:val="continue"/>
                  <w:tcBorders>
                    <w:tl2br w:val="nil"/>
                    <w:tr2bl w:val="nil"/>
                  </w:tcBorders>
                  <w:noWrap w:val="0"/>
                  <w:vAlign w:val="center"/>
                </w:tcPr>
                <w:p w14:paraId="7DF952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306" w:type="pct"/>
                  <w:tcBorders>
                    <w:tl2br w:val="nil"/>
                    <w:tr2bl w:val="nil"/>
                  </w:tcBorders>
                  <w:noWrap w:val="0"/>
                  <w:vAlign w:val="center"/>
                </w:tcPr>
                <w:p w14:paraId="794F00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能源资源利用</w:t>
                  </w:r>
                </w:p>
              </w:tc>
              <w:tc>
                <w:tcPr>
                  <w:tcW w:w="2714" w:type="pct"/>
                  <w:gridSpan w:val="2"/>
                  <w:tcBorders>
                    <w:tl2br w:val="nil"/>
                    <w:tr2bl w:val="nil"/>
                  </w:tcBorders>
                  <w:noWrap w:val="0"/>
                  <w:vAlign w:val="center"/>
                </w:tcPr>
                <w:p w14:paraId="4EC6C6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2-1.【能源/鼓励引导类】园区内能源结构应以电能、燃气等清洁能源为主。</w:t>
                  </w:r>
                </w:p>
                <w:p w14:paraId="2D95B62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2-2.【水资源/综合类】提高园区水资源利用效率，加快中水回用系统建设。</w:t>
                  </w:r>
                </w:p>
                <w:p w14:paraId="41F37F0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2-3.【其他/综合类】有行业清洁生产标准的新引进项目清洁生产水平须达到本行业国内先进水平。</w:t>
                  </w:r>
                </w:p>
              </w:tc>
              <w:tc>
                <w:tcPr>
                  <w:tcW w:w="1317" w:type="pct"/>
                  <w:gridSpan w:val="3"/>
                  <w:tcBorders>
                    <w:tl2br w:val="nil"/>
                    <w:tr2bl w:val="nil"/>
                  </w:tcBorders>
                  <w:noWrap w:val="0"/>
                  <w:vAlign w:val="center"/>
                </w:tcPr>
                <w:p w14:paraId="589FA2A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项目主要以电能、天然气作为生产能源，属于清洁能源；项目生产废水经自建污水处理站处理后排入园区污水处理厂。</w:t>
                  </w:r>
                </w:p>
              </w:tc>
              <w:tc>
                <w:tcPr>
                  <w:tcW w:w="374" w:type="pct"/>
                  <w:gridSpan w:val="2"/>
                  <w:tcBorders>
                    <w:tl2br w:val="nil"/>
                    <w:tr2bl w:val="nil"/>
                  </w:tcBorders>
                  <w:noWrap w:val="0"/>
                  <w:vAlign w:val="center"/>
                </w:tcPr>
                <w:p w14:paraId="6143D6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符合</w:t>
                  </w:r>
                </w:p>
              </w:tc>
            </w:tr>
            <w:tr w14:paraId="116F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87" w:type="pct"/>
                  <w:vMerge w:val="continue"/>
                  <w:tcBorders>
                    <w:tl2br w:val="nil"/>
                    <w:tr2bl w:val="nil"/>
                  </w:tcBorders>
                  <w:noWrap w:val="0"/>
                  <w:vAlign w:val="center"/>
                </w:tcPr>
                <w:p w14:paraId="6AC29E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306" w:type="pct"/>
                  <w:tcBorders>
                    <w:tl2br w:val="nil"/>
                    <w:tr2bl w:val="nil"/>
                  </w:tcBorders>
                  <w:noWrap w:val="0"/>
                  <w:vAlign w:val="center"/>
                </w:tcPr>
                <w:p w14:paraId="2A069CF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污染物排放管控</w:t>
                  </w:r>
                </w:p>
              </w:tc>
              <w:tc>
                <w:tcPr>
                  <w:tcW w:w="2714" w:type="pct"/>
                  <w:gridSpan w:val="2"/>
                  <w:tcBorders>
                    <w:tl2br w:val="nil"/>
                    <w:tr2bl w:val="nil"/>
                  </w:tcBorders>
                  <w:noWrap w:val="0"/>
                  <w:vAlign w:val="center"/>
                </w:tcPr>
                <w:p w14:paraId="0566001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3-1.【水、大气/限制类】园区各项污染物排放总量不得突破园区规划环评核定的污染物排放总量管控要求。</w:t>
                  </w:r>
                </w:p>
                <w:p w14:paraId="20E7E3F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-2.【水/限制类】实行重点重金属污染物（铅、砷、汞、镉、铬）等量替代。严格控制涉重金属及有毒有害污染物排放的项目建设，新建、改建、扩建涉重金属重点行业的项目应明确重金属污染物总量来源。3-3.【大气/限制类】新建项目原则上实施氮氧化物、挥发性有机物排放量等量替代。</w:t>
                  </w:r>
                </w:p>
                <w:p w14:paraId="7BAF4A0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3-4.【其它/鼓励引导类】支持危险废物专业收集转运和利用处置单位建设区域性收集网点和贮存设施。</w:t>
                  </w:r>
                </w:p>
              </w:tc>
              <w:tc>
                <w:tcPr>
                  <w:tcW w:w="1317" w:type="pct"/>
                  <w:gridSpan w:val="3"/>
                  <w:tcBorders>
                    <w:tl2br w:val="nil"/>
                    <w:tr2bl w:val="nil"/>
                  </w:tcBorders>
                  <w:noWrap w:val="0"/>
                  <w:vAlign w:val="center"/>
                </w:tcPr>
                <w:p w14:paraId="6DF3ECF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本项目实施后园区的总量指标依然没有超规划环评的总量指标</w:t>
                  </w:r>
                  <w:r>
                    <w:rPr>
                      <w:rFonts w:hint="default" w:ascii="Times New Roman" w:hAnsi="Times New Roman" w:cs="Times New Roman"/>
                      <w:color w:val="000000" w:themeColor="text1"/>
                      <w:sz w:val="21"/>
                      <w:szCs w:val="21"/>
                      <w:highlight w:val="none"/>
                      <w14:textFill>
                        <w14:solidFill>
                          <w14:schemeClr w14:val="tx1"/>
                        </w14:solidFill>
                      </w14:textFill>
                    </w:rPr>
                    <w:t>，需向韶关市生态环境局乐昌分局申请分配实行等量代替，</w:t>
                  </w:r>
                  <w:r>
                    <w:rPr>
                      <w:rFonts w:hint="eastAsia" w:cs="Times New Roman"/>
                      <w:color w:val="000000" w:themeColor="text1"/>
                      <w:sz w:val="21"/>
                      <w:szCs w:val="21"/>
                      <w:highlight w:val="none"/>
                      <w:lang w:val="en-US" w:eastAsia="zh-CN"/>
                      <w14:textFill>
                        <w14:solidFill>
                          <w14:schemeClr w14:val="tx1"/>
                        </w14:solidFill>
                      </w14:textFill>
                    </w:rPr>
                    <w:t>申请总量为VOCs1.022t/a、氮氧化物0.341t/a（详见附件9）。</w:t>
                  </w:r>
                  <w:r>
                    <w:rPr>
                      <w:rFonts w:hint="default" w:ascii="Times New Roman" w:hAnsi="Times New Roman" w:cs="Times New Roman"/>
                      <w:color w:val="000000" w:themeColor="text1"/>
                      <w:sz w:val="21"/>
                      <w:szCs w:val="21"/>
                      <w:highlight w:val="none"/>
                      <w14:textFill>
                        <w14:solidFill>
                          <w14:schemeClr w14:val="tx1"/>
                        </w14:solidFill>
                      </w14:textFill>
                    </w:rPr>
                    <w:t>项目不涉及重金属污染物，危险废物贮存在厂区</w:t>
                  </w:r>
                  <w:r>
                    <w:rPr>
                      <w:rFonts w:hint="eastAsia" w:cs="Times New Roman"/>
                      <w:color w:val="000000" w:themeColor="text1"/>
                      <w:sz w:val="21"/>
                      <w:szCs w:val="21"/>
                      <w:highlight w:val="none"/>
                      <w:lang w:eastAsia="zh-CN"/>
                      <w14:textFill>
                        <w14:solidFill>
                          <w14:schemeClr w14:val="tx1"/>
                        </w14:solidFill>
                      </w14:textFill>
                    </w:rPr>
                    <w:t>危险废物贮存间</w:t>
                  </w:r>
                  <w:r>
                    <w:rPr>
                      <w:rFonts w:hint="default" w:ascii="Times New Roman" w:hAnsi="Times New Roman" w:cs="Times New Roman"/>
                      <w:color w:val="000000" w:themeColor="text1"/>
                      <w:sz w:val="21"/>
                      <w:szCs w:val="21"/>
                      <w:highlight w:val="none"/>
                      <w14:textFill>
                        <w14:solidFill>
                          <w14:schemeClr w14:val="tx1"/>
                        </w14:solidFill>
                      </w14:textFill>
                    </w:rPr>
                    <w:t>，统一收集后交有资质的单位处理。</w:t>
                  </w:r>
                </w:p>
              </w:tc>
              <w:tc>
                <w:tcPr>
                  <w:tcW w:w="374" w:type="pct"/>
                  <w:gridSpan w:val="2"/>
                  <w:tcBorders>
                    <w:tl2br w:val="nil"/>
                    <w:tr2bl w:val="nil"/>
                  </w:tcBorders>
                  <w:noWrap w:val="0"/>
                  <w:vAlign w:val="center"/>
                </w:tcPr>
                <w:p w14:paraId="0D0D6CD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符合</w:t>
                  </w:r>
                </w:p>
              </w:tc>
            </w:tr>
            <w:tr w14:paraId="47865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87" w:type="pct"/>
                  <w:vMerge w:val="continue"/>
                  <w:tcBorders>
                    <w:tl2br w:val="nil"/>
                    <w:tr2bl w:val="nil"/>
                  </w:tcBorders>
                  <w:noWrap w:val="0"/>
                  <w:vAlign w:val="center"/>
                </w:tcPr>
                <w:p w14:paraId="0F8D0C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76" w:rightChars="36"/>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306" w:type="pct"/>
                  <w:tcBorders>
                    <w:tl2br w:val="nil"/>
                    <w:tr2bl w:val="nil"/>
                  </w:tcBorders>
                  <w:noWrap w:val="0"/>
                  <w:vAlign w:val="center"/>
                </w:tcPr>
                <w:p w14:paraId="4F391CA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76" w:rightChars="36"/>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环境风险防控</w:t>
                  </w:r>
                </w:p>
              </w:tc>
              <w:tc>
                <w:tcPr>
                  <w:tcW w:w="2714" w:type="pct"/>
                  <w:gridSpan w:val="2"/>
                  <w:tcBorders>
                    <w:tl2br w:val="nil"/>
                    <w:tr2bl w:val="nil"/>
                  </w:tcBorders>
                  <w:noWrap w:val="0"/>
                  <w:vAlign w:val="center"/>
                </w:tcPr>
                <w:p w14:paraId="55A4FC8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-1.【风险/综合类】园区内生产、使用、储存危险化学品的项目应设置足够容积的事故应急池，园区应制定环境风险事故防范和应急预案，建立健全企业、园区和市政三级事故应急体系，落实有效的事故风险防范和应急措施，有效防范污染事故发生，并避免发生事故对周围环境造成污染，确保环境安全。园区污</w:t>
                  </w:r>
                  <w:r>
                    <w:rPr>
                      <w:rFonts w:hint="default" w:ascii="Times New Roman" w:hAnsi="Times New Roman" w:cs="Times New Roman"/>
                      <w:color w:val="000000" w:themeColor="text1"/>
                      <w:sz w:val="21"/>
                      <w:szCs w:val="21"/>
                      <w:highlight w:val="none"/>
                      <w:lang w:eastAsia="zh-CN"/>
                      <w14:textFill>
                        <w14:solidFill>
                          <w14:schemeClr w14:val="tx1"/>
                        </w14:solidFill>
                      </w14:textFill>
                    </w:rPr>
                    <w:t>水</w:t>
                  </w:r>
                  <w:r>
                    <w:rPr>
                      <w:rFonts w:hint="default" w:ascii="Times New Roman" w:hAnsi="Times New Roman" w:cs="Times New Roman"/>
                      <w:color w:val="000000" w:themeColor="text1"/>
                      <w:sz w:val="21"/>
                      <w:szCs w:val="21"/>
                      <w:highlight w:val="none"/>
                      <w14:textFill>
                        <w14:solidFill>
                          <w14:schemeClr w14:val="tx1"/>
                        </w14:solidFill>
                      </w14:textFill>
                    </w:rPr>
                    <w:t>处理厂设置足够容积的事故应急池，纳污水体设置水质监控断面，发现问题，及时采取限制废水排放等措施。</w:t>
                  </w:r>
                </w:p>
              </w:tc>
              <w:tc>
                <w:tcPr>
                  <w:tcW w:w="1317" w:type="pct"/>
                  <w:gridSpan w:val="3"/>
                  <w:tcBorders>
                    <w:tl2br w:val="nil"/>
                    <w:tr2bl w:val="nil"/>
                  </w:tcBorders>
                  <w:noWrap w:val="0"/>
                  <w:vAlign w:val="center"/>
                </w:tcPr>
                <w:p w14:paraId="47C0A7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项目位于</w:t>
                  </w:r>
                  <w:r>
                    <w:rPr>
                      <w:rFonts w:hint="default" w:ascii="Times New Roman" w:hAnsi="Times New Roman" w:cs="Times New Roman"/>
                      <w:color w:val="000000" w:themeColor="text1"/>
                      <w:sz w:val="21"/>
                      <w:szCs w:val="21"/>
                      <w:highlight w:val="none"/>
                      <w:lang w:eastAsia="zh-CN"/>
                      <w14:textFill>
                        <w14:solidFill>
                          <w14:schemeClr w14:val="tx1"/>
                        </w14:solidFill>
                      </w14:textFill>
                    </w:rPr>
                    <w:t>乐昌产业转移工业园</w:t>
                  </w:r>
                  <w:r>
                    <w:rPr>
                      <w:rFonts w:hint="default" w:ascii="Times New Roman" w:hAnsi="Times New Roman" w:cs="Times New Roman"/>
                      <w:color w:val="000000" w:themeColor="text1"/>
                      <w:sz w:val="21"/>
                      <w:szCs w:val="21"/>
                      <w:highlight w:val="none"/>
                      <w14:textFill>
                        <w14:solidFill>
                          <w14:schemeClr w14:val="tx1"/>
                        </w14:solidFill>
                      </w14:textFill>
                    </w:rPr>
                    <w:t>内，</w:t>
                  </w:r>
                  <w:r>
                    <w:rPr>
                      <w:rFonts w:hint="default" w:ascii="Times New Roman" w:hAnsi="Times New Roman" w:cs="Times New Roman"/>
                      <w:color w:val="000000" w:themeColor="text1"/>
                      <w:sz w:val="21"/>
                      <w:szCs w:val="21"/>
                      <w:highlight w:val="none"/>
                      <w:lang w:eastAsia="zh-CN"/>
                      <w14:textFill>
                        <w14:solidFill>
                          <w14:schemeClr w14:val="tx1"/>
                        </w14:solidFill>
                      </w14:textFill>
                    </w:rPr>
                    <w:t>乐昌产业转移工业园</w:t>
                  </w:r>
                  <w:r>
                    <w:rPr>
                      <w:rFonts w:hint="default" w:ascii="Times New Roman" w:hAnsi="Times New Roman" w:cs="Times New Roman"/>
                      <w:color w:val="000000" w:themeColor="text1"/>
                      <w:sz w:val="21"/>
                      <w:szCs w:val="21"/>
                      <w:highlight w:val="none"/>
                      <w14:textFill>
                        <w14:solidFill>
                          <w14:schemeClr w14:val="tx1"/>
                        </w14:solidFill>
                      </w14:textFill>
                    </w:rPr>
                    <w:t>已完善相关环保手续，并制定了事故风险防范和应急措施，能够满足项目环境风险防控的要求。</w:t>
                  </w:r>
                </w:p>
              </w:tc>
              <w:tc>
                <w:tcPr>
                  <w:tcW w:w="374" w:type="pct"/>
                  <w:gridSpan w:val="2"/>
                  <w:tcBorders>
                    <w:tl2br w:val="nil"/>
                    <w:tr2bl w:val="nil"/>
                  </w:tcBorders>
                  <w:noWrap w:val="0"/>
                  <w:vAlign w:val="center"/>
                </w:tcPr>
                <w:p w14:paraId="54B6BA0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符合</w:t>
                  </w:r>
                </w:p>
              </w:tc>
            </w:tr>
            <w:tr w14:paraId="03EA2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2" w:type="pct"/>
                  <w:gridSpan w:val="3"/>
                  <w:tcBorders>
                    <w:tl2br w:val="nil"/>
                    <w:tr2bl w:val="nil"/>
                  </w:tcBorders>
                  <w:noWrap w:val="0"/>
                  <w:vAlign w:val="center"/>
                </w:tcPr>
                <w:p w14:paraId="3D9BEEB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76" w:rightChars="36"/>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环境管控单元编码</w:t>
                  </w:r>
                </w:p>
              </w:tc>
              <w:tc>
                <w:tcPr>
                  <w:tcW w:w="2475" w:type="pct"/>
                  <w:tcBorders>
                    <w:tl2br w:val="nil"/>
                    <w:tr2bl w:val="nil"/>
                  </w:tcBorders>
                  <w:noWrap w:val="0"/>
                  <w:vAlign w:val="center"/>
                </w:tcPr>
                <w:p w14:paraId="6BFFF45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环境管控单元名称</w:t>
                  </w:r>
                </w:p>
              </w:tc>
              <w:tc>
                <w:tcPr>
                  <w:tcW w:w="1692" w:type="pct"/>
                  <w:gridSpan w:val="5"/>
                  <w:tcBorders>
                    <w:tl2br w:val="nil"/>
                    <w:tr2bl w:val="nil"/>
                  </w:tcBorders>
                  <w:noWrap w:val="0"/>
                  <w:vAlign w:val="center"/>
                </w:tcPr>
                <w:p w14:paraId="3EC5DB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管控单元分类</w:t>
                  </w:r>
                </w:p>
              </w:tc>
            </w:tr>
            <w:tr w14:paraId="316A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2" w:type="pct"/>
                  <w:gridSpan w:val="3"/>
                  <w:tcBorders>
                    <w:tl2br w:val="nil"/>
                    <w:tr2bl w:val="nil"/>
                  </w:tcBorders>
                  <w:noWrap w:val="0"/>
                  <w:vAlign w:val="center"/>
                </w:tcPr>
                <w:p w14:paraId="22EB03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76" w:rightChars="36"/>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YS4402813110001</w:t>
                  </w:r>
                </w:p>
              </w:tc>
              <w:tc>
                <w:tcPr>
                  <w:tcW w:w="2475" w:type="pct"/>
                  <w:tcBorders>
                    <w:tl2br w:val="nil"/>
                    <w:tr2bl w:val="nil"/>
                  </w:tcBorders>
                  <w:noWrap w:val="0"/>
                  <w:vAlign w:val="center"/>
                </w:tcPr>
                <w:p w14:paraId="30E8571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乐昌市生态空间一般管控区</w:t>
                  </w:r>
                </w:p>
              </w:tc>
              <w:tc>
                <w:tcPr>
                  <w:tcW w:w="1692" w:type="pct"/>
                  <w:gridSpan w:val="5"/>
                  <w:tcBorders>
                    <w:tl2br w:val="nil"/>
                    <w:tr2bl w:val="nil"/>
                  </w:tcBorders>
                  <w:noWrap w:val="0"/>
                  <w:vAlign w:val="center"/>
                </w:tcPr>
                <w:p w14:paraId="452760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生态空间一般管控区</w:t>
                  </w:r>
                </w:p>
              </w:tc>
            </w:tr>
            <w:tr w14:paraId="65E4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2" w:type="pct"/>
                  <w:gridSpan w:val="3"/>
                  <w:tcBorders>
                    <w:tl2br w:val="nil"/>
                    <w:tr2bl w:val="nil"/>
                  </w:tcBorders>
                  <w:noWrap w:val="0"/>
                  <w:vAlign w:val="center"/>
                </w:tcPr>
                <w:p w14:paraId="1F9216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76" w:rightChars="36"/>
                    <w:jc w:val="center"/>
                    <w:textAlignment w:val="auto"/>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管控维度</w:t>
                  </w:r>
                </w:p>
              </w:tc>
              <w:tc>
                <w:tcPr>
                  <w:tcW w:w="2475" w:type="pct"/>
                  <w:tcBorders>
                    <w:tl2br w:val="nil"/>
                    <w:tr2bl w:val="nil"/>
                  </w:tcBorders>
                  <w:noWrap w:val="0"/>
                  <w:vAlign w:val="center"/>
                </w:tcPr>
                <w:p w14:paraId="0AAF779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管控要求</w:t>
                  </w:r>
                </w:p>
              </w:tc>
              <w:tc>
                <w:tcPr>
                  <w:tcW w:w="1224" w:type="pct"/>
                  <w:tcBorders>
                    <w:tl2br w:val="nil"/>
                    <w:tr2bl w:val="nil"/>
                  </w:tcBorders>
                  <w:noWrap w:val="0"/>
                  <w:vAlign w:val="center"/>
                </w:tcPr>
                <w:p w14:paraId="3469C15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项目情况</w:t>
                  </w:r>
                </w:p>
              </w:tc>
              <w:tc>
                <w:tcPr>
                  <w:tcW w:w="468" w:type="pct"/>
                  <w:gridSpan w:val="4"/>
                  <w:tcBorders>
                    <w:tl2br w:val="nil"/>
                    <w:tr2bl w:val="nil"/>
                  </w:tcBorders>
                  <w:noWrap w:val="0"/>
                  <w:vAlign w:val="center"/>
                </w:tcPr>
                <w:p w14:paraId="26BB18A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相符性</w:t>
                  </w:r>
                </w:p>
              </w:tc>
            </w:tr>
            <w:tr w14:paraId="3A9A3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2" w:type="pct"/>
                  <w:gridSpan w:val="3"/>
                  <w:tcBorders>
                    <w:tl2br w:val="nil"/>
                    <w:tr2bl w:val="nil"/>
                  </w:tcBorders>
                  <w:noWrap w:val="0"/>
                  <w:vAlign w:val="center"/>
                </w:tcPr>
                <w:p w14:paraId="2940DF5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76" w:rightChars="36"/>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区域布局管控</w:t>
                  </w:r>
                </w:p>
              </w:tc>
              <w:tc>
                <w:tcPr>
                  <w:tcW w:w="2475" w:type="pct"/>
                  <w:tcBorders>
                    <w:tl2br w:val="nil"/>
                    <w:tr2bl w:val="nil"/>
                  </w:tcBorders>
                  <w:noWrap w:val="0"/>
                  <w:vAlign w:val="center"/>
                </w:tcPr>
                <w:p w14:paraId="093B61D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按国家和省统一要求管理。</w:t>
                  </w:r>
                </w:p>
              </w:tc>
              <w:tc>
                <w:tcPr>
                  <w:tcW w:w="1224" w:type="pct"/>
                  <w:tcBorders>
                    <w:tl2br w:val="nil"/>
                    <w:tr2bl w:val="nil"/>
                  </w:tcBorders>
                  <w:noWrap w:val="0"/>
                  <w:vAlign w:val="center"/>
                </w:tcPr>
                <w:p w14:paraId="2FC92FC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项目不涉及自然生态用地，合理开发，符合城市规划</w:t>
                  </w:r>
                </w:p>
              </w:tc>
              <w:tc>
                <w:tcPr>
                  <w:tcW w:w="468" w:type="pct"/>
                  <w:gridSpan w:val="4"/>
                  <w:tcBorders>
                    <w:tl2br w:val="nil"/>
                    <w:tr2bl w:val="nil"/>
                  </w:tcBorders>
                  <w:noWrap w:val="0"/>
                  <w:vAlign w:val="center"/>
                </w:tcPr>
                <w:p w14:paraId="5E8B68D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符合</w:t>
                  </w:r>
                </w:p>
              </w:tc>
            </w:tr>
            <w:tr w14:paraId="277C9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2" w:type="pct"/>
                  <w:gridSpan w:val="3"/>
                  <w:tcBorders>
                    <w:tl2br w:val="nil"/>
                    <w:tr2bl w:val="nil"/>
                  </w:tcBorders>
                  <w:noWrap w:val="0"/>
                  <w:vAlign w:val="center"/>
                </w:tcPr>
                <w:p w14:paraId="3AC2115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环境管控单元编码</w:t>
                  </w:r>
                </w:p>
              </w:tc>
              <w:tc>
                <w:tcPr>
                  <w:tcW w:w="2475" w:type="pct"/>
                  <w:tcBorders>
                    <w:tl2br w:val="nil"/>
                    <w:tr2bl w:val="nil"/>
                  </w:tcBorders>
                  <w:noWrap w:val="0"/>
                  <w:vAlign w:val="center"/>
                </w:tcPr>
                <w:p w14:paraId="0B5B6E8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环境管控单元名称</w:t>
                  </w:r>
                </w:p>
              </w:tc>
              <w:tc>
                <w:tcPr>
                  <w:tcW w:w="1692" w:type="pct"/>
                  <w:gridSpan w:val="5"/>
                  <w:tcBorders>
                    <w:tl2br w:val="nil"/>
                    <w:tr2bl w:val="nil"/>
                  </w:tcBorders>
                  <w:noWrap w:val="0"/>
                  <w:vAlign w:val="center"/>
                </w:tcPr>
                <w:p w14:paraId="7193AE6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管控单元分类</w:t>
                  </w:r>
                </w:p>
              </w:tc>
            </w:tr>
            <w:tr w14:paraId="3F3E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2" w:type="pct"/>
                  <w:gridSpan w:val="3"/>
                  <w:tcBorders>
                    <w:tl2br w:val="nil"/>
                    <w:tr2bl w:val="nil"/>
                  </w:tcBorders>
                  <w:noWrap w:val="0"/>
                  <w:vAlign w:val="center"/>
                </w:tcPr>
                <w:p w14:paraId="18CD8BC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76" w:rightChars="36"/>
                    <w:jc w:val="center"/>
                    <w:textAlignment w:val="auto"/>
                    <w:rPr>
                      <w:rFonts w:hint="eastAsia"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YS440281321001</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3</w:t>
                  </w:r>
                </w:p>
              </w:tc>
              <w:tc>
                <w:tcPr>
                  <w:tcW w:w="2475" w:type="pct"/>
                  <w:tcBorders>
                    <w:tl2br w:val="nil"/>
                    <w:tr2bl w:val="nil"/>
                  </w:tcBorders>
                  <w:noWrap w:val="0"/>
                  <w:vAlign w:val="center"/>
                </w:tcPr>
                <w:p w14:paraId="612A3F8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廊田水韶关市长来-廊田-五山镇控制单元</w:t>
                  </w:r>
                </w:p>
              </w:tc>
              <w:tc>
                <w:tcPr>
                  <w:tcW w:w="1692" w:type="pct"/>
                  <w:gridSpan w:val="5"/>
                  <w:tcBorders>
                    <w:tl2br w:val="nil"/>
                    <w:tr2bl w:val="nil"/>
                  </w:tcBorders>
                  <w:noWrap w:val="0"/>
                  <w:vAlign w:val="center"/>
                </w:tcPr>
                <w:p w14:paraId="2B2A303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水环境一般管控区</w:t>
                  </w:r>
                </w:p>
              </w:tc>
            </w:tr>
            <w:tr w14:paraId="5074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2" w:type="pct"/>
                  <w:gridSpan w:val="3"/>
                  <w:tcBorders>
                    <w:tl2br w:val="nil"/>
                    <w:tr2bl w:val="nil"/>
                  </w:tcBorders>
                  <w:noWrap w:val="0"/>
                  <w:vAlign w:val="center"/>
                </w:tcPr>
                <w:p w14:paraId="678C29B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管控维度</w:t>
                  </w:r>
                </w:p>
              </w:tc>
              <w:tc>
                <w:tcPr>
                  <w:tcW w:w="2475" w:type="pct"/>
                  <w:tcBorders>
                    <w:tl2br w:val="nil"/>
                    <w:tr2bl w:val="nil"/>
                  </w:tcBorders>
                  <w:noWrap w:val="0"/>
                  <w:vAlign w:val="center"/>
                </w:tcPr>
                <w:p w14:paraId="73453EB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管控要求</w:t>
                  </w:r>
                </w:p>
              </w:tc>
              <w:tc>
                <w:tcPr>
                  <w:tcW w:w="1297" w:type="pct"/>
                  <w:gridSpan w:val="2"/>
                  <w:tcBorders>
                    <w:tl2br w:val="nil"/>
                    <w:tr2bl w:val="nil"/>
                  </w:tcBorders>
                  <w:noWrap w:val="0"/>
                  <w:vAlign w:val="center"/>
                </w:tcPr>
                <w:p w14:paraId="14BF244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项目情况</w:t>
                  </w:r>
                </w:p>
              </w:tc>
              <w:tc>
                <w:tcPr>
                  <w:tcW w:w="394" w:type="pct"/>
                  <w:gridSpan w:val="3"/>
                  <w:tcBorders>
                    <w:tl2br w:val="nil"/>
                    <w:tr2bl w:val="nil"/>
                  </w:tcBorders>
                  <w:noWrap w:val="0"/>
                  <w:vAlign w:val="center"/>
                </w:tcPr>
                <w:p w14:paraId="320A8E5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相</w:t>
                  </w:r>
                  <w:r>
                    <w:rPr>
                      <w:rFonts w:hint="default" w:ascii="Times New Roman" w:hAnsi="Times New Roman" w:cs="Times New Roman"/>
                      <w:b/>
                      <w:bCs/>
                      <w:color w:val="000000" w:themeColor="text1"/>
                      <w:sz w:val="21"/>
                      <w:szCs w:val="21"/>
                      <w:highlight w:val="none"/>
                      <w14:textFill>
                        <w14:solidFill>
                          <w14:schemeClr w14:val="tx1"/>
                        </w14:solidFill>
                      </w14:textFill>
                    </w:rPr>
                    <w:t>符性</w:t>
                  </w:r>
                </w:p>
              </w:tc>
            </w:tr>
            <w:tr w14:paraId="7285A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2" w:type="pct"/>
                  <w:gridSpan w:val="3"/>
                  <w:tcBorders>
                    <w:tl2br w:val="nil"/>
                    <w:tr2bl w:val="nil"/>
                  </w:tcBorders>
                  <w:noWrap w:val="0"/>
                  <w:vAlign w:val="center"/>
                </w:tcPr>
                <w:p w14:paraId="17D46AF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76" w:rightChars="36"/>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区域布局管控</w:t>
                  </w:r>
                </w:p>
              </w:tc>
              <w:tc>
                <w:tcPr>
                  <w:tcW w:w="2475" w:type="pct"/>
                  <w:tcBorders>
                    <w:tl2br w:val="nil"/>
                    <w:tr2bl w:val="nil"/>
                  </w:tcBorders>
                  <w:noWrap w:val="0"/>
                  <w:vAlign w:val="center"/>
                </w:tcPr>
                <w:p w14:paraId="530FFC9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严格执行畜禽养殖禁养区管理要求，畜禽养殖禁养区内严禁建设规模化畜禽养殖场和规模化畜禽养殖小区，禁养区外的养殖场应配套污染防治设施</w:t>
                  </w:r>
                </w:p>
              </w:tc>
              <w:tc>
                <w:tcPr>
                  <w:tcW w:w="1297" w:type="pct"/>
                  <w:gridSpan w:val="2"/>
                  <w:tcBorders>
                    <w:tl2br w:val="nil"/>
                    <w:tr2bl w:val="nil"/>
                  </w:tcBorders>
                  <w:noWrap w:val="0"/>
                  <w:vAlign w:val="center"/>
                </w:tcPr>
                <w:p w14:paraId="6E2BE3F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本项目不涉及畜禽养殖。</w:t>
                  </w:r>
                </w:p>
              </w:tc>
              <w:tc>
                <w:tcPr>
                  <w:tcW w:w="394" w:type="pct"/>
                  <w:gridSpan w:val="3"/>
                  <w:tcBorders>
                    <w:tl2br w:val="nil"/>
                    <w:tr2bl w:val="nil"/>
                  </w:tcBorders>
                  <w:noWrap w:val="0"/>
                  <w:vAlign w:val="center"/>
                </w:tcPr>
                <w:p w14:paraId="3998F6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符合</w:t>
                  </w:r>
                </w:p>
              </w:tc>
            </w:tr>
            <w:tr w14:paraId="27EF6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2" w:type="pct"/>
                  <w:gridSpan w:val="3"/>
                  <w:tcBorders>
                    <w:tl2br w:val="nil"/>
                    <w:tr2bl w:val="nil"/>
                  </w:tcBorders>
                  <w:noWrap w:val="0"/>
                  <w:vAlign w:val="center"/>
                </w:tcPr>
                <w:p w14:paraId="39436E2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76" w:rightChars="36"/>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环境风险防控</w:t>
                  </w:r>
                </w:p>
              </w:tc>
              <w:tc>
                <w:tcPr>
                  <w:tcW w:w="2475" w:type="pct"/>
                  <w:tcBorders>
                    <w:tl2br w:val="nil"/>
                    <w:tr2bl w:val="nil"/>
                  </w:tcBorders>
                  <w:noWrap w:val="0"/>
                  <w:vAlign w:val="center"/>
                </w:tcPr>
                <w:p w14:paraId="3FFAEC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集中式污水处理厂应采取有效措施，防止事故废水直接排入水体</w:t>
                  </w:r>
                </w:p>
              </w:tc>
              <w:tc>
                <w:tcPr>
                  <w:tcW w:w="1297" w:type="pct"/>
                  <w:gridSpan w:val="2"/>
                  <w:tcBorders>
                    <w:tl2br w:val="nil"/>
                    <w:tr2bl w:val="nil"/>
                  </w:tcBorders>
                  <w:noWrap w:val="0"/>
                  <w:vAlign w:val="center"/>
                </w:tcPr>
                <w:p w14:paraId="190CA4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本项目不属于集中式污水处理厂，</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且</w:t>
                  </w:r>
                  <w:r>
                    <w:rPr>
                      <w:rFonts w:hint="default" w:ascii="Times New Roman" w:hAnsi="Times New Roman" w:cs="Times New Roman"/>
                      <w:color w:val="000000" w:themeColor="text1"/>
                      <w:sz w:val="21"/>
                      <w:szCs w:val="21"/>
                      <w:highlight w:val="none"/>
                      <w14:textFill>
                        <w14:solidFill>
                          <w14:schemeClr w14:val="tx1"/>
                        </w14:solidFill>
                      </w14:textFill>
                    </w:rPr>
                    <w:t>依托的园区污水处理厂设有应急措施。</w:t>
                  </w:r>
                </w:p>
              </w:tc>
              <w:tc>
                <w:tcPr>
                  <w:tcW w:w="394" w:type="pct"/>
                  <w:gridSpan w:val="3"/>
                  <w:tcBorders>
                    <w:tl2br w:val="nil"/>
                    <w:tr2bl w:val="nil"/>
                  </w:tcBorders>
                  <w:noWrap w:val="0"/>
                  <w:vAlign w:val="center"/>
                </w:tcPr>
                <w:p w14:paraId="42D4882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符合</w:t>
                  </w:r>
                </w:p>
              </w:tc>
            </w:tr>
            <w:tr w14:paraId="59081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2" w:type="pct"/>
                  <w:gridSpan w:val="3"/>
                  <w:tcBorders>
                    <w:tl2br w:val="nil"/>
                    <w:tr2bl w:val="nil"/>
                  </w:tcBorders>
                  <w:noWrap w:val="0"/>
                  <w:vAlign w:val="center"/>
                </w:tcPr>
                <w:p w14:paraId="5164051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环境管控单元编码</w:t>
                  </w:r>
                </w:p>
              </w:tc>
              <w:tc>
                <w:tcPr>
                  <w:tcW w:w="2475" w:type="pct"/>
                  <w:tcBorders>
                    <w:tl2br w:val="nil"/>
                    <w:tr2bl w:val="nil"/>
                  </w:tcBorders>
                  <w:noWrap w:val="0"/>
                  <w:vAlign w:val="center"/>
                </w:tcPr>
                <w:p w14:paraId="4726D1C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环境管控单元名称</w:t>
                  </w:r>
                </w:p>
              </w:tc>
              <w:tc>
                <w:tcPr>
                  <w:tcW w:w="1692" w:type="pct"/>
                  <w:gridSpan w:val="5"/>
                  <w:tcBorders>
                    <w:tl2br w:val="nil"/>
                    <w:tr2bl w:val="nil"/>
                  </w:tcBorders>
                  <w:noWrap w:val="0"/>
                  <w:vAlign w:val="center"/>
                </w:tcPr>
                <w:p w14:paraId="55B517C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管控单元分类</w:t>
                  </w:r>
                </w:p>
              </w:tc>
            </w:tr>
            <w:tr w14:paraId="402FB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2" w:type="pct"/>
                  <w:gridSpan w:val="3"/>
                  <w:tcBorders>
                    <w:tl2br w:val="nil"/>
                    <w:tr2bl w:val="nil"/>
                  </w:tcBorders>
                  <w:noWrap w:val="0"/>
                  <w:vAlign w:val="center"/>
                </w:tcPr>
                <w:p w14:paraId="06FA5E6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76" w:rightChars="36"/>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YS4402812310002</w:t>
                  </w:r>
                </w:p>
              </w:tc>
              <w:tc>
                <w:tcPr>
                  <w:tcW w:w="2475" w:type="pct"/>
                  <w:tcBorders>
                    <w:tl2br w:val="nil"/>
                    <w:tr2bl w:val="nil"/>
                  </w:tcBorders>
                  <w:noWrap w:val="0"/>
                  <w:vAlign w:val="center"/>
                </w:tcPr>
                <w:p w14:paraId="13E3A48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大气环境高排放重点管控区</w:t>
                  </w:r>
                </w:p>
              </w:tc>
              <w:tc>
                <w:tcPr>
                  <w:tcW w:w="1692" w:type="pct"/>
                  <w:gridSpan w:val="5"/>
                  <w:tcBorders>
                    <w:tl2br w:val="nil"/>
                    <w:tr2bl w:val="nil"/>
                  </w:tcBorders>
                  <w:noWrap w:val="0"/>
                  <w:vAlign w:val="center"/>
                </w:tcPr>
                <w:p w14:paraId="38C6B4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重点管控区</w:t>
                  </w:r>
                </w:p>
              </w:tc>
            </w:tr>
            <w:tr w14:paraId="775C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2" w:type="pct"/>
                  <w:gridSpan w:val="3"/>
                  <w:tcBorders>
                    <w:tl2br w:val="nil"/>
                    <w:tr2bl w:val="nil"/>
                  </w:tcBorders>
                  <w:noWrap w:val="0"/>
                  <w:vAlign w:val="center"/>
                </w:tcPr>
                <w:p w14:paraId="3CB73DB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管控维度</w:t>
                  </w:r>
                </w:p>
              </w:tc>
              <w:tc>
                <w:tcPr>
                  <w:tcW w:w="2475" w:type="pct"/>
                  <w:tcBorders>
                    <w:tl2br w:val="nil"/>
                    <w:tr2bl w:val="nil"/>
                  </w:tcBorders>
                  <w:noWrap w:val="0"/>
                  <w:vAlign w:val="center"/>
                </w:tcPr>
                <w:p w14:paraId="134A499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管控要求</w:t>
                  </w:r>
                </w:p>
              </w:tc>
              <w:tc>
                <w:tcPr>
                  <w:tcW w:w="1332" w:type="pct"/>
                  <w:gridSpan w:val="4"/>
                  <w:tcBorders>
                    <w:tl2br w:val="nil"/>
                    <w:tr2bl w:val="nil"/>
                  </w:tcBorders>
                  <w:noWrap w:val="0"/>
                  <w:vAlign w:val="center"/>
                </w:tcPr>
                <w:p w14:paraId="7FC5DF1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项目情况</w:t>
                  </w:r>
                </w:p>
              </w:tc>
              <w:tc>
                <w:tcPr>
                  <w:tcW w:w="359" w:type="pct"/>
                  <w:tcBorders>
                    <w:tl2br w:val="nil"/>
                    <w:tr2bl w:val="nil"/>
                  </w:tcBorders>
                  <w:noWrap w:val="0"/>
                  <w:vAlign w:val="center"/>
                </w:tcPr>
                <w:p w14:paraId="574D525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相</w:t>
                  </w:r>
                  <w:r>
                    <w:rPr>
                      <w:rFonts w:hint="default" w:ascii="Times New Roman" w:hAnsi="Times New Roman" w:cs="Times New Roman"/>
                      <w:b/>
                      <w:bCs/>
                      <w:color w:val="000000" w:themeColor="text1"/>
                      <w:sz w:val="21"/>
                      <w:szCs w:val="21"/>
                      <w:highlight w:val="none"/>
                      <w14:textFill>
                        <w14:solidFill>
                          <w14:schemeClr w14:val="tx1"/>
                        </w14:solidFill>
                      </w14:textFill>
                    </w:rPr>
                    <w:t>符性</w:t>
                  </w:r>
                </w:p>
              </w:tc>
            </w:tr>
            <w:tr w14:paraId="4631B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2" w:type="pct"/>
                  <w:gridSpan w:val="3"/>
                  <w:tcBorders>
                    <w:tl2br w:val="nil"/>
                    <w:tr2bl w:val="nil"/>
                  </w:tcBorders>
                  <w:noWrap w:val="0"/>
                  <w:vAlign w:val="center"/>
                </w:tcPr>
                <w:p w14:paraId="046FEE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区域布局管控</w:t>
                  </w:r>
                </w:p>
              </w:tc>
              <w:tc>
                <w:tcPr>
                  <w:tcW w:w="2475" w:type="pct"/>
                  <w:tcBorders>
                    <w:tl2br w:val="nil"/>
                    <w:tr2bl w:val="nil"/>
                  </w:tcBorders>
                  <w:noWrap w:val="0"/>
                  <w:vAlign w:val="center"/>
                </w:tcPr>
                <w:p w14:paraId="5971F5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1-1.引导工业项目科学布局，新建项目原则上入园管理，推动现有工业项目集中进园。</w:t>
                  </w:r>
                </w:p>
                <w:p w14:paraId="469519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1-2.严格控制涉重金属及有毒有害污染物排放的项目建设，新建、改建、扩建涉重金属重点行业的项目应明确重金属污染物总量来源。</w:t>
                  </w:r>
                </w:p>
                <w:p w14:paraId="3115CB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1-3.严格限制新建除热电联产以外的煤电项目；严格限制新（改、扩）建钢铁、建材（水泥、平板玻璃）、焦化、有色金属冶炼、石化等高污染行业项目。</w:t>
                  </w:r>
                </w:p>
                <w:p w14:paraId="521AB9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1-4.禁止违法露天焚烧秸秆等产生烟尘污染物质以及焚烧垃圾等产生有毒有害烟尘、恶臭气体物质的行为。</w:t>
                  </w:r>
                </w:p>
              </w:tc>
              <w:tc>
                <w:tcPr>
                  <w:tcW w:w="1332" w:type="pct"/>
                  <w:gridSpan w:val="4"/>
                  <w:tcBorders>
                    <w:tl2br w:val="nil"/>
                    <w:tr2bl w:val="nil"/>
                  </w:tcBorders>
                  <w:noWrap w:val="0"/>
                  <w:vAlign w:val="center"/>
                </w:tcPr>
                <w:p w14:paraId="5C27FF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本项目选址位于乐昌产业转移工业园，属于入园管理项目；</w:t>
                  </w:r>
                </w:p>
                <w:p w14:paraId="64A93C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本项目为金属表面处理及热处理加工行业</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不属于严格限制的项目</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且废气排放不涉及</w:t>
                  </w:r>
                  <w:r>
                    <w:rPr>
                      <w:rFonts w:hint="default" w:ascii="Times New Roman" w:hAnsi="Times New Roman" w:eastAsia="宋体" w:cs="Times New Roman"/>
                      <w:color w:val="000000" w:themeColor="text1"/>
                      <w:sz w:val="21"/>
                      <w:szCs w:val="21"/>
                      <w:highlight w:val="none"/>
                      <w14:textFill>
                        <w14:solidFill>
                          <w14:schemeClr w14:val="tx1"/>
                        </w14:solidFill>
                      </w14:textFill>
                    </w:rPr>
                    <w:t>重金属及有毒有害污染物</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p>
              </w:tc>
              <w:tc>
                <w:tcPr>
                  <w:tcW w:w="359" w:type="pct"/>
                  <w:tcBorders>
                    <w:tl2br w:val="nil"/>
                    <w:tr2bl w:val="nil"/>
                  </w:tcBorders>
                  <w:noWrap w:val="0"/>
                  <w:vAlign w:val="center"/>
                </w:tcPr>
                <w:p w14:paraId="79BB685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符合</w:t>
                  </w:r>
                </w:p>
              </w:tc>
            </w:tr>
            <w:tr w14:paraId="2D146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2" w:type="pct"/>
                  <w:gridSpan w:val="3"/>
                  <w:tcBorders>
                    <w:tl2br w:val="nil"/>
                    <w:tr2bl w:val="nil"/>
                  </w:tcBorders>
                  <w:noWrap w:val="0"/>
                  <w:vAlign w:val="center"/>
                </w:tcPr>
                <w:p w14:paraId="7F3766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能源资源利用</w:t>
                  </w:r>
                </w:p>
              </w:tc>
              <w:tc>
                <w:tcPr>
                  <w:tcW w:w="2475" w:type="pct"/>
                  <w:tcBorders>
                    <w:tl2br w:val="nil"/>
                    <w:tr2bl w:val="nil"/>
                  </w:tcBorders>
                  <w:noWrap w:val="0"/>
                  <w:vAlign w:val="center"/>
                </w:tcPr>
                <w:p w14:paraId="00F690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4-1.推广节能技术，加快发展绿色货运与现代物流。</w:t>
                  </w:r>
                </w:p>
                <w:p w14:paraId="66E99D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4-2.禁燃区内，禁止新建、扩建燃用高污染燃料的设施；已有使用高污染燃料设施改用清洁能源。</w:t>
                  </w:r>
                </w:p>
                <w:p w14:paraId="403A0A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4-3.科学实施能源消费总量和强度“双控”，新建高能耗项目单位产品</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产值</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能耗达到国际国内先进水平。</w:t>
                  </w:r>
                </w:p>
              </w:tc>
              <w:tc>
                <w:tcPr>
                  <w:tcW w:w="1332" w:type="pct"/>
                  <w:gridSpan w:val="4"/>
                  <w:tcBorders>
                    <w:tl2br w:val="nil"/>
                    <w:tr2bl w:val="nil"/>
                  </w:tcBorders>
                  <w:noWrap w:val="0"/>
                  <w:vAlign w:val="center"/>
                </w:tcPr>
                <w:p w14:paraId="5565FB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本项目主要能源使用天然气和电能，不涉及高污染燃料且项目不属于高能耗类型项目</w:t>
                  </w:r>
                </w:p>
              </w:tc>
              <w:tc>
                <w:tcPr>
                  <w:tcW w:w="359" w:type="pct"/>
                  <w:tcBorders>
                    <w:tl2br w:val="nil"/>
                    <w:tr2bl w:val="nil"/>
                  </w:tcBorders>
                  <w:noWrap w:val="0"/>
                  <w:vAlign w:val="center"/>
                </w:tcPr>
                <w:p w14:paraId="5A2DAE8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符合</w:t>
                  </w:r>
                </w:p>
              </w:tc>
            </w:tr>
            <w:tr w14:paraId="2ED3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2" w:type="pct"/>
                  <w:gridSpan w:val="3"/>
                  <w:tcBorders>
                    <w:tl2br w:val="nil"/>
                    <w:tr2bl w:val="nil"/>
                  </w:tcBorders>
                  <w:noWrap w:val="0"/>
                  <w:vAlign w:val="center"/>
                </w:tcPr>
                <w:p w14:paraId="02ECD8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污染物排放管控</w:t>
                  </w:r>
                </w:p>
              </w:tc>
              <w:tc>
                <w:tcPr>
                  <w:tcW w:w="2475" w:type="pct"/>
                  <w:tcBorders>
                    <w:tl2br w:val="nil"/>
                    <w:tr2bl w:val="nil"/>
                  </w:tcBorders>
                  <w:noWrap w:val="0"/>
                  <w:vAlign w:val="center"/>
                </w:tcPr>
                <w:p w14:paraId="3F0E79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2-1.园区各项污染物排放总量不得突破园区规划环评核定的污染物排放总量管控要求。</w:t>
                  </w:r>
                </w:p>
                <w:p w14:paraId="7D9C53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2-2.实行重点重金属污染物（铅、砷、汞、镉、铬）等量替代。严格控制涉重金属及有毒有害污染物排放的项目建设，新建、改建、扩建涉重金属重点行业的项目应明确重金属污染物总量来源。</w:t>
                  </w:r>
                </w:p>
                <w:p w14:paraId="52D81E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2-3.新建项目原则上实施氮氧化物、挥发性有机物排放量等量替代。</w:t>
                  </w:r>
                </w:p>
                <w:p w14:paraId="32508F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2-4.支持危险废物专业收集转运和利用处置单位建设区域性收集网点和贮存设施。</w:t>
                  </w:r>
                </w:p>
                <w:p w14:paraId="6950F3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2-5.积极实行集中供热，应尽快关停现有企业小锅炉。</w:t>
                  </w:r>
                </w:p>
              </w:tc>
              <w:tc>
                <w:tcPr>
                  <w:tcW w:w="1332" w:type="pct"/>
                  <w:gridSpan w:val="4"/>
                  <w:tcBorders>
                    <w:tl2br w:val="nil"/>
                    <w:tr2bl w:val="nil"/>
                  </w:tcBorders>
                  <w:noWrap w:val="0"/>
                  <w:vAlign w:val="center"/>
                </w:tcPr>
                <w:p w14:paraId="660EE3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本项目所在园区污染物排放总量未超过核定总量。本项目不涉及重金属污染物排放。本项目不涉及危险废物专业收集转运和利用处置。</w:t>
                  </w:r>
                </w:p>
              </w:tc>
              <w:tc>
                <w:tcPr>
                  <w:tcW w:w="359" w:type="pct"/>
                  <w:tcBorders>
                    <w:tl2br w:val="nil"/>
                    <w:tr2bl w:val="nil"/>
                  </w:tcBorders>
                  <w:noWrap w:val="0"/>
                  <w:vAlign w:val="center"/>
                </w:tcPr>
                <w:p w14:paraId="312B5E0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符合</w:t>
                  </w:r>
                </w:p>
              </w:tc>
            </w:tr>
            <w:tr w14:paraId="4E51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2" w:type="pct"/>
                  <w:gridSpan w:val="3"/>
                  <w:tcBorders>
                    <w:tl2br w:val="nil"/>
                    <w:tr2bl w:val="nil"/>
                  </w:tcBorders>
                  <w:noWrap w:val="0"/>
                  <w:vAlign w:val="center"/>
                </w:tcPr>
                <w:p w14:paraId="5983B4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环境风险防控</w:t>
                  </w:r>
                </w:p>
              </w:tc>
              <w:tc>
                <w:tcPr>
                  <w:tcW w:w="2475" w:type="pct"/>
                  <w:tcBorders>
                    <w:tl2br w:val="nil"/>
                    <w:tr2bl w:val="nil"/>
                  </w:tcBorders>
                  <w:noWrap w:val="0"/>
                  <w:vAlign w:val="center"/>
                </w:tcPr>
                <w:p w14:paraId="51850A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4-1.集中式污水处理厂应采取有效措施，防止事故废水直接排入水体。</w:t>
                  </w:r>
                </w:p>
                <w:p w14:paraId="226ADE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-2.有水环境污染风险的企事业单位，应当制定有关水污染事故的应急方案，做好应急准备，并定期进行演练，做好突发水污染事故应急处置和事后恢复等工作。有水环境污染风险的企事业单位，生产、储存危险化学品的企事业单位，应当采取措施，防止在应急处置过程中产生的消防废水、废液直接排入水体。</w:t>
                  </w:r>
                </w:p>
              </w:tc>
              <w:tc>
                <w:tcPr>
                  <w:tcW w:w="1332" w:type="pct"/>
                  <w:gridSpan w:val="4"/>
                  <w:tcBorders>
                    <w:tl2br w:val="nil"/>
                    <w:tr2bl w:val="nil"/>
                  </w:tcBorders>
                  <w:noWrap w:val="0"/>
                  <w:vAlign w:val="center"/>
                </w:tcPr>
                <w:p w14:paraId="52740A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项目建设完成后</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按照相关规定完善环境风险应急措施</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，与园区、政府构成三级环境风险防控体系</w:t>
                  </w:r>
                </w:p>
              </w:tc>
              <w:tc>
                <w:tcPr>
                  <w:tcW w:w="359" w:type="pct"/>
                  <w:tcBorders>
                    <w:tl2br w:val="nil"/>
                    <w:tr2bl w:val="nil"/>
                  </w:tcBorders>
                  <w:noWrap w:val="0"/>
                  <w:vAlign w:val="center"/>
                </w:tcPr>
                <w:p w14:paraId="4F846B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符合</w:t>
                  </w:r>
                </w:p>
              </w:tc>
            </w:tr>
            <w:tr w14:paraId="6E456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2" w:type="pct"/>
                  <w:gridSpan w:val="3"/>
                  <w:tcBorders>
                    <w:tl2br w:val="nil"/>
                    <w:tr2bl w:val="nil"/>
                  </w:tcBorders>
                  <w:noWrap w:val="0"/>
                  <w:vAlign w:val="center"/>
                </w:tcPr>
                <w:p w14:paraId="323C543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环境管控单元编码</w:t>
                  </w:r>
                </w:p>
              </w:tc>
              <w:tc>
                <w:tcPr>
                  <w:tcW w:w="2475" w:type="pct"/>
                  <w:tcBorders>
                    <w:tl2br w:val="nil"/>
                    <w:tr2bl w:val="nil"/>
                  </w:tcBorders>
                  <w:noWrap w:val="0"/>
                  <w:vAlign w:val="center"/>
                </w:tcPr>
                <w:p w14:paraId="5FB181F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环境管控单元名称</w:t>
                  </w:r>
                </w:p>
              </w:tc>
              <w:tc>
                <w:tcPr>
                  <w:tcW w:w="1692" w:type="pct"/>
                  <w:gridSpan w:val="5"/>
                  <w:tcBorders>
                    <w:tl2br w:val="nil"/>
                    <w:tr2bl w:val="nil"/>
                  </w:tcBorders>
                  <w:noWrap w:val="0"/>
                  <w:vAlign w:val="center"/>
                </w:tcPr>
                <w:p w14:paraId="0ACD636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管控单元分类</w:t>
                  </w:r>
                </w:p>
              </w:tc>
            </w:tr>
            <w:tr w14:paraId="5540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2" w:type="pct"/>
                  <w:gridSpan w:val="3"/>
                  <w:tcBorders>
                    <w:tl2br w:val="nil"/>
                    <w:tr2bl w:val="nil"/>
                  </w:tcBorders>
                  <w:noWrap w:val="0"/>
                  <w:vAlign w:val="center"/>
                </w:tcPr>
                <w:p w14:paraId="121AAAC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YS4402812540001</w:t>
                  </w:r>
                </w:p>
              </w:tc>
              <w:tc>
                <w:tcPr>
                  <w:tcW w:w="2475" w:type="pct"/>
                  <w:tcBorders>
                    <w:tl2br w:val="nil"/>
                    <w:tr2bl w:val="nil"/>
                  </w:tcBorders>
                  <w:noWrap w:val="0"/>
                  <w:vAlign w:val="center"/>
                </w:tcPr>
                <w:p w14:paraId="1228750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乐昌市高污染燃料禁燃区</w:t>
                  </w:r>
                </w:p>
              </w:tc>
              <w:tc>
                <w:tcPr>
                  <w:tcW w:w="1692" w:type="pct"/>
                  <w:gridSpan w:val="5"/>
                  <w:tcBorders>
                    <w:tl2br w:val="nil"/>
                    <w:tr2bl w:val="nil"/>
                  </w:tcBorders>
                  <w:noWrap w:val="0"/>
                  <w:vAlign w:val="center"/>
                </w:tcPr>
                <w:p w14:paraId="18B9229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重点管控区</w:t>
                  </w:r>
                </w:p>
              </w:tc>
            </w:tr>
            <w:tr w14:paraId="29E3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2" w:type="pct"/>
                  <w:gridSpan w:val="3"/>
                  <w:tcBorders>
                    <w:tl2br w:val="nil"/>
                    <w:tr2bl w:val="nil"/>
                  </w:tcBorders>
                  <w:noWrap w:val="0"/>
                  <w:vAlign w:val="center"/>
                </w:tcPr>
                <w:p w14:paraId="261B062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管控维度</w:t>
                  </w:r>
                </w:p>
              </w:tc>
              <w:tc>
                <w:tcPr>
                  <w:tcW w:w="2475" w:type="pct"/>
                  <w:tcBorders>
                    <w:tl2br w:val="nil"/>
                    <w:tr2bl w:val="nil"/>
                  </w:tcBorders>
                  <w:noWrap w:val="0"/>
                  <w:vAlign w:val="center"/>
                </w:tcPr>
                <w:p w14:paraId="59BFF17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管控要求</w:t>
                  </w:r>
                </w:p>
              </w:tc>
              <w:tc>
                <w:tcPr>
                  <w:tcW w:w="1332" w:type="pct"/>
                  <w:gridSpan w:val="4"/>
                  <w:tcBorders>
                    <w:tl2br w:val="nil"/>
                    <w:tr2bl w:val="nil"/>
                  </w:tcBorders>
                  <w:noWrap w:val="0"/>
                  <w:vAlign w:val="center"/>
                </w:tcPr>
                <w:p w14:paraId="310CCA8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项目情况</w:t>
                  </w:r>
                </w:p>
              </w:tc>
              <w:tc>
                <w:tcPr>
                  <w:tcW w:w="359" w:type="pct"/>
                  <w:tcBorders>
                    <w:tl2br w:val="nil"/>
                    <w:tr2bl w:val="nil"/>
                  </w:tcBorders>
                  <w:noWrap w:val="0"/>
                  <w:vAlign w:val="center"/>
                </w:tcPr>
                <w:p w14:paraId="588E38A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相</w:t>
                  </w:r>
                  <w:r>
                    <w:rPr>
                      <w:rFonts w:hint="default" w:ascii="Times New Roman" w:hAnsi="Times New Roman" w:cs="Times New Roman"/>
                      <w:b/>
                      <w:bCs/>
                      <w:color w:val="000000" w:themeColor="text1"/>
                      <w:sz w:val="21"/>
                      <w:szCs w:val="21"/>
                      <w:highlight w:val="none"/>
                      <w14:textFill>
                        <w14:solidFill>
                          <w14:schemeClr w14:val="tx1"/>
                        </w14:solidFill>
                      </w14:textFill>
                    </w:rPr>
                    <w:t>符性</w:t>
                  </w:r>
                </w:p>
              </w:tc>
            </w:tr>
            <w:tr w14:paraId="151F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2" w:type="pct"/>
                  <w:gridSpan w:val="3"/>
                  <w:tcBorders>
                    <w:tl2br w:val="nil"/>
                    <w:tr2bl w:val="nil"/>
                  </w:tcBorders>
                  <w:noWrap w:val="0"/>
                  <w:vAlign w:val="center"/>
                </w:tcPr>
                <w:p w14:paraId="643AB2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区域布局管控</w:t>
                  </w:r>
                </w:p>
              </w:tc>
              <w:tc>
                <w:tcPr>
                  <w:tcW w:w="2475" w:type="pct"/>
                  <w:tcBorders>
                    <w:tl2br w:val="nil"/>
                    <w:tr2bl w:val="nil"/>
                  </w:tcBorders>
                  <w:noWrap w:val="0"/>
                  <w:vAlign w:val="center"/>
                </w:tcPr>
                <w:p w14:paraId="1F2D59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禁止新、扩建燃用高污染燃料的设施</w:t>
                  </w:r>
                </w:p>
              </w:tc>
              <w:tc>
                <w:tcPr>
                  <w:tcW w:w="1332" w:type="pct"/>
                  <w:gridSpan w:val="4"/>
                  <w:tcBorders>
                    <w:tl2br w:val="nil"/>
                    <w:tr2bl w:val="nil"/>
                  </w:tcBorders>
                  <w:noWrap w:val="0"/>
                  <w:vAlign w:val="center"/>
                </w:tcPr>
                <w:p w14:paraId="6D177F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本项目使用电能、天然气，不使用高污染燃料。</w:t>
                  </w:r>
                </w:p>
              </w:tc>
              <w:tc>
                <w:tcPr>
                  <w:tcW w:w="359" w:type="pct"/>
                  <w:tcBorders>
                    <w:tl2br w:val="nil"/>
                    <w:tr2bl w:val="nil"/>
                  </w:tcBorders>
                  <w:noWrap w:val="0"/>
                  <w:vAlign w:val="center"/>
                </w:tcPr>
                <w:p w14:paraId="40C4414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符合</w:t>
                  </w:r>
                </w:p>
              </w:tc>
            </w:tr>
            <w:tr w14:paraId="679F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2" w:type="pct"/>
                  <w:gridSpan w:val="3"/>
                  <w:tcBorders>
                    <w:tl2br w:val="nil"/>
                    <w:tr2bl w:val="nil"/>
                  </w:tcBorders>
                  <w:noWrap w:val="0"/>
                  <w:vAlign w:val="center"/>
                </w:tcPr>
                <w:p w14:paraId="55CAE0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能源资源利用</w:t>
                  </w:r>
                </w:p>
              </w:tc>
              <w:tc>
                <w:tcPr>
                  <w:tcW w:w="2475" w:type="pct"/>
                  <w:tcBorders>
                    <w:tl2br w:val="nil"/>
                    <w:tr2bl w:val="nil"/>
                  </w:tcBorders>
                  <w:noWrap w:val="0"/>
                  <w:vAlign w:val="center"/>
                </w:tcPr>
                <w:p w14:paraId="00AA16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在禁燃区内，禁止销售、燃用高污染燃料；已建成的高污染燃料设施应当改用天然气、页岩气、液化石油气、电等清洁能源。</w:t>
                  </w:r>
                </w:p>
              </w:tc>
              <w:tc>
                <w:tcPr>
                  <w:tcW w:w="1332" w:type="pct"/>
                  <w:gridSpan w:val="4"/>
                  <w:tcBorders>
                    <w:tl2br w:val="nil"/>
                    <w:tr2bl w:val="nil"/>
                  </w:tcBorders>
                  <w:noWrap w:val="0"/>
                  <w:vAlign w:val="center"/>
                </w:tcPr>
                <w:p w14:paraId="5643D1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本项目使用电能和天然气，不销售、不使用高污染燃料。</w:t>
                  </w:r>
                </w:p>
              </w:tc>
              <w:tc>
                <w:tcPr>
                  <w:tcW w:w="359" w:type="pct"/>
                  <w:tcBorders>
                    <w:tl2br w:val="nil"/>
                    <w:tr2bl w:val="nil"/>
                  </w:tcBorders>
                  <w:noWrap w:val="0"/>
                  <w:vAlign w:val="center"/>
                </w:tcPr>
                <w:p w14:paraId="681500D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符合</w:t>
                  </w:r>
                </w:p>
              </w:tc>
            </w:tr>
            <w:tr w14:paraId="2CD5B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32" w:type="pct"/>
                  <w:gridSpan w:val="3"/>
                  <w:tcBorders>
                    <w:tl2br w:val="nil"/>
                    <w:tr2bl w:val="nil"/>
                  </w:tcBorders>
                  <w:noWrap w:val="0"/>
                  <w:vAlign w:val="center"/>
                </w:tcPr>
                <w:p w14:paraId="3EB86A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污染物排放管控</w:t>
                  </w:r>
                </w:p>
              </w:tc>
              <w:tc>
                <w:tcPr>
                  <w:tcW w:w="2475" w:type="pct"/>
                  <w:tcBorders>
                    <w:tl2br w:val="nil"/>
                    <w:tr2bl w:val="nil"/>
                  </w:tcBorders>
                  <w:noWrap w:val="0"/>
                  <w:vAlign w:val="center"/>
                </w:tcPr>
                <w:p w14:paraId="66E9BA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禁燃区内使用生物质成型燃料锅炉和气化供热项目的，污染物排放浓度要达到或优于</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天然气</w:t>
                  </w:r>
                  <w:r>
                    <w:rPr>
                      <w:rFonts w:hint="default" w:ascii="Times New Roman" w:hAnsi="Times New Roman" w:eastAsia="宋体" w:cs="Times New Roman"/>
                      <w:color w:val="000000" w:themeColor="text1"/>
                      <w:sz w:val="21"/>
                      <w:szCs w:val="21"/>
                      <w:highlight w:val="none"/>
                      <w14:textFill>
                        <w14:solidFill>
                          <w14:schemeClr w14:val="tx1"/>
                        </w14:solidFill>
                      </w14:textFill>
                    </w:rPr>
                    <w:t>锅炉对应的大气污染物排放标准（折算基准氧含量排放浓度时，生物质成型燃料锅炉按9%执行，生物质气化供热项目按3.5%执行）。</w:t>
                  </w:r>
                </w:p>
              </w:tc>
              <w:tc>
                <w:tcPr>
                  <w:tcW w:w="1332" w:type="pct"/>
                  <w:gridSpan w:val="4"/>
                  <w:tcBorders>
                    <w:tl2br w:val="nil"/>
                    <w:tr2bl w:val="nil"/>
                  </w:tcBorders>
                  <w:noWrap w:val="0"/>
                  <w:vAlign w:val="center"/>
                </w:tcPr>
                <w:p w14:paraId="1CE55E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本项目不涉及</w:t>
                  </w:r>
                </w:p>
              </w:tc>
              <w:tc>
                <w:tcPr>
                  <w:tcW w:w="359" w:type="pct"/>
                  <w:tcBorders>
                    <w:tl2br w:val="nil"/>
                    <w:tr2bl w:val="nil"/>
                  </w:tcBorders>
                  <w:noWrap w:val="0"/>
                  <w:vAlign w:val="center"/>
                </w:tcPr>
                <w:p w14:paraId="7FCF07A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符合</w:t>
                  </w:r>
                </w:p>
              </w:tc>
            </w:tr>
          </w:tbl>
          <w:p w14:paraId="580E9C77">
            <w:pPr>
              <w:keepNext w:val="0"/>
              <w:keepLines w:val="0"/>
              <w:pageBreakBefore w:val="0"/>
              <w:widowControl w:val="0"/>
              <w:kinsoku/>
              <w:wordWrap/>
              <w:overflowPunct/>
              <w:topLinePunct w:val="0"/>
              <w:autoSpaceDE/>
              <w:autoSpaceDN/>
              <w:bidi w:val="0"/>
              <w:adjustRightInd/>
              <w:snapToGrid/>
              <w:spacing w:line="100" w:lineRule="exact"/>
              <w:jc w:val="center"/>
              <w:textAlignment w:val="auto"/>
              <w:rPr>
                <w:rFonts w:hint="eastAsia"/>
                <w:color w:val="000000" w:themeColor="text1"/>
                <w:highlight w:val="none"/>
                <w14:textFill>
                  <w14:solidFill>
                    <w14:schemeClr w14:val="tx1"/>
                  </w14:solidFill>
                </w14:textFill>
              </w:rPr>
            </w:pPr>
          </w:p>
          <w:p w14:paraId="0C2ADE5E">
            <w:pPr>
              <w:spacing w:line="360" w:lineRule="auto"/>
              <w:ind w:firstLine="480" w:firstLineChars="200"/>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综上，项目符合《韶关市人民政府关于印发韶关市“三线一单”生态环境分区管控方案的通知》（韶府〔2021〕10号）、《韶关市生态环境分区管控动态更新成果》的相关要求。</w:t>
            </w:r>
          </w:p>
          <w:p w14:paraId="37F7D133">
            <w:pPr>
              <w:spacing w:line="360" w:lineRule="auto"/>
              <w:ind w:firstLine="482" w:firstLineChars="200"/>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4"/>
                <w:highlight w:val="none"/>
                <w:lang w:val="en-US" w:eastAsia="zh-CN"/>
                <w14:textFill>
                  <w14:solidFill>
                    <w14:schemeClr w14:val="tx1"/>
                  </w14:solidFill>
                </w14:textFill>
              </w:rPr>
              <w:t>7、与</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《关于印发</w:t>
            </w:r>
            <w:r>
              <w:rPr>
                <w:rFonts w:hint="eastAsia" w:ascii="Times New Roman" w:hAnsi="Times New Roman" w:eastAsia="宋体" w:cs="Times New Roman"/>
                <w:b/>
                <w:bCs/>
                <w:color w:val="000000" w:themeColor="text1"/>
                <w:kern w:val="0"/>
                <w:sz w:val="24"/>
                <w:highlight w:val="none"/>
                <w:lang w:val="en-US" w:eastAsia="zh-CN"/>
                <w14:textFill>
                  <w14:solidFill>
                    <w14:schemeClr w14:val="tx1"/>
                  </w14:solidFill>
                </w14:textFill>
              </w:rPr>
              <w:t>〈</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广东省生态环境保护“十四五”规划</w:t>
            </w:r>
            <w:r>
              <w:rPr>
                <w:rFonts w:hint="eastAsia" w:ascii="Times New Roman" w:hAnsi="Times New Roman" w:eastAsia="宋体" w:cs="Times New Roman"/>
                <w:b/>
                <w:bCs/>
                <w:color w:val="000000" w:themeColor="text1"/>
                <w:kern w:val="0"/>
                <w:sz w:val="24"/>
                <w:highlight w:val="none"/>
                <w:lang w:val="en-US" w:eastAsia="zh-CN"/>
                <w14:textFill>
                  <w14:solidFill>
                    <w14:schemeClr w14:val="tx1"/>
                  </w14:solidFill>
                </w14:textFill>
              </w:rPr>
              <w:t>〉的通知》</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（粤环〔2021〕10号）</w:t>
            </w:r>
            <w:r>
              <w:rPr>
                <w:rFonts w:hint="eastAsia" w:ascii="Times New Roman" w:hAnsi="Times New Roman" w:eastAsia="宋体" w:cs="Times New Roman"/>
                <w:b/>
                <w:bCs/>
                <w:color w:val="000000" w:themeColor="text1"/>
                <w:kern w:val="0"/>
                <w:sz w:val="24"/>
                <w:highlight w:val="none"/>
                <w:lang w:val="en-US" w:eastAsia="zh-CN"/>
                <w14:textFill>
                  <w14:solidFill>
                    <w14:schemeClr w14:val="tx1"/>
                  </w14:solidFill>
                </w14:textFill>
              </w:rPr>
              <w:t>相符性</w:t>
            </w:r>
          </w:p>
          <w:p w14:paraId="002370F2">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广东省生态环境保护“十四五”规划》要求：新建高能耗项目单位产品（产值）能耗达到国际国内先进水平。大力推进低VOCs含量原辅材料源头替代，严格落实国家和地方产品VOCs含量限值质量标准，禁止建设生产和使用高VOCs含量的溶剂型涂料、油墨、胶粘剂等项目。强化对企业涉VOCs生产车间/工序废气的收集管理，推动企业开展治理设施升级改造。</w:t>
            </w:r>
          </w:p>
          <w:p w14:paraId="28756D26">
            <w:pPr>
              <w:pStyle w:val="19"/>
              <w:ind w:firstLine="482"/>
              <w:rPr>
                <w:rFonts w:hint="eastAsia" w:eastAsia="宋体"/>
                <w:b w:val="0"/>
                <w:bCs w:val="0"/>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项目使用</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的</w:t>
            </w:r>
            <w:r>
              <w:rPr>
                <w:rFonts w:hint="eastAsia" w:cs="Times New Roman"/>
                <w:b w:val="0"/>
                <w:bCs w:val="0"/>
                <w:color w:val="000000" w:themeColor="text1"/>
                <w:kern w:val="0"/>
                <w:sz w:val="24"/>
                <w:highlight w:val="none"/>
                <w:lang w:val="en-US" w:eastAsia="zh-CN"/>
                <w14:textFill>
                  <w14:solidFill>
                    <w14:schemeClr w14:val="tx1"/>
                  </w14:solidFill>
                </w14:textFill>
              </w:rPr>
              <w:t>油漆符合《低挥发性有机化合物含量涂料产品技术要求》（GB/T38597-2020）溶剂型涂料-工业防护涂料-金属基层防腐涂料-单组分：≤500g/L限值要求，</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不属于</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高VOCs含量的溶剂型涂料。</w:t>
            </w:r>
            <w:r>
              <w:rPr>
                <w:rFonts w:hint="eastAsia" w:eastAsia="宋体"/>
                <w:b w:val="0"/>
                <w:bCs w:val="0"/>
                <w:color w:val="000000" w:themeColor="text1"/>
                <w:sz w:val="24"/>
                <w:highlight w:val="none"/>
                <w:lang w:val="en-US" w:eastAsia="zh-CN"/>
                <w14:textFill>
                  <w14:solidFill>
                    <w14:schemeClr w14:val="tx1"/>
                  </w14:solidFill>
                </w14:textFill>
              </w:rPr>
              <w:t>本项目</w:t>
            </w:r>
            <w:r>
              <w:rPr>
                <w:rFonts w:hint="eastAsia"/>
                <w:b w:val="0"/>
                <w:bCs w:val="0"/>
                <w:color w:val="000000" w:themeColor="text1"/>
                <w:sz w:val="24"/>
                <w:highlight w:val="none"/>
                <w:lang w:val="en-US" w:eastAsia="zh-CN"/>
                <w14:textFill>
                  <w14:solidFill>
                    <w14:schemeClr w14:val="tx1"/>
                  </w14:solidFill>
                </w14:textFill>
              </w:rPr>
              <w:t>需使用</w:t>
            </w:r>
            <w:r>
              <w:rPr>
                <w:rFonts w:hint="eastAsia" w:eastAsia="宋体"/>
                <w:b w:val="0"/>
                <w:bCs w:val="0"/>
                <w:color w:val="000000" w:themeColor="text1"/>
                <w:sz w:val="24"/>
                <w:highlight w:val="none"/>
                <w:lang w:val="en-US" w:eastAsia="zh-CN"/>
                <w14:textFill>
                  <w14:solidFill>
                    <w14:schemeClr w14:val="tx1"/>
                  </w14:solidFill>
                </w14:textFill>
              </w:rPr>
              <w:t>喷枪清洗剂，</w:t>
            </w:r>
            <w:r>
              <w:rPr>
                <w:rFonts w:hint="eastAsia"/>
                <w:b w:val="0"/>
                <w:bCs w:val="0"/>
                <w:color w:val="000000" w:themeColor="text1"/>
                <w:sz w:val="24"/>
                <w:highlight w:val="none"/>
                <w:lang w:val="en-US" w:eastAsia="zh-CN"/>
                <w14:textFill>
                  <w14:solidFill>
                    <w14:schemeClr w14:val="tx1"/>
                  </w14:solidFill>
                </w14:textFill>
              </w:rPr>
              <w:t>根据物料MSDS，主要成分为乙酸乙酯、乙酸正丁酯，不含苯、甲苯、乙苯、二甲苯、二氯甲烷、三氯甲烷、三氯乙烯、四氯乙烯和甲醛。清洗剂</w:t>
            </w:r>
            <w:r>
              <w:rPr>
                <w:rFonts w:hint="eastAsia" w:eastAsia="宋体"/>
                <w:b w:val="0"/>
                <w:bCs w:val="0"/>
                <w:color w:val="000000" w:themeColor="text1"/>
                <w:sz w:val="24"/>
                <w:highlight w:val="none"/>
                <w:lang w:val="en-US" w:eastAsia="zh-CN"/>
                <w14:textFill>
                  <w14:solidFill>
                    <w14:schemeClr w14:val="tx1"/>
                  </w14:solidFill>
                </w14:textFill>
              </w:rPr>
              <w:t>相对密度</w:t>
            </w:r>
            <w:r>
              <w:rPr>
                <w:rFonts w:hint="eastAsia"/>
                <w:b w:val="0"/>
                <w:bCs w:val="0"/>
                <w:color w:val="000000" w:themeColor="text1"/>
                <w:sz w:val="24"/>
                <w:highlight w:val="none"/>
                <w:lang w:val="en-US" w:eastAsia="zh-CN"/>
                <w14:textFill>
                  <w14:solidFill>
                    <w14:schemeClr w14:val="tx1"/>
                  </w14:solidFill>
                </w14:textFill>
              </w:rPr>
              <w:t>为0.828</w:t>
            </w:r>
            <w:r>
              <w:rPr>
                <w:rFonts w:hint="eastAsia" w:eastAsia="宋体"/>
                <w:b w:val="0"/>
                <w:bCs w:val="0"/>
                <w:color w:val="000000" w:themeColor="text1"/>
                <w:sz w:val="24"/>
                <w:highlight w:val="none"/>
                <w:lang w:val="en-US" w:eastAsia="zh-CN"/>
                <w14:textFill>
                  <w14:solidFill>
                    <w14:schemeClr w14:val="tx1"/>
                  </w14:solidFill>
                </w14:textFill>
              </w:rPr>
              <w:t>；按其有机物组分 100%挥发计算， VOC 含量约</w:t>
            </w:r>
            <w:r>
              <w:rPr>
                <w:rFonts w:hint="eastAsia"/>
                <w:b w:val="0"/>
                <w:bCs w:val="0"/>
                <w:color w:val="000000" w:themeColor="text1"/>
                <w:sz w:val="24"/>
                <w:highlight w:val="none"/>
                <w:lang w:val="en-US" w:eastAsia="zh-CN"/>
                <w14:textFill>
                  <w14:solidFill>
                    <w14:schemeClr w14:val="tx1"/>
                  </w14:solidFill>
                </w14:textFill>
              </w:rPr>
              <w:t>为828</w:t>
            </w:r>
            <w:r>
              <w:rPr>
                <w:rFonts w:hint="eastAsia" w:eastAsia="宋体"/>
                <w:b w:val="0"/>
                <w:bCs w:val="0"/>
                <w:color w:val="000000" w:themeColor="text1"/>
                <w:sz w:val="24"/>
                <w:highlight w:val="none"/>
                <w:lang w:val="en-US" w:eastAsia="zh-CN"/>
                <w14:textFill>
                  <w14:solidFill>
                    <w14:schemeClr w14:val="tx1"/>
                  </w14:solidFill>
                </w14:textFill>
              </w:rPr>
              <w:t>g/L</w:t>
            </w:r>
            <w:r>
              <w:rPr>
                <w:rFonts w:hint="eastAsia"/>
                <w:b w:val="0"/>
                <w:bCs w:val="0"/>
                <w:color w:val="000000" w:themeColor="text1"/>
                <w:sz w:val="24"/>
                <w:highlight w:val="none"/>
                <w:lang w:val="en-US" w:eastAsia="zh-CN"/>
                <w14:textFill>
                  <w14:solidFill>
                    <w14:schemeClr w14:val="tx1"/>
                  </w14:solidFill>
                </w14:textFill>
              </w:rPr>
              <w:t>，</w:t>
            </w:r>
            <w:r>
              <w:rPr>
                <w:rFonts w:hint="eastAsia" w:eastAsia="宋体"/>
                <w:b w:val="0"/>
                <w:bCs w:val="0"/>
                <w:color w:val="000000" w:themeColor="text1"/>
                <w:sz w:val="24"/>
                <w:highlight w:val="none"/>
                <w:lang w:val="en-US" w:eastAsia="zh-CN"/>
                <w14:textFill>
                  <w14:solidFill>
                    <w14:schemeClr w14:val="tx1"/>
                  </w14:solidFill>
                </w14:textFill>
              </w:rPr>
              <w:t>可以满足《清洗剂挥发性有机化合物含量限值》（GB38508-2020）中有机溶剂清洗剂 VOC 含量限值（≤ 900g/L）</w:t>
            </w:r>
            <w:r>
              <w:rPr>
                <w:rFonts w:hint="eastAsia"/>
                <w:b w:val="0"/>
                <w:bCs w:val="0"/>
                <w:color w:val="000000" w:themeColor="text1"/>
                <w:sz w:val="24"/>
                <w:highlight w:val="none"/>
                <w:lang w:val="en-US" w:eastAsia="zh-CN"/>
                <w14:textFill>
                  <w14:solidFill>
                    <w14:schemeClr w14:val="tx1"/>
                  </w14:solidFill>
                </w14:textFill>
              </w:rPr>
              <w:t>等相关</w:t>
            </w:r>
            <w:r>
              <w:rPr>
                <w:rFonts w:hint="eastAsia" w:eastAsia="宋体"/>
                <w:b w:val="0"/>
                <w:bCs w:val="0"/>
                <w:color w:val="000000" w:themeColor="text1"/>
                <w:sz w:val="24"/>
                <w:highlight w:val="none"/>
                <w:lang w:val="en-US" w:eastAsia="zh-CN"/>
                <w14:textFill>
                  <w14:solidFill>
                    <w14:schemeClr w14:val="tx1"/>
                  </w14:solidFill>
                </w14:textFill>
              </w:rPr>
              <w:t>要求。</w:t>
            </w:r>
          </w:p>
          <w:p w14:paraId="684FA9AC">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eastAsia" w:cs="Times New Roman"/>
                <w:b w:val="0"/>
                <w:bCs w:val="0"/>
                <w:color w:val="000000" w:themeColor="text1"/>
                <w:kern w:val="0"/>
                <w:sz w:val="24"/>
                <w:highlight w:val="none"/>
                <w:lang w:val="en-US" w:eastAsia="zh-CN"/>
                <w14:textFill>
                  <w14:solidFill>
                    <w14:schemeClr w14:val="tx1"/>
                  </w14:solidFill>
                </w14:textFill>
              </w:rPr>
              <w:t>固化</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工序采用天然气加热，产生的污染物主要有</w:t>
            </w:r>
            <w:r>
              <w:rPr>
                <w:rFonts w:hint="eastAsia" w:cs="Times New Roman"/>
                <w:b w:val="0"/>
                <w:bCs w:val="0"/>
                <w:color w:val="000000" w:themeColor="text1"/>
                <w:kern w:val="0"/>
                <w:sz w:val="24"/>
                <w:highlight w:val="none"/>
                <w:lang w:val="en-US" w:eastAsia="zh-CN"/>
                <w14:textFill>
                  <w14:solidFill>
                    <w14:schemeClr w14:val="tx1"/>
                  </w14:solidFill>
                </w14:textFill>
              </w:rPr>
              <w:t>非甲烷总烃、苯系物、臭气浓度、</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颗粒物、二氧化硫、氮氧化物。</w:t>
            </w:r>
            <w:r>
              <w:rPr>
                <w:rFonts w:hint="eastAsia" w:cs="Times New Roman"/>
                <w:b w:val="0"/>
                <w:bCs w:val="0"/>
                <w:color w:val="000000" w:themeColor="text1"/>
                <w:kern w:val="0"/>
                <w:sz w:val="24"/>
                <w:highlight w:val="none"/>
                <w:lang w:val="en-US" w:eastAsia="zh-CN"/>
                <w14:textFill>
                  <w14:solidFill>
                    <w14:schemeClr w14:val="tx1"/>
                  </w14:solidFill>
                </w14:textFill>
              </w:rPr>
              <w:t>非甲烷总烃、</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氮氧化物等量替代，</w:t>
            </w:r>
            <w:r>
              <w:rPr>
                <w:rFonts w:hint="eastAsia" w:cs="Times New Roman"/>
                <w:b w:val="0"/>
                <w:bCs w:val="0"/>
                <w:color w:val="000000" w:themeColor="text1"/>
                <w:kern w:val="0"/>
                <w:sz w:val="24"/>
                <w:highlight w:val="none"/>
                <w:lang w:val="en-US" w:eastAsia="zh-CN"/>
                <w14:textFill>
                  <w14:solidFill>
                    <w14:schemeClr w14:val="tx1"/>
                  </w14:solidFill>
                </w14:textFill>
              </w:rPr>
              <w:t>喷漆废气通过喷淋+干式过滤器+活性炭吸脱附+催化燃烧+活性炭吸附处理后，引至15m高的排气筒（DA001）排放；固化废气通过喷淋+干式过滤器+二级活性炭吸附处理后，引至15m高的排气筒（DA002）排放</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w:t>
            </w:r>
          </w:p>
          <w:p w14:paraId="35585BF1">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综上所述，本项目与《关于印发</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广东省生态环境保护“十四五”规划</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〉的通知》</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（粤环〔2021〕10号）相符。</w:t>
            </w:r>
          </w:p>
          <w:p w14:paraId="0E77C60F">
            <w:pPr>
              <w:spacing w:line="360" w:lineRule="auto"/>
              <w:ind w:firstLine="482" w:firstLineChars="200"/>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4"/>
                <w:highlight w:val="none"/>
                <w:lang w:val="en-US" w:eastAsia="zh-CN"/>
                <w14:textFill>
                  <w14:solidFill>
                    <w14:schemeClr w14:val="tx1"/>
                  </w14:solidFill>
                </w14:textFill>
              </w:rPr>
              <w:t>8</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w:t>
            </w:r>
            <w:r>
              <w:rPr>
                <w:rFonts w:hint="eastAsia" w:ascii="Times New Roman" w:hAnsi="Times New Roman" w:eastAsia="宋体" w:cs="Times New Roman"/>
                <w:b/>
                <w:bCs/>
                <w:color w:val="000000" w:themeColor="text1"/>
                <w:kern w:val="0"/>
                <w:sz w:val="24"/>
                <w:highlight w:val="none"/>
                <w:lang w:val="en-US" w:eastAsia="zh-CN"/>
                <w14:textFill>
                  <w14:solidFill>
                    <w14:schemeClr w14:val="tx1"/>
                  </w14:solidFill>
                </w14:textFill>
              </w:rPr>
              <w:t>与</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《韶关市人民政府办公室关于印发</w:t>
            </w:r>
            <w:r>
              <w:rPr>
                <w:rFonts w:hint="eastAsia" w:ascii="Times New Roman" w:hAnsi="Times New Roman" w:eastAsia="宋体" w:cs="Times New Roman"/>
                <w:b/>
                <w:bCs/>
                <w:color w:val="000000" w:themeColor="text1"/>
                <w:kern w:val="0"/>
                <w:sz w:val="24"/>
                <w:highlight w:val="none"/>
                <w:lang w:val="en-US" w:eastAsia="zh-CN"/>
                <w14:textFill>
                  <w14:solidFill>
                    <w14:schemeClr w14:val="tx1"/>
                  </w14:solidFill>
                </w14:textFill>
              </w:rPr>
              <w:t>〈</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韶关市生态环境保护“十四五”规划</w:t>
            </w:r>
            <w:r>
              <w:rPr>
                <w:rFonts w:hint="eastAsia" w:ascii="Times New Roman" w:hAnsi="Times New Roman" w:eastAsia="宋体" w:cs="Times New Roman"/>
                <w:b/>
                <w:bCs/>
                <w:color w:val="000000" w:themeColor="text1"/>
                <w:kern w:val="0"/>
                <w:sz w:val="24"/>
                <w:highlight w:val="none"/>
                <w:lang w:val="en-US" w:eastAsia="zh-CN"/>
                <w14:textFill>
                  <w14:solidFill>
                    <w14:schemeClr w14:val="tx1"/>
                  </w14:solidFill>
                </w14:textFill>
              </w:rPr>
              <w:t>〉的通知》</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（韶府办〔2022〕1号）</w:t>
            </w:r>
            <w:r>
              <w:rPr>
                <w:rFonts w:hint="eastAsia" w:ascii="Times New Roman" w:hAnsi="Times New Roman" w:eastAsia="宋体" w:cs="Times New Roman"/>
                <w:b/>
                <w:bCs/>
                <w:color w:val="000000" w:themeColor="text1"/>
                <w:kern w:val="0"/>
                <w:sz w:val="24"/>
                <w:highlight w:val="none"/>
                <w:lang w:val="en-US" w:eastAsia="zh-CN"/>
                <w14:textFill>
                  <w14:solidFill>
                    <w14:schemeClr w14:val="tx1"/>
                  </w14:solidFill>
                </w14:textFill>
              </w:rPr>
              <w:t>相符性</w:t>
            </w:r>
          </w:p>
          <w:p w14:paraId="1F98F474">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文件要求：深化工业源污染治理。以挥发性有机物、工业炉窑和锅炉综合治理为重点，深化工业源污染防治，健全分级管控体系，提升重点行业企业深度治理水平。深化工业炉窑和锅炉排放治理。加大工业锅炉整治力度，禁止新建35蒸吨/小时以下燃煤锅炉；推进陶瓷等行业实施深度治理，持续开展生物质成型燃料锅炉整治，推动实施燃气锅炉低氮燃烧改造。严格实施工业炉窑分级管控，全面推动B级以下工业炉窑的清洁低碳化改造、废气治理设施升级改造、全过程无组织排放管控。</w:t>
            </w:r>
          </w:p>
          <w:p w14:paraId="77213523">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项目不涉及锅炉。</w:t>
            </w:r>
            <w:r>
              <w:rPr>
                <w:rFonts w:hint="eastAsia" w:cs="Times New Roman"/>
                <w:b w:val="0"/>
                <w:bCs w:val="0"/>
                <w:color w:val="000000" w:themeColor="text1"/>
                <w:kern w:val="0"/>
                <w:sz w:val="24"/>
                <w:highlight w:val="none"/>
                <w:lang w:val="en-US" w:eastAsia="zh-CN"/>
                <w14:textFill>
                  <w14:solidFill>
                    <w14:schemeClr w14:val="tx1"/>
                  </w14:solidFill>
                </w14:textFill>
              </w:rPr>
              <w:t>固化</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工序采用天然气</w:t>
            </w:r>
            <w:r>
              <w:rPr>
                <w:rFonts w:hint="eastAsia" w:cs="Times New Roman"/>
                <w:b w:val="0"/>
                <w:bCs w:val="0"/>
                <w:color w:val="000000" w:themeColor="text1"/>
                <w:kern w:val="0"/>
                <w:sz w:val="24"/>
                <w:highlight w:val="none"/>
                <w:lang w:val="en-US" w:eastAsia="zh-CN"/>
                <w14:textFill>
                  <w14:solidFill>
                    <w14:schemeClr w14:val="tx1"/>
                  </w14:solidFill>
                </w14:textFill>
              </w:rPr>
              <w:t>燃料</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，产生的污染物主要有颗粒物、二氧化硫、氮氧化物。燃烧废气收集后经15m高排气筒</w:t>
            </w:r>
            <w:r>
              <w:rPr>
                <w:rFonts w:hint="eastAsia" w:cs="Times New Roman"/>
                <w:b w:val="0"/>
                <w:bCs w:val="0"/>
                <w:color w:val="000000" w:themeColor="text1"/>
                <w:kern w:val="0"/>
                <w:sz w:val="24"/>
                <w:highlight w:val="none"/>
                <w:lang w:val="en-US" w:eastAsia="zh-CN"/>
                <w14:textFill>
                  <w14:solidFill>
                    <w14:schemeClr w14:val="tx1"/>
                  </w14:solidFill>
                </w14:textFill>
              </w:rPr>
              <w:t>DA002</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高空排放。本项目产生的工业固体废物均得到妥善处置。故本项目与韶关市人民政府办公室《关于印发</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韶关市生态环境保护“十四五”规划</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〉的通知》</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（韶府办〔2022〕1号）相符。</w:t>
            </w:r>
          </w:p>
          <w:p w14:paraId="497C0737">
            <w:pPr>
              <w:spacing w:line="360" w:lineRule="auto"/>
              <w:ind w:firstLine="482" w:firstLineChars="200"/>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pPr>
            <w:r>
              <w:rPr>
                <w:rFonts w:hint="eastAsia" w:cs="Times New Roman"/>
                <w:b/>
                <w:bCs/>
                <w:color w:val="000000" w:themeColor="text1"/>
                <w:kern w:val="0"/>
                <w:sz w:val="24"/>
                <w:highlight w:val="none"/>
                <w:lang w:val="en-US" w:eastAsia="zh-CN"/>
                <w14:textFill>
                  <w14:solidFill>
                    <w14:schemeClr w14:val="tx1"/>
                  </w14:solidFill>
                </w14:textFill>
              </w:rPr>
              <w:t>9</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w:t>
            </w:r>
            <w:r>
              <w:rPr>
                <w:rFonts w:hint="eastAsia" w:ascii="Times New Roman" w:hAnsi="Times New Roman" w:eastAsia="宋体" w:cs="Times New Roman"/>
                <w:b/>
                <w:bCs/>
                <w:color w:val="000000" w:themeColor="text1"/>
                <w:kern w:val="0"/>
                <w:sz w:val="24"/>
                <w:highlight w:val="none"/>
                <w:lang w:val="en-US" w:eastAsia="zh-CN"/>
                <w14:textFill>
                  <w14:solidFill>
                    <w14:schemeClr w14:val="tx1"/>
                  </w14:solidFill>
                </w14:textFill>
              </w:rPr>
              <w:t>与</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《乐昌市人民政府办公室关于印发</w:t>
            </w:r>
            <w:r>
              <w:rPr>
                <w:rFonts w:hint="eastAsia" w:ascii="Times New Roman" w:hAnsi="Times New Roman" w:eastAsia="宋体" w:cs="Times New Roman"/>
                <w:b/>
                <w:bCs/>
                <w:color w:val="000000" w:themeColor="text1"/>
                <w:kern w:val="0"/>
                <w:sz w:val="24"/>
                <w:highlight w:val="none"/>
                <w:lang w:val="en-US" w:eastAsia="zh-CN"/>
                <w14:textFill>
                  <w14:solidFill>
                    <w14:schemeClr w14:val="tx1"/>
                  </w14:solidFill>
                </w14:textFill>
              </w:rPr>
              <w:t>〈</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乐昌市生态环境保护“十四五”规划</w:t>
            </w:r>
            <w:r>
              <w:rPr>
                <w:rFonts w:hint="eastAsia" w:cs="Times New Roman"/>
                <w:b/>
                <w:bCs/>
                <w:color w:val="000000" w:themeColor="text1"/>
                <w:kern w:val="0"/>
                <w:sz w:val="24"/>
                <w:highlight w:val="none"/>
                <w:lang w:val="en-US" w:eastAsia="zh-CN"/>
                <w14:textFill>
                  <w14:solidFill>
                    <w14:schemeClr w14:val="tx1"/>
                  </w14:solidFill>
                </w14:textFill>
              </w:rPr>
              <w:t>&gt;</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的通知》（乐府办〔2022〕16号）</w:t>
            </w:r>
            <w:r>
              <w:rPr>
                <w:rFonts w:hint="eastAsia" w:ascii="Times New Roman" w:hAnsi="Times New Roman" w:eastAsia="宋体" w:cs="Times New Roman"/>
                <w:b/>
                <w:bCs/>
                <w:color w:val="000000" w:themeColor="text1"/>
                <w:kern w:val="0"/>
                <w:sz w:val="24"/>
                <w:highlight w:val="none"/>
                <w:lang w:val="en-US" w:eastAsia="zh-CN"/>
                <w14:textFill>
                  <w14:solidFill>
                    <w14:schemeClr w14:val="tx1"/>
                  </w14:solidFill>
                </w14:textFill>
              </w:rPr>
              <w:t>相符性</w:t>
            </w:r>
          </w:p>
          <w:p w14:paraId="35CE9F32">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深化重点污染源治理，推进污染物减排。在水泥、化工、火电等行业全面执行大气污染物特别排放限值。逐步推进水泥行业实施超低排放改造，力争到2025年全市水泥（熟料）制造企业的水泥窑及窑尾余热利用系统烟气NOx排放浓度不高于100mg/m</w:t>
            </w:r>
            <w:r>
              <w:rPr>
                <w:rFonts w:hint="default" w:ascii="Times New Roman" w:hAnsi="Times New Roman" w:eastAsia="宋体" w:cs="Times New Roman"/>
                <w:b w:val="0"/>
                <w:bCs w:val="0"/>
                <w:color w:val="000000" w:themeColor="text1"/>
                <w:kern w:val="0"/>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。持续开展生物质成型燃料锅炉整治，推动实施燃气锅炉低氮燃烧改造。严格实施工业炉窑分级管控，全面推动B级以下企业工业炉窑的燃料清洁低碳化替代、废气治理设施升级改造、全过程无组织排放管控。</w:t>
            </w:r>
          </w:p>
          <w:p w14:paraId="42575D7D">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项目不涉及锅炉。工业炉窑</w:t>
            </w:r>
            <w:r>
              <w:rPr>
                <w:rFonts w:hint="eastAsia" w:cs="Times New Roman"/>
                <w:b w:val="0"/>
                <w:bCs w:val="0"/>
                <w:color w:val="000000" w:themeColor="text1"/>
                <w:kern w:val="0"/>
                <w:sz w:val="24"/>
                <w:highlight w:val="none"/>
                <w:lang w:val="en-US" w:eastAsia="zh-CN"/>
                <w14:textFill>
                  <w14:solidFill>
                    <w14:schemeClr w14:val="tx1"/>
                  </w14:solidFill>
                </w14:textFill>
              </w:rPr>
              <w:t>固化</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工序采用天然气加热，产生的污染物主要有颗粒物、二氧化硫、氮氧化物。燃烧废气收集后经排气筒</w:t>
            </w:r>
            <w:r>
              <w:rPr>
                <w:rFonts w:hint="eastAsia" w:cs="Times New Roman"/>
                <w:b w:val="0"/>
                <w:bCs w:val="0"/>
                <w:color w:val="000000" w:themeColor="text1"/>
                <w:kern w:val="0"/>
                <w:sz w:val="24"/>
                <w:highlight w:val="none"/>
                <w:lang w:val="en-US" w:eastAsia="zh-CN"/>
                <w14:textFill>
                  <w14:solidFill>
                    <w14:schemeClr w14:val="tx1"/>
                  </w14:solidFill>
                </w14:textFill>
              </w:rPr>
              <w:t>DA002</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高空排放。故本项目与乐昌市人民政府办公室《关于印发</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乐昌市生态环境保护“十四五”规划的通知》（乐府办〔2022〕16号）相符。</w:t>
            </w:r>
          </w:p>
          <w:p w14:paraId="7D41F57A">
            <w:pPr>
              <w:spacing w:line="360" w:lineRule="auto"/>
              <w:ind w:firstLine="482" w:firstLineChars="200"/>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pPr>
            <w:r>
              <w:rPr>
                <w:rFonts w:hint="eastAsia" w:cs="Times New Roman"/>
                <w:b/>
                <w:bCs/>
                <w:color w:val="000000" w:themeColor="text1"/>
                <w:kern w:val="0"/>
                <w:sz w:val="24"/>
                <w:highlight w:val="none"/>
                <w:lang w:val="en-US" w:eastAsia="zh-CN"/>
                <w14:textFill>
                  <w14:solidFill>
                    <w14:schemeClr w14:val="tx1"/>
                  </w14:solidFill>
                </w14:textFill>
              </w:rPr>
              <w:t>10</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w:t>
            </w:r>
            <w:r>
              <w:rPr>
                <w:rFonts w:hint="eastAsia" w:cs="Times New Roman"/>
                <w:b/>
                <w:bCs/>
                <w:color w:val="000000" w:themeColor="text1"/>
                <w:kern w:val="0"/>
                <w:sz w:val="24"/>
                <w:highlight w:val="none"/>
                <w:lang w:val="en-US" w:eastAsia="zh-CN"/>
                <w14:textFill>
                  <w14:solidFill>
                    <w14:schemeClr w14:val="tx1"/>
                  </w14:solidFill>
                </w14:textFill>
              </w:rPr>
              <w:t>与</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环境保护部《关于印发</w:t>
            </w:r>
            <w:r>
              <w:rPr>
                <w:rFonts w:hint="eastAsia" w:ascii="Times New Roman" w:hAnsi="Times New Roman" w:eastAsia="宋体" w:cs="Times New Roman"/>
                <w:b/>
                <w:bCs/>
                <w:color w:val="000000" w:themeColor="text1"/>
                <w:kern w:val="0"/>
                <w:sz w:val="24"/>
                <w:highlight w:val="none"/>
                <w:lang w:val="en-US" w:eastAsia="zh-CN"/>
                <w14:textFill>
                  <w14:solidFill>
                    <w14:schemeClr w14:val="tx1"/>
                  </w14:solidFill>
                </w14:textFill>
              </w:rPr>
              <w:t>〈</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重点行业挥发性有机物综合治理方案</w:t>
            </w:r>
            <w:r>
              <w:rPr>
                <w:rFonts w:hint="eastAsia" w:ascii="Times New Roman" w:hAnsi="Times New Roman" w:eastAsia="宋体" w:cs="Times New Roman"/>
                <w:b/>
                <w:bCs/>
                <w:color w:val="000000" w:themeColor="text1"/>
                <w:kern w:val="0"/>
                <w:sz w:val="24"/>
                <w:highlight w:val="none"/>
                <w:lang w:val="en-US" w:eastAsia="zh-CN"/>
                <w14:textFill>
                  <w14:solidFill>
                    <w14:schemeClr w14:val="tx1"/>
                  </w14:solidFill>
                </w14:textFill>
              </w:rPr>
              <w:t>〉的通知》</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（环大气〔2019〕53号）</w:t>
            </w:r>
            <w:r>
              <w:rPr>
                <w:rFonts w:hint="eastAsia" w:cs="Times New Roman"/>
                <w:b/>
                <w:bCs/>
                <w:color w:val="000000" w:themeColor="text1"/>
                <w:kern w:val="0"/>
                <w:sz w:val="24"/>
                <w:highlight w:val="none"/>
                <w:lang w:val="en-US" w:eastAsia="zh-CN"/>
                <w14:textFill>
                  <w14:solidFill>
                    <w14:schemeClr w14:val="tx1"/>
                  </w14:solidFill>
                </w14:textFill>
              </w:rPr>
              <w:t>相符性</w:t>
            </w:r>
          </w:p>
          <w:p w14:paraId="446DBFF0">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文件中提出：“大力推进源头替代。化工行业要推广使用低（无）VOCs含量、低反应活性的原辅材料。全面加强无组织排放控制。重点对含VOCs物料（包括含VOCs原辅材料、含VOCs产品、含VOCs废料以及有机聚合物材料等）储存、转移和输送、设备与管线组件泄漏、敞开液面逸散以及工艺过程等五类排放源实施管控，通过采取设备与场所密闭、工艺改进、废气有效收集等措施，削减VOCs无组织排放。推进建设适宜高效的治污设施。”</w:t>
            </w:r>
          </w:p>
          <w:p w14:paraId="151C3D5D">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本项目</w:t>
            </w:r>
            <w:r>
              <w:rPr>
                <w:rFonts w:hint="eastAsia" w:cs="Times New Roman"/>
                <w:b w:val="0"/>
                <w:bCs w:val="0"/>
                <w:color w:val="000000" w:themeColor="text1"/>
                <w:kern w:val="0"/>
                <w:sz w:val="24"/>
                <w:highlight w:val="none"/>
                <w:lang w:val="en-US" w:eastAsia="zh-CN"/>
                <w14:textFill>
                  <w14:solidFill>
                    <w14:schemeClr w14:val="tx1"/>
                  </w14:solidFill>
                </w14:textFill>
              </w:rPr>
              <w:t>所用涉VOCs的</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原料</w:t>
            </w:r>
            <w:r>
              <w:rPr>
                <w:rFonts w:hint="eastAsia" w:cs="Times New Roman"/>
                <w:b w:val="0"/>
                <w:bCs w:val="0"/>
                <w:color w:val="000000" w:themeColor="text1"/>
                <w:kern w:val="0"/>
                <w:sz w:val="24"/>
                <w:highlight w:val="none"/>
                <w:lang w:val="en-US" w:eastAsia="zh-CN"/>
                <w14:textFill>
                  <w14:solidFill>
                    <w14:schemeClr w14:val="tx1"/>
                  </w14:solidFill>
                </w14:textFill>
              </w:rPr>
              <w:t>为低</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VOCs</w:t>
            </w:r>
            <w:r>
              <w:rPr>
                <w:rFonts w:hint="eastAsia" w:cs="Times New Roman"/>
                <w:b w:val="0"/>
                <w:bCs w:val="0"/>
                <w:color w:val="000000" w:themeColor="text1"/>
                <w:kern w:val="0"/>
                <w:sz w:val="24"/>
                <w:highlight w:val="none"/>
                <w:lang w:val="en-US" w:eastAsia="zh-CN"/>
                <w14:textFill>
                  <w14:solidFill>
                    <w14:schemeClr w14:val="tx1"/>
                  </w14:solidFill>
                </w14:textFill>
              </w:rPr>
              <w:t>含量</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物料，可从源头有效控制VOCs排放，</w:t>
            </w:r>
            <w:r>
              <w:rPr>
                <w:rFonts w:hint="eastAsia" w:cs="Times New Roman"/>
                <w:b w:val="0"/>
                <w:bCs w:val="0"/>
                <w:color w:val="000000" w:themeColor="text1"/>
                <w:kern w:val="0"/>
                <w:sz w:val="24"/>
                <w:highlight w:val="none"/>
                <w:lang w:val="en-US" w:eastAsia="zh-CN"/>
                <w14:textFill>
                  <w14:solidFill>
                    <w14:schemeClr w14:val="tx1"/>
                  </w14:solidFill>
                </w14:textFill>
              </w:rPr>
              <w:t>固化工序</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采用天然气加热，产生的污染物主要有颗粒物、二氧化硫、氮氧化物，收集后经排气筒</w:t>
            </w:r>
            <w:r>
              <w:rPr>
                <w:rFonts w:hint="eastAsia" w:cs="Times New Roman"/>
                <w:b w:val="0"/>
                <w:bCs w:val="0"/>
                <w:color w:val="000000" w:themeColor="text1"/>
                <w:kern w:val="0"/>
                <w:sz w:val="24"/>
                <w:highlight w:val="none"/>
                <w:lang w:val="en-US" w:eastAsia="zh-CN"/>
                <w14:textFill>
                  <w14:solidFill>
                    <w14:schemeClr w14:val="tx1"/>
                  </w14:solidFill>
                </w14:textFill>
              </w:rPr>
              <w:t>DA002</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高空排放。综上，本项目与环境保护部《关于印发</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重点行业挥发性有机物综合治理方案</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〉的通知》</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（环大气〔2019〕53号）相符。</w:t>
            </w:r>
          </w:p>
          <w:p w14:paraId="6F7B4F9F">
            <w:pPr>
              <w:spacing w:line="360" w:lineRule="auto"/>
              <w:ind w:firstLine="482" w:firstLineChars="200"/>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4"/>
                <w:highlight w:val="none"/>
                <w:lang w:val="en-US" w:eastAsia="zh-CN"/>
                <w14:textFill>
                  <w14:solidFill>
                    <w14:schemeClr w14:val="tx1"/>
                  </w14:solidFill>
                </w14:textFill>
              </w:rPr>
              <w:t>1</w:t>
            </w:r>
            <w:r>
              <w:rPr>
                <w:rFonts w:hint="eastAsia" w:cs="Times New Roman"/>
                <w:b/>
                <w:bCs/>
                <w:color w:val="000000" w:themeColor="text1"/>
                <w:kern w:val="0"/>
                <w:sz w:val="24"/>
                <w:highlight w:val="none"/>
                <w:lang w:val="en-US" w:eastAsia="zh-CN"/>
                <w14:textFill>
                  <w14:solidFill>
                    <w14:schemeClr w14:val="tx1"/>
                  </w14:solidFill>
                </w14:textFill>
              </w:rPr>
              <w:t>1</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、与《广东省2023年土壤与地下水污染防治工作方案》（粤环〔2023〕3号）的相符性</w:t>
            </w:r>
          </w:p>
          <w:p w14:paraId="3218A8B6">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方案要求：</w:t>
            </w:r>
          </w:p>
          <w:p w14:paraId="20B641B2">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三、系统推进土壤污染源头防控</w:t>
            </w:r>
          </w:p>
          <w:p w14:paraId="36BCEEF8">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一）加强涉重金属行业污染防控。深化涉镉等重点行业企业污染源排查整治，动态更新污染源排查整治清单。韶关、阳江、清远市要督促有关涉重金属污染物排放企业严格执行特别排放限值相关规定。2023年底前，各地要督促纳入大气环境重点排污单位名录的涉镉等重金属排放企业实现大气污染物中的颗粒物自动监测、监控设备联网。（省生态环境厅牵头，省自然资源厅等按职责分工负责）</w:t>
            </w:r>
          </w:p>
          <w:p w14:paraId="70311D93">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二）严格监管土壤污染重点监管单位。更新并公布土壤污染重点监管单位名录，督促重点监管单位落实法定义务，原则上新纳入的重点监管单位应在当年完成隐患排查，所有重点监管单位完成一轮土壤和地下水自行监测。各地级以上市要组织对重点监管单位开展周边监测，完成比例不低于40%；督促50%已开展隐患排查的重点监管单位开展隐患排查“回头看”。省市两级对“回头看”工作开展质量控制抽查，省级抽查比例不低于10%，市级抽查比例不低于20%（省生态环境厅负责）。</w:t>
            </w:r>
          </w:p>
          <w:p w14:paraId="22EC179B">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六、有序推进地下水污染防治</w:t>
            </w:r>
          </w:p>
          <w:p w14:paraId="4359EDDE">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一）加强地下水环境质量目标管理和分区管理。各地级以上市加快印发并实施“十四五”国家地下水环境质量考核点位水质达标保持方案，省生态环境厅定期组织对各地级以上市达标保持方案重点工作实施情况开展评估。湛江等市开展地下水国考点位、地下水型农村“千吨万人”饮用水源环境背景值调查研究。实施地下水环境分区管理、分级防治，完成珠三角整体区域及佛山、韶关、河源、东莞、湛江、云浮等市地下水污染防治重点区划定工作。（省生态环境厅牵头，省发展改革委、自然资源厅、水利厅、地质局等按职责分工负责）</w:t>
            </w:r>
          </w:p>
          <w:p w14:paraId="11A5585D">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 xml:space="preserve">（三）加强地下水污染防治重点排污单位管理。各地级以上市建立并公布地下水污染防治重点排污单位名录，参照生态环境 </w:t>
            </w:r>
          </w:p>
          <w:p w14:paraId="7615557C">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部制定的重点监管单位土壤污染隐患排查技术指南、地下水污染源防渗技术指南等，指导重点排污单位开展地下水污染渗漏排查，存在问题的单位应开展防渗改造。（省生态环境厅牵头，省住房城乡建设厅等按职责分工负责）</w:t>
            </w:r>
          </w:p>
          <w:p w14:paraId="4FA0CD90">
            <w:pPr>
              <w:spacing w:line="360" w:lineRule="auto"/>
              <w:ind w:firstLine="482"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相符性分析：</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本项目生产运营过程不涉及重金属排放，生产废水经自建污水处理站处理后排入园区污水处理厂；生活污水经三级化粪池+隔油隔渣池处理后排入园区污水处理厂。项目对危废仓进行防渗漏、防扬散、防流失等措施，防止危险废物暂存过程对土壤环境造成影响。因此，项目的建设符合《广东省2023年土壤与地下水污染防治工作方案》的相关要求。</w:t>
            </w:r>
          </w:p>
          <w:p w14:paraId="02FD415A">
            <w:pPr>
              <w:spacing w:line="360" w:lineRule="auto"/>
              <w:ind w:firstLine="482" w:firstLineChars="200"/>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4"/>
                <w:highlight w:val="none"/>
                <w:lang w:val="en-US" w:eastAsia="zh-CN"/>
                <w14:textFill>
                  <w14:solidFill>
                    <w14:schemeClr w14:val="tx1"/>
                  </w14:solidFill>
                </w14:textFill>
              </w:rPr>
              <w:t>1</w:t>
            </w:r>
            <w:r>
              <w:rPr>
                <w:rFonts w:hint="eastAsia" w:cs="Times New Roman"/>
                <w:b/>
                <w:bCs/>
                <w:color w:val="000000" w:themeColor="text1"/>
                <w:kern w:val="0"/>
                <w:sz w:val="24"/>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、与《广东省生态环境厅关于2021年工业炉窑、锅炉综合整治重点工作的通知》（粤环函〔2021〕461号）相符性</w:t>
            </w:r>
          </w:p>
          <w:p w14:paraId="5E0D4FF9">
            <w:pPr>
              <w:spacing w:line="360" w:lineRule="auto"/>
              <w:ind w:firstLine="480" w:firstLineChars="200"/>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根据通知：珠三角各地应按照《广东省人民政府关于印发广东省“三线一单”生态环境分区管控方案的通知》：“一、推进钢铁行业超低排放改造；二、鼓励水泥行业超低排放改造；三、推进钢压延、铝型材行业清洁能源改造；四、收严燃气锅炉大气污染物排放标准；五、珠三角地区逐步淘汰生物质锅炉；六、动态更新工业炉窑综合整治清单；七、完成70%以上涉工业炉窑企业综合整治工作；八、公开综合整治相关信息；九、加强监督执法；十、做好企业整治提升资金保障。”</w:t>
            </w:r>
          </w:p>
          <w:p w14:paraId="5065167B">
            <w:pPr>
              <w:adjustRightInd w:val="0"/>
              <w:snapToGrid w:val="0"/>
              <w:spacing w:line="360" w:lineRule="auto"/>
              <w:ind w:firstLine="480" w:firstLineChars="200"/>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项目使用天然气作为</w:t>
            </w:r>
            <w:r>
              <w:rPr>
                <w:rFonts w:hint="eastAsia" w:cs="Times New Roman"/>
                <w:b w:val="0"/>
                <w:bCs w:val="0"/>
                <w:color w:val="000000" w:themeColor="text1"/>
                <w:kern w:val="0"/>
                <w:sz w:val="24"/>
                <w:highlight w:val="none"/>
                <w:lang w:val="en-US" w:eastAsia="zh-CN"/>
                <w14:textFill>
                  <w14:solidFill>
                    <w14:schemeClr w14:val="tx1"/>
                  </w14:solidFill>
                </w14:textFill>
              </w:rPr>
              <w:t>固化炉</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的燃料。</w:t>
            </w:r>
            <w:r>
              <w:rPr>
                <w:rFonts w:hint="eastAsia" w:cs="Times New Roman"/>
                <w:b w:val="0"/>
                <w:bCs w:val="0"/>
                <w:color w:val="000000" w:themeColor="text1"/>
                <w:kern w:val="0"/>
                <w:sz w:val="24"/>
                <w:highlight w:val="none"/>
                <w:lang w:val="en-US" w:eastAsia="zh-CN"/>
                <w14:textFill>
                  <w14:solidFill>
                    <w14:schemeClr w14:val="tx1"/>
                  </w14:solidFill>
                </w14:textFill>
              </w:rPr>
              <w:t>固化炉</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天然气燃烧排放的污染物为颗粒物、SO</w:t>
            </w:r>
            <w:r>
              <w:rPr>
                <w:rFonts w:hint="default" w:ascii="Times New Roman" w:hAnsi="Times New Roman" w:eastAsia="宋体" w:cs="Times New Roman"/>
                <w:b w:val="0"/>
                <w:bCs w:val="0"/>
                <w:color w:val="000000" w:themeColor="text1"/>
                <w:kern w:val="0"/>
                <w:sz w:val="24"/>
                <w:highlight w:val="none"/>
                <w:vertAlign w:val="subscript"/>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、NO</w:t>
            </w:r>
            <w:r>
              <w:rPr>
                <w:rFonts w:hint="eastAsia" w:ascii="Times New Roman" w:hAnsi="Times New Roman" w:eastAsia="宋体" w:cs="Times New Roman"/>
                <w:b w:val="0"/>
                <w:bCs w:val="0"/>
                <w:color w:val="000000" w:themeColor="text1"/>
                <w:kern w:val="0"/>
                <w:sz w:val="24"/>
                <w:highlight w:val="none"/>
                <w:vertAlign w:val="subscript"/>
                <w:lang w:val="en-US" w:eastAsia="zh-CN"/>
                <w14:textFill>
                  <w14:solidFill>
                    <w14:schemeClr w14:val="tx1"/>
                  </w14:solidFill>
                </w14:textFill>
              </w:rPr>
              <w:t>X</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。天然气燃烧废气排放根据《关于印发</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工业炉窑大气污染综合治理方案</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〉的通知》</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（环大气〔2019〕56号）和《关于贯彻落实</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工业炉窑大气污染物综合治理方案</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的实施意见》（粤环函〔2019〕1112号），废气按照颗粒物、二氧化硫、氮氧化物排放限值分别不高于30、200、300毫克/立方米控制要求。因此项目符合《广东省生态环境厅关于2021年工业炉窑、锅炉综合整治重点工作的通知》（粤环函〔2021〕461号）的相关要求。</w:t>
            </w: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 xml:space="preserve">  </w:t>
            </w:r>
          </w:p>
          <w:p w14:paraId="6CCD919F">
            <w:pPr>
              <w:adjustRightInd w:val="0"/>
              <w:snapToGrid w:val="0"/>
              <w:spacing w:line="360" w:lineRule="auto"/>
              <w:ind w:firstLine="480" w:firstLineChars="200"/>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p>
          <w:p w14:paraId="51D35B39">
            <w:pPr>
              <w:adjustRightInd w:val="0"/>
              <w:snapToGrid w:val="0"/>
              <w:spacing w:line="360" w:lineRule="auto"/>
              <w:ind w:firstLine="480" w:firstLineChars="200"/>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pPr>
          </w:p>
          <w:p w14:paraId="41A8F7B2">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4"/>
                <w:highlight w:val="none"/>
                <w:lang w:val="en-US" w:eastAsia="zh-CN"/>
                <w14:textFill>
                  <w14:solidFill>
                    <w14:schemeClr w14:val="tx1"/>
                  </w14:solidFill>
                </w14:textFill>
              </w:rPr>
              <w:t xml:space="preserve">       </w:t>
            </w:r>
          </w:p>
        </w:tc>
      </w:tr>
    </w:tbl>
    <w:p w14:paraId="294316D8">
      <w:pPr>
        <w:spacing w:line="360" w:lineRule="auto"/>
        <w:outlineLvl w:val="0"/>
        <w:rPr>
          <w:rFonts w:eastAsia="黑体"/>
          <w:color w:val="000000" w:themeColor="text1"/>
          <w:sz w:val="30"/>
          <w:highlight w:val="none"/>
          <w14:textFill>
            <w14:solidFill>
              <w14:schemeClr w14:val="tx1"/>
            </w14:solidFill>
          </w14:textFill>
        </w:rPr>
        <w:sectPr>
          <w:footerReference r:id="rId13"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19E428E4">
      <w:pPr>
        <w:pStyle w:val="41"/>
        <w:jc w:val="center"/>
        <w:outlineLvl w:val="0"/>
        <w:rPr>
          <w:rFonts w:ascii="黑体" w:hAnsi="黑体" w:eastAsia="黑体"/>
          <w:snapToGrid w:val="0"/>
          <w:color w:val="000000" w:themeColor="text1"/>
          <w:sz w:val="30"/>
          <w:szCs w:val="30"/>
          <w:highlight w:val="none"/>
          <w14:textFill>
            <w14:solidFill>
              <w14:schemeClr w14:val="tx1"/>
            </w14:solidFill>
          </w14:textFill>
        </w:rPr>
      </w:pPr>
      <w:bookmarkStart w:id="5" w:name="_Toc19853"/>
      <w:bookmarkStart w:id="6" w:name="_Toc26466"/>
      <w:bookmarkStart w:id="7" w:name="_Toc14029"/>
      <w:bookmarkStart w:id="8" w:name="_Toc14981"/>
      <w:r>
        <w:rPr>
          <w:rFonts w:hint="eastAsia" w:ascii="黑体" w:hAnsi="黑体" w:eastAsia="黑体"/>
          <w:snapToGrid w:val="0"/>
          <w:color w:val="000000" w:themeColor="text1"/>
          <w:sz w:val="30"/>
          <w:szCs w:val="30"/>
          <w:highlight w:val="none"/>
          <w14:textFill>
            <w14:solidFill>
              <w14:schemeClr w14:val="tx1"/>
            </w14:solidFill>
          </w14:textFill>
        </w:rPr>
        <w:t>二、建设项目工程分析</w:t>
      </w:r>
      <w:bookmarkEnd w:id="5"/>
      <w:bookmarkEnd w:id="6"/>
      <w:bookmarkEnd w:id="7"/>
      <w:bookmarkEnd w:id="8"/>
    </w:p>
    <w:tbl>
      <w:tblPr>
        <w:tblStyle w:val="4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2"/>
        <w:gridCol w:w="8608"/>
      </w:tblGrid>
      <w:tr w14:paraId="0CB252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52" w:type="dxa"/>
            <w:noWrap w:val="0"/>
            <w:vAlign w:val="center"/>
          </w:tcPr>
          <w:p w14:paraId="206B227B">
            <w:pPr>
              <w:pStyle w:val="41"/>
              <w:adjustRightInd w:val="0"/>
              <w:snapToGrid w:val="0"/>
              <w:spacing w:before="0" w:beforeAutospacing="0" w:after="0" w:afterAutospacing="0"/>
              <w:jc w:val="center"/>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t>建设内容</w:t>
            </w:r>
          </w:p>
        </w:tc>
        <w:tc>
          <w:tcPr>
            <w:tcW w:w="8608" w:type="dxa"/>
            <w:noWrap w:val="0"/>
            <w:vAlign w:val="top"/>
          </w:tcPr>
          <w:p w14:paraId="275730EB">
            <w:pPr>
              <w:keepNext w:val="0"/>
              <w:keepLines w:val="0"/>
              <w:pageBreakBefore w:val="0"/>
              <w:widowControl/>
              <w:kinsoku/>
              <w:wordWrap/>
              <w:overflowPunct/>
              <w:topLinePunct w:val="0"/>
              <w:autoSpaceDE/>
              <w:autoSpaceDN/>
              <w:bidi w:val="0"/>
              <w:adjustRightInd/>
              <w:snapToGrid/>
              <w:spacing w:line="100" w:lineRule="exact"/>
              <w:ind w:firstLine="478" w:firstLineChars="200"/>
              <w:jc w:val="left"/>
              <w:textAlignment w:val="auto"/>
              <w:rPr>
                <w:rFonts w:hint="default" w:ascii="Times New Roman" w:hAnsi="Times New Roman" w:eastAsia="宋体" w:cs="Times New Roman"/>
                <w:b/>
                <w:bCs/>
                <w:color w:val="000000" w:themeColor="text1"/>
                <w:spacing w:val="-1"/>
                <w:sz w:val="24"/>
                <w:szCs w:val="24"/>
                <w:highlight w:val="none"/>
                <w14:textFill>
                  <w14:solidFill>
                    <w14:schemeClr w14:val="tx1"/>
                  </w14:solidFill>
                </w14:textFill>
              </w:rPr>
            </w:pPr>
          </w:p>
          <w:p w14:paraId="7D704207">
            <w:pPr>
              <w:pStyle w:val="39"/>
              <w:spacing w:after="0" w:line="360" w:lineRule="auto"/>
              <w:ind w:firstLine="482" w:firstLineChars="200"/>
              <w:rPr>
                <w:rFonts w:hint="default" w:ascii="Times New Roman" w:hAnsi="Times New Roman" w:cs="Times New Roman"/>
                <w:b/>
                <w:color w:val="000000" w:themeColor="text1"/>
                <w:sz w:val="24"/>
                <w:highlight w:val="none"/>
                <w14:textFill>
                  <w14:solidFill>
                    <w14:schemeClr w14:val="tx1"/>
                  </w14:solidFill>
                </w14:textFill>
              </w:rPr>
            </w:pPr>
            <w:r>
              <w:rPr>
                <w:rFonts w:hint="eastAsia" w:ascii="Times New Roman" w:hAnsi="Times New Roman" w:cs="Times New Roman"/>
                <w:b/>
                <w:bCs/>
                <w:color w:val="000000" w:themeColor="text1"/>
                <w:sz w:val="24"/>
                <w:highlight w:val="none"/>
                <w:lang w:val="en-US" w:eastAsia="zh-CN"/>
                <w14:textFill>
                  <w14:solidFill>
                    <w14:schemeClr w14:val="tx1"/>
                  </w14:solidFill>
                </w14:textFill>
              </w:rPr>
              <w:t>一</w:t>
            </w:r>
            <w:r>
              <w:rPr>
                <w:rFonts w:hint="default" w:ascii="Times New Roman" w:hAnsi="Times New Roman" w:cs="Times New Roman"/>
                <w:b/>
                <w:bCs/>
                <w:color w:val="000000" w:themeColor="text1"/>
                <w:sz w:val="24"/>
                <w:highlight w:val="none"/>
                <w14:textFill>
                  <w14:solidFill>
                    <w14:schemeClr w14:val="tx1"/>
                  </w14:solidFill>
                </w14:textFill>
              </w:rPr>
              <w:t>、</w:t>
            </w:r>
            <w:r>
              <w:rPr>
                <w:rFonts w:hint="default" w:ascii="Times New Roman" w:hAnsi="Times New Roman" w:cs="Times New Roman"/>
                <w:b/>
                <w:color w:val="000000" w:themeColor="text1"/>
                <w:sz w:val="24"/>
                <w:highlight w:val="none"/>
                <w14:textFill>
                  <w14:solidFill>
                    <w14:schemeClr w14:val="tx1"/>
                  </w14:solidFill>
                </w14:textFill>
              </w:rPr>
              <w:t>项目由来</w:t>
            </w:r>
          </w:p>
          <w:p w14:paraId="6E62C8E6">
            <w:pPr>
              <w:pStyle w:val="39"/>
              <w:spacing w:after="0" w:line="360" w:lineRule="auto"/>
              <w:ind w:firstLine="480" w:firstLineChars="200"/>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eastAsia="zh-CN"/>
                <w14:textFill>
                  <w14:solidFill>
                    <w14:schemeClr w14:val="tx1"/>
                  </w14:solidFill>
                </w14:textFill>
              </w:rPr>
              <w:t>广东三筑金属制品有限公司</w:t>
            </w:r>
            <w:r>
              <w:rPr>
                <w:rFonts w:hint="default" w:ascii="Times New Roman" w:hAnsi="Times New Roman" w:eastAsia="宋体" w:cs="Times New Roman"/>
                <w:color w:val="000000" w:themeColor="text1"/>
                <w:sz w:val="24"/>
                <w:highlight w:val="none"/>
                <w14:textFill>
                  <w14:solidFill>
                    <w14:schemeClr w14:val="tx1"/>
                  </w14:solidFill>
                </w14:textFill>
              </w:rPr>
              <w:t>（以下简称</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建设单位</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）拟在</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韶关市乐昌市乐昌经济开发区管理委员会后座046号（</w:t>
            </w:r>
            <w:r>
              <w:rPr>
                <w:rFonts w:hint="default" w:ascii="Times New Roman" w:hAnsi="Times New Roman" w:eastAsia="宋体" w:cs="Times New Roman"/>
                <w:color w:val="000000" w:themeColor="text1"/>
                <w:sz w:val="24"/>
                <w:highlight w:val="none"/>
                <w14:textFill>
                  <w14:solidFill>
                    <w14:schemeClr w14:val="tx1"/>
                  </w14:solidFill>
                </w14:textFill>
              </w:rPr>
              <w:t>东经11</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24</w:t>
            </w:r>
            <w:r>
              <w:rPr>
                <w:rFonts w:hint="default" w:ascii="Times New Roman" w:hAnsi="Times New Roman" w:eastAsia="宋体" w:cs="Times New Roman"/>
                <w:color w:val="000000" w:themeColor="text1"/>
                <w:sz w:val="24"/>
                <w:highlight w:val="none"/>
                <w14:textFill>
                  <w14:solidFill>
                    <w14:schemeClr w14:val="tx1"/>
                  </w14:solidFill>
                </w14:textFill>
              </w:rPr>
              <w:t>′3</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2.572</w:t>
            </w:r>
            <w:r>
              <w:rPr>
                <w:rFonts w:hint="default" w:ascii="Times New Roman" w:hAnsi="Times New Roman" w:eastAsia="宋体" w:cs="Times New Roman"/>
                <w:color w:val="000000" w:themeColor="text1"/>
                <w:sz w:val="24"/>
                <w:highlight w:val="none"/>
                <w14:textFill>
                  <w14:solidFill>
                    <w14:schemeClr w14:val="tx1"/>
                  </w14:solidFill>
                </w14:textFill>
              </w:rPr>
              <w:t>″，北纬2</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09</w:t>
            </w:r>
            <w:r>
              <w:rPr>
                <w:rFonts w:hint="default" w:ascii="Times New Roman" w:hAnsi="Times New Roman" w:eastAsia="宋体" w:cs="Times New Roman"/>
                <w:color w:val="000000" w:themeColor="text1"/>
                <w:sz w:val="24"/>
                <w:highlight w:val="none"/>
                <w14:textFill>
                  <w14:solidFill>
                    <w14:schemeClr w14:val="tx1"/>
                  </w14:solidFill>
                </w14:textFill>
              </w:rPr>
              <w:t>′2</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020</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投资建设</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“乐昌市三筑金属材料智造项目”</w:t>
            </w:r>
            <w:r>
              <w:rPr>
                <w:rFonts w:hint="default" w:ascii="Times New Roman" w:hAnsi="Times New Roman" w:eastAsia="宋体" w:cs="Times New Roman"/>
                <w:color w:val="000000" w:themeColor="text1"/>
                <w:sz w:val="24"/>
                <w:highlight w:val="none"/>
                <w14:textFill>
                  <w14:solidFill>
                    <w14:schemeClr w14:val="tx1"/>
                  </w14:solidFill>
                </w14:textFill>
              </w:rPr>
              <w:t>。项目</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规划总用地面积</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为</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54139.29</w:t>
            </w:r>
            <w:r>
              <w:rPr>
                <w:rFonts w:hint="default" w:ascii="Times New Roman" w:hAnsi="Times New Roman" w:eastAsia="宋体" w:cs="Times New Roman"/>
                <w:color w:val="000000" w:themeColor="text1"/>
                <w:sz w:val="24"/>
                <w:highlight w:val="none"/>
                <w14:textFill>
                  <w14:solidFill>
                    <w14:schemeClr w14:val="tx1"/>
                  </w14:solidFill>
                </w14:textFill>
              </w:rPr>
              <w:t>平方米，</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总</w:t>
            </w:r>
            <w:r>
              <w:rPr>
                <w:rFonts w:hint="default" w:ascii="Times New Roman" w:hAnsi="Times New Roman" w:eastAsia="宋体" w:cs="Times New Roman"/>
                <w:color w:val="000000" w:themeColor="text1"/>
                <w:sz w:val="24"/>
                <w:highlight w:val="none"/>
                <w14:textFill>
                  <w14:solidFill>
                    <w14:schemeClr w14:val="tx1"/>
                  </w14:solidFill>
                </w14:textFill>
              </w:rPr>
              <w:t>建筑面积</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为</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43886.37</w:t>
            </w:r>
            <w:r>
              <w:rPr>
                <w:rFonts w:hint="default" w:ascii="Times New Roman" w:hAnsi="Times New Roman" w:eastAsia="宋体" w:cs="Times New Roman"/>
                <w:color w:val="000000" w:themeColor="text1"/>
                <w:sz w:val="24"/>
                <w:highlight w:val="none"/>
                <w14:textFill>
                  <w14:solidFill>
                    <w14:schemeClr w14:val="tx1"/>
                  </w14:solidFill>
                </w14:textFill>
              </w:rPr>
              <w:t>平方米，拟建设厂房</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14:textFill>
                  <w14:solidFill>
                    <w14:schemeClr w14:val="tx1"/>
                  </w14:solidFill>
                </w14:textFill>
              </w:rPr>
              <w:t>栋，</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宿舍楼</w:t>
            </w:r>
            <w:r>
              <w:rPr>
                <w:rFonts w:hint="default" w:ascii="Times New Roman" w:hAnsi="Times New Roman" w:eastAsia="宋体" w:cs="Times New Roman"/>
                <w:color w:val="000000" w:themeColor="text1"/>
                <w:sz w:val="24"/>
                <w:highlight w:val="none"/>
                <w14:textFill>
                  <w14:solidFill>
                    <w14:schemeClr w14:val="tx1"/>
                  </w14:solidFill>
                </w14:textFill>
              </w:rPr>
              <w:t>1栋，综合楼1栋及其他辅助设施。项目总投资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000</w:t>
            </w:r>
            <w:r>
              <w:rPr>
                <w:rFonts w:hint="default" w:ascii="Times New Roman" w:hAnsi="Times New Roman" w:eastAsia="宋体" w:cs="Times New Roman"/>
                <w:color w:val="000000" w:themeColor="text1"/>
                <w:sz w:val="24"/>
                <w:highlight w:val="none"/>
                <w14:textFill>
                  <w14:solidFill>
                    <w14:schemeClr w14:val="tx1"/>
                  </w14:solidFill>
                </w14:textFill>
              </w:rPr>
              <w:t>万元，其中环保投资</w:t>
            </w:r>
            <w:r>
              <w:rPr>
                <w:rFonts w:hint="eastAsia" w:cs="Times New Roman"/>
                <w:color w:val="000000" w:themeColor="text1"/>
                <w:sz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00万元。</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项目</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建成后年生产各类板铝制品1</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0万平方米</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w:t>
            </w:r>
          </w:p>
          <w:p w14:paraId="254FF2FD">
            <w:pPr>
              <w:pStyle w:val="39"/>
              <w:spacing w:after="0"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根据《中华人民共和国环境保护法》《中华人民共和国环境影响评价法》《建设项目环境保护管理条例》</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《广东省环境保护条例》（2022年11月30日修正）</w:t>
            </w:r>
            <w:r>
              <w:rPr>
                <w:rFonts w:hint="default" w:ascii="Times New Roman" w:hAnsi="Times New Roman" w:eastAsia="宋体" w:cs="Times New Roman"/>
                <w:color w:val="000000" w:themeColor="text1"/>
                <w:sz w:val="24"/>
                <w:highlight w:val="none"/>
                <w14:textFill>
                  <w14:solidFill>
                    <w14:schemeClr w14:val="tx1"/>
                  </w14:solidFill>
                </w14:textFill>
              </w:rPr>
              <w:t>等有关规定，建设过程中或者建成投产后可能对环境产生影响的新建、扩建、改建、迁建、技术改造项目及区域开发建设项目，必须执行环境影响评价制度。对照《国民经济行业分类》（GB/T 4754-2017，按第1号修改单修订），本项目属于C3360金属表面处理及热处理加工；对照国家环保部《建设项目环境影响评价分类管理名录》（2021年版），该项目属于“三十、33金属制品业67金属表面处理及热处理加工其他（年用非溶剂型低VOCs含量涂料10吨以下的除外）”，按要求需要编制环境影响报告表。</w:t>
            </w:r>
          </w:p>
          <w:p w14:paraId="6731BC54">
            <w:pPr>
              <w:widowControl w:val="0"/>
              <w:spacing w:line="360" w:lineRule="auto"/>
              <w:ind w:firstLine="480" w:firstLineChars="200"/>
              <w:jc w:val="both"/>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建设单位</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于2025年11月12日取得《广东三筑金属制品有限公司乐昌市三筑金属材料智造项目环境影响报告表的审查意见》（韶环乐审(2025)2</w:t>
            </w:r>
            <w:r>
              <w:rPr>
                <w:rFonts w:hint="eastAsia" w:cs="Times New Roman"/>
                <w:color w:val="000000" w:themeColor="text1"/>
                <w:kern w:val="0"/>
                <w:sz w:val="24"/>
                <w:szCs w:val="24"/>
                <w:highlight w:val="none"/>
                <w:lang w:val="en-US" w:eastAsia="zh-CN" w:bidi="ar-SA"/>
                <w14:textFill>
                  <w14:solidFill>
                    <w14:schemeClr w14:val="tx1"/>
                  </w14:solidFill>
                </w14:textFill>
              </w:rPr>
              <w:t>4</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号）批复</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后开工建设，</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尚未进行投产，</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在建设过程中受市场影响等因素对产品</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工艺</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进行调整，</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新增</w:t>
            </w:r>
            <w:r>
              <w:rPr>
                <w:rFonts w:hint="eastAsia" w:cs="Times New Roman"/>
                <w:color w:val="000000" w:themeColor="text1"/>
                <w:kern w:val="0"/>
                <w:sz w:val="24"/>
                <w:szCs w:val="24"/>
                <w:highlight w:val="none"/>
                <w:lang w:val="en-US" w:eastAsia="zh-CN" w:bidi="ar-SA"/>
                <w14:textFill>
                  <w14:solidFill>
                    <w14:schemeClr w14:val="tx1"/>
                  </w14:solidFill>
                </w14:textFill>
              </w:rPr>
              <w:t>前处理线和</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喷涂</w:t>
            </w:r>
            <w:r>
              <w:rPr>
                <w:rFonts w:hint="eastAsia" w:cs="Times New Roman"/>
                <w:color w:val="000000" w:themeColor="text1"/>
                <w:kern w:val="0"/>
                <w:sz w:val="24"/>
                <w:szCs w:val="24"/>
                <w:highlight w:val="none"/>
                <w:lang w:val="en-US" w:eastAsia="zh-CN" w:bidi="ar-SA"/>
                <w14:textFill>
                  <w14:solidFill>
                    <w14:schemeClr w14:val="tx1"/>
                  </w14:solidFill>
                </w14:textFill>
              </w:rPr>
              <w:t>线</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对照《关于印发《污染影响类建设项目重大变动清单（试行）》的通知》（环办环评函〔2020〕688号），项目</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生产工艺</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发生了重大变动</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w:t>
            </w:r>
          </w:p>
          <w:p w14:paraId="4386BC03">
            <w:pPr>
              <w:pageBreakBefore w:val="0"/>
              <w:widowControl w:val="0"/>
              <w:wordWrap w:val="0"/>
              <w:overflowPunct/>
              <w:bidi w:val="0"/>
              <w:spacing w:line="360" w:lineRule="auto"/>
              <w:ind w:firstLine="480" w:firstLineChars="200"/>
              <w:jc w:val="both"/>
              <w:rPr>
                <w:rFonts w:hint="eastAsia" w:ascii="Times New Roman" w:hAnsi="Times New Roman" w:eastAsia="宋体" w:cs="Times New Roman"/>
                <w:bCs/>
                <w:color w:val="000000" w:themeColor="text1"/>
                <w:kern w:val="0"/>
                <w:sz w:val="24"/>
                <w:szCs w:val="20"/>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4"/>
                <w:szCs w:val="20"/>
                <w:highlight w:val="none"/>
                <w:lang w:val="en-US" w:eastAsia="zh-CN" w:bidi="ar-SA"/>
                <w14:textFill>
                  <w14:solidFill>
                    <w14:schemeClr w14:val="tx1"/>
                  </w14:solidFill>
                </w14:textFill>
              </w:rPr>
              <w:t>截至2026年4月，建设单位已完成基础厂房建设</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sz w:val="24"/>
                <w:lang w:eastAsia="zh-CN"/>
                <w14:textFill>
                  <w14:solidFill>
                    <w14:schemeClr w14:val="tx1"/>
                  </w14:solidFill>
                </w14:textFill>
              </w:rPr>
              <w:t>广东三筑金属制品有限公司</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乐昌市三筑金属材料智造项目</w:t>
            </w:r>
            <w:r>
              <w:rPr>
                <w:rFonts w:hint="eastAsia" w:ascii="Times New Roman" w:hAnsi="Times New Roman" w:eastAsia="宋体" w:cs="Times New Roman"/>
                <w:bCs/>
                <w:color w:val="000000" w:themeColor="text1"/>
                <w:kern w:val="0"/>
                <w:sz w:val="24"/>
                <w:szCs w:val="20"/>
                <w:highlight w:val="none"/>
                <w:lang w:val="en-US" w:eastAsia="zh-CN" w:bidi="ar-SA"/>
                <w14:textFill>
                  <w14:solidFill>
                    <w14:schemeClr w14:val="tx1"/>
                  </w14:solidFill>
                </w14:textFill>
              </w:rPr>
              <w:t>在建设过程中</w:t>
            </w:r>
            <w:r>
              <w:rPr>
                <w:rFonts w:hint="eastAsia" w:ascii="Times New Roman" w:hAnsi="Times New Roman" w:eastAsia="宋体" w:cs="Times New Roman"/>
                <w:b/>
                <w:bCs w:val="0"/>
                <w:color w:val="000000" w:themeColor="text1"/>
                <w:kern w:val="0"/>
                <w:sz w:val="24"/>
                <w:szCs w:val="20"/>
                <w:highlight w:val="none"/>
                <w:lang w:val="en-US" w:eastAsia="zh-CN" w:bidi="ar-SA"/>
                <w14:textFill>
                  <w14:solidFill>
                    <w14:schemeClr w14:val="tx1"/>
                  </w14:solidFill>
                </w14:textFill>
              </w:rPr>
              <w:t>发生的重大变动</w:t>
            </w:r>
            <w:r>
              <w:rPr>
                <w:rFonts w:hint="eastAsia" w:ascii="Times New Roman" w:hAnsi="Times New Roman" w:eastAsia="宋体" w:cs="Times New Roman"/>
                <w:bCs/>
                <w:color w:val="000000" w:themeColor="text1"/>
                <w:kern w:val="0"/>
                <w:sz w:val="24"/>
                <w:szCs w:val="20"/>
                <w:highlight w:val="none"/>
                <w:lang w:val="en-US" w:eastAsia="zh-CN" w:bidi="ar-SA"/>
                <w14:textFill>
                  <w14:solidFill>
                    <w14:schemeClr w14:val="tx1"/>
                  </w14:solidFill>
                </w14:textFill>
              </w:rPr>
              <w:t>如下：</w:t>
            </w:r>
          </w:p>
          <w:p w14:paraId="7131BCCC">
            <w:pPr>
              <w:pageBreakBefore w:val="0"/>
              <w:widowControl w:val="0"/>
              <w:numPr>
                <w:ilvl w:val="0"/>
                <w:numId w:val="10"/>
              </w:numPr>
              <w:wordWrap w:val="0"/>
              <w:overflowPunct/>
              <w:bidi w:val="0"/>
              <w:spacing w:line="240" w:lineRule="auto"/>
              <w:ind w:left="0" w:leftChars="0" w:firstLine="40" w:firstLineChars="0"/>
              <w:jc w:val="cente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项目建设内容变动情况</w:t>
            </w: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一览表</w:t>
            </w:r>
          </w:p>
          <w:tbl>
            <w:tblPr>
              <w:tblStyle w:val="4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
              <w:gridCol w:w="2250"/>
              <w:gridCol w:w="2019"/>
              <w:gridCol w:w="1881"/>
              <w:gridCol w:w="887"/>
              <w:gridCol w:w="889"/>
            </w:tblGrid>
            <w:tr w14:paraId="3233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noWrap w:val="0"/>
                  <w:vAlign w:val="center"/>
                </w:tcPr>
                <w:p w14:paraId="2BB66CF5">
                  <w:pPr>
                    <w:spacing w:line="240" w:lineRule="auto"/>
                    <w:jc w:val="cente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序号</w:t>
                  </w:r>
                </w:p>
              </w:tc>
              <w:tc>
                <w:tcPr>
                  <w:tcW w:w="1342" w:type="pct"/>
                  <w:noWrap w:val="0"/>
                  <w:vAlign w:val="center"/>
                </w:tcPr>
                <w:p w14:paraId="016C8DA9">
                  <w:pPr>
                    <w:spacing w:line="240" w:lineRule="auto"/>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文件内容</w:t>
                  </w:r>
                </w:p>
              </w:tc>
              <w:tc>
                <w:tcPr>
                  <w:tcW w:w="1204" w:type="pct"/>
                  <w:noWrap w:val="0"/>
                  <w:vAlign w:val="center"/>
                </w:tcPr>
                <w:p w14:paraId="12802CE4">
                  <w:pPr>
                    <w:spacing w:line="240" w:lineRule="auto"/>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原环评项目建设内容</w:t>
                  </w:r>
                </w:p>
              </w:tc>
              <w:tc>
                <w:tcPr>
                  <w:tcW w:w="1122" w:type="pct"/>
                  <w:noWrap w:val="0"/>
                  <w:vAlign w:val="center"/>
                </w:tcPr>
                <w:p w14:paraId="0DD9C622">
                  <w:pPr>
                    <w:spacing w:line="240" w:lineRule="auto"/>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实际建设情况</w:t>
                  </w:r>
                </w:p>
              </w:tc>
              <w:tc>
                <w:tcPr>
                  <w:tcW w:w="529" w:type="pct"/>
                  <w:noWrap w:val="0"/>
                  <w:vAlign w:val="center"/>
                </w:tcPr>
                <w:p w14:paraId="25E0A401">
                  <w:pPr>
                    <w:spacing w:line="240" w:lineRule="auto"/>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变动情况</w:t>
                  </w:r>
                </w:p>
              </w:tc>
              <w:tc>
                <w:tcPr>
                  <w:tcW w:w="530" w:type="pct"/>
                  <w:noWrap w:val="0"/>
                  <w:vAlign w:val="center"/>
                </w:tcPr>
                <w:p w14:paraId="5BEA481B">
                  <w:pPr>
                    <w:spacing w:line="240" w:lineRule="auto"/>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是否属于重大变动</w:t>
                  </w:r>
                </w:p>
              </w:tc>
            </w:tr>
            <w:tr w14:paraId="67AE6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noWrap w:val="0"/>
                  <w:vAlign w:val="center"/>
                </w:tcPr>
                <w:p w14:paraId="6395EE00">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w:t>
                  </w:r>
                </w:p>
              </w:tc>
              <w:tc>
                <w:tcPr>
                  <w:tcW w:w="1342" w:type="pct"/>
                  <w:noWrap w:val="0"/>
                  <w:vAlign w:val="center"/>
                </w:tcPr>
                <w:p w14:paraId="76986FBF">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建设项目开发、使用功能发生变化的</w:t>
                  </w:r>
                </w:p>
              </w:tc>
              <w:tc>
                <w:tcPr>
                  <w:tcW w:w="1204" w:type="pct"/>
                  <w:noWrap w:val="0"/>
                  <w:vAlign w:val="center"/>
                </w:tcPr>
                <w:p w14:paraId="02912D54">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项目属于“三十、金属制品业 33—67、金属表面处理及热处理加工 336”</w:t>
                  </w:r>
                </w:p>
              </w:tc>
              <w:tc>
                <w:tcPr>
                  <w:tcW w:w="1122" w:type="pct"/>
                  <w:noWrap w:val="0"/>
                  <w:vAlign w:val="center"/>
                </w:tcPr>
                <w:p w14:paraId="1D2784DB">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项目属于“三十、金属制品业 33—67、金属表面处理及热处理加工 336”</w:t>
                  </w:r>
                </w:p>
              </w:tc>
              <w:tc>
                <w:tcPr>
                  <w:tcW w:w="529" w:type="pct"/>
                  <w:noWrap w:val="0"/>
                  <w:vAlign w:val="center"/>
                </w:tcPr>
                <w:p w14:paraId="5636CBF8">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无变动</w:t>
                  </w:r>
                </w:p>
              </w:tc>
              <w:tc>
                <w:tcPr>
                  <w:tcW w:w="530" w:type="pct"/>
                  <w:noWrap w:val="0"/>
                  <w:vAlign w:val="center"/>
                </w:tcPr>
                <w:p w14:paraId="16FAD3EE">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否</w:t>
                  </w:r>
                </w:p>
              </w:tc>
            </w:tr>
            <w:tr w14:paraId="4818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noWrap w:val="0"/>
                  <w:vAlign w:val="center"/>
                </w:tcPr>
                <w:p w14:paraId="6A131656">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w:t>
                  </w:r>
                </w:p>
              </w:tc>
              <w:tc>
                <w:tcPr>
                  <w:tcW w:w="1342" w:type="pct"/>
                  <w:noWrap w:val="0"/>
                  <w:vAlign w:val="center"/>
                </w:tcPr>
                <w:p w14:paraId="4F434668">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生产、处置或储存能力增大30%及以上的</w:t>
                  </w:r>
                </w:p>
              </w:tc>
              <w:tc>
                <w:tcPr>
                  <w:tcW w:w="1204" w:type="pct"/>
                  <w:noWrap w:val="0"/>
                  <w:vAlign w:val="center"/>
                </w:tcPr>
                <w:p w14:paraId="09D9379D">
                  <w:pPr>
                    <w:spacing w:line="240" w:lineRule="auto"/>
                    <w:jc w:val="cente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产品方案为年产1</w:t>
                  </w:r>
                  <w:r>
                    <w:rPr>
                      <w:rFonts w:hint="eastAsia" w:cs="Times New Roman"/>
                      <w:b w:val="0"/>
                      <w:bCs w:val="0"/>
                      <w:color w:val="000000" w:themeColor="text1"/>
                      <w:sz w:val="21"/>
                      <w:szCs w:val="21"/>
                      <w:highlight w:val="none"/>
                      <w:lang w:val="en-US" w:eastAsia="zh-CN"/>
                      <w14:textFill>
                        <w14:solidFill>
                          <w14:schemeClr w14:val="tx1"/>
                        </w14:solidFill>
                      </w14:textFill>
                    </w:rPr>
                    <w:t>1</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万</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m</w:t>
                  </w:r>
                  <w:r>
                    <w:rPr>
                      <w:rFonts w:hint="eastAsia"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钣金件</w:t>
                  </w:r>
                </w:p>
              </w:tc>
              <w:tc>
                <w:tcPr>
                  <w:tcW w:w="1122" w:type="pct"/>
                  <w:noWrap w:val="0"/>
                  <w:vAlign w:val="center"/>
                </w:tcPr>
                <w:p w14:paraId="489993C7">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产品方案为年产1</w:t>
                  </w:r>
                  <w:r>
                    <w:rPr>
                      <w:rFonts w:hint="eastAsia" w:cs="Times New Roman"/>
                      <w:b w:val="0"/>
                      <w:bCs w:val="0"/>
                      <w:color w:val="000000" w:themeColor="text1"/>
                      <w:sz w:val="21"/>
                      <w:szCs w:val="21"/>
                      <w:highlight w:val="none"/>
                      <w:lang w:val="en-US" w:eastAsia="zh-CN"/>
                      <w14:textFill>
                        <w14:solidFill>
                          <w14:schemeClr w14:val="tx1"/>
                        </w14:solidFill>
                      </w14:textFill>
                    </w:rPr>
                    <w:t>1</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万</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m</w:t>
                  </w:r>
                  <w:r>
                    <w:rPr>
                      <w:rFonts w:hint="eastAsia"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钣金件</w:t>
                  </w:r>
                </w:p>
              </w:tc>
              <w:tc>
                <w:tcPr>
                  <w:tcW w:w="529" w:type="pct"/>
                  <w:noWrap w:val="0"/>
                  <w:vAlign w:val="center"/>
                </w:tcPr>
                <w:p w14:paraId="5B3AD915">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无变动</w:t>
                  </w:r>
                </w:p>
              </w:tc>
              <w:tc>
                <w:tcPr>
                  <w:tcW w:w="530" w:type="pct"/>
                  <w:noWrap w:val="0"/>
                  <w:vAlign w:val="center"/>
                </w:tcPr>
                <w:p w14:paraId="306A0E2B">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否</w:t>
                  </w:r>
                </w:p>
              </w:tc>
            </w:tr>
            <w:tr w14:paraId="02530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noWrap w:val="0"/>
                  <w:vAlign w:val="center"/>
                </w:tcPr>
                <w:p w14:paraId="464B9EDF">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3</w:t>
                  </w:r>
                </w:p>
              </w:tc>
              <w:tc>
                <w:tcPr>
                  <w:tcW w:w="1342" w:type="pct"/>
                  <w:noWrap w:val="0"/>
                  <w:vAlign w:val="center"/>
                </w:tcPr>
                <w:p w14:paraId="3FDFCB95">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生产、处置或储存能力增大，导致废水第一类污染物排放量增加的</w:t>
                  </w:r>
                </w:p>
              </w:tc>
              <w:tc>
                <w:tcPr>
                  <w:tcW w:w="1204" w:type="pct"/>
                  <w:noWrap w:val="0"/>
                  <w:vAlign w:val="center"/>
                </w:tcPr>
                <w:p w14:paraId="06D67458">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废水不涉及第一类污染物排放</w:t>
                  </w:r>
                </w:p>
              </w:tc>
              <w:tc>
                <w:tcPr>
                  <w:tcW w:w="1122" w:type="pct"/>
                  <w:noWrap w:val="0"/>
                  <w:vAlign w:val="center"/>
                </w:tcPr>
                <w:p w14:paraId="0A7489FC">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废水不涉及第一类污染物排放</w:t>
                  </w:r>
                </w:p>
              </w:tc>
              <w:tc>
                <w:tcPr>
                  <w:tcW w:w="529" w:type="pct"/>
                  <w:noWrap w:val="0"/>
                  <w:vAlign w:val="center"/>
                </w:tcPr>
                <w:p w14:paraId="1DCB74A4">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无变动</w:t>
                  </w:r>
                </w:p>
              </w:tc>
              <w:tc>
                <w:tcPr>
                  <w:tcW w:w="530" w:type="pct"/>
                  <w:noWrap w:val="0"/>
                  <w:vAlign w:val="center"/>
                </w:tcPr>
                <w:p w14:paraId="1C9BAEF7">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否</w:t>
                  </w:r>
                </w:p>
              </w:tc>
            </w:tr>
            <w:tr w14:paraId="0E0D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noWrap w:val="0"/>
                  <w:vAlign w:val="center"/>
                </w:tcPr>
                <w:p w14:paraId="4A53BE76">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4</w:t>
                  </w:r>
                </w:p>
              </w:tc>
              <w:tc>
                <w:tcPr>
                  <w:tcW w:w="1342" w:type="pct"/>
                  <w:noWrap w:val="0"/>
                  <w:vAlign w:val="center"/>
                </w:tcPr>
                <w:p w14:paraId="12C44357">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1204" w:type="pct"/>
                  <w:noWrap w:val="0"/>
                  <w:vAlign w:val="center"/>
                </w:tcPr>
                <w:p w14:paraId="7CCA2BF7">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原</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项目所在区域属于达标区，项目生产废水排放量为8128.5t/a，生活污水排放量为2070t/a，综合废水合计为10198.5t/a，均经预处理后排入园区污水处理厂进行处理，因此，CODCr（0.999t/a）、NH</w:t>
                  </w:r>
                  <w:r>
                    <w:rPr>
                      <w:rFonts w:hint="eastAsia" w:ascii="Times New Roman" w:hAnsi="Times New Roman" w:eastAsia="宋体" w:cs="Times New Roman"/>
                      <w:b w:val="0"/>
                      <w:bCs w:val="0"/>
                      <w:color w:val="000000" w:themeColor="text1"/>
                      <w:sz w:val="21"/>
                      <w:szCs w:val="21"/>
                      <w:highlight w:val="none"/>
                      <w:vertAlign w:val="subscript"/>
                      <w:lang w:val="en-US" w:eastAsia="zh-CN"/>
                      <w14:textFill>
                        <w14:solidFill>
                          <w14:schemeClr w14:val="tx1"/>
                        </w14:solidFill>
                      </w14:textFill>
                    </w:rPr>
                    <w:t>3</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-N（0.066t/a）纳入园区污水处理厂的总量控制指标，不需再增加新的总量分配指标。氮氧化物</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量</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0.089</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t/a</w:t>
                  </w:r>
                  <w:r>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小于0.1t/a，无需</w:t>
                  </w:r>
                  <w:r>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t>向韶关市生态环境局乐昌分局申请分配</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总量分配指标</w:t>
                  </w:r>
                  <w:r>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p>
              </w:tc>
              <w:tc>
                <w:tcPr>
                  <w:tcW w:w="1122" w:type="pct"/>
                  <w:noWrap w:val="0"/>
                  <w:vAlign w:val="center"/>
                </w:tcPr>
                <w:p w14:paraId="1A261FAB">
                  <w:pPr>
                    <w:spacing w:line="240" w:lineRule="auto"/>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本项目所在区域属于达标区，项目生产废水排放量为</w:t>
                  </w:r>
                  <w:r>
                    <w:rPr>
                      <w:rFonts w:hint="eastAsia" w:cs="Times New Roman"/>
                      <w:b w:val="0"/>
                      <w:bCs w:val="0"/>
                      <w:color w:val="000000" w:themeColor="text1"/>
                      <w:sz w:val="21"/>
                      <w:szCs w:val="21"/>
                      <w:highlight w:val="none"/>
                      <w:lang w:val="en-US" w:eastAsia="zh-CN"/>
                      <w14:textFill>
                        <w14:solidFill>
                          <w14:schemeClr w14:val="tx1"/>
                        </w14:solidFill>
                      </w14:textFill>
                    </w:rPr>
                    <w:t>10010.08</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t/a，生活污水排放量为2070t/a，综合废水合计为</w:t>
                  </w:r>
                  <w:r>
                    <w:rPr>
                      <w:rFonts w:hint="eastAsia" w:cs="Times New Roman"/>
                      <w:b w:val="0"/>
                      <w:bCs w:val="0"/>
                      <w:color w:val="000000" w:themeColor="text1"/>
                      <w:sz w:val="21"/>
                      <w:szCs w:val="21"/>
                      <w:highlight w:val="none"/>
                      <w:lang w:val="en-US" w:eastAsia="zh-CN"/>
                      <w14:textFill>
                        <w14:solidFill>
                          <w14:schemeClr w14:val="tx1"/>
                        </w14:solidFill>
                      </w14:textFill>
                    </w:rPr>
                    <w:t>12080.08</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t/a，均经预处理后排入园区污水处理厂进行处理，因此，CODCr（</w:t>
                  </w:r>
                  <w:r>
                    <w:rPr>
                      <w:rFonts w:hint="eastAsia" w:cs="Times New Roman"/>
                      <w:b w:val="0"/>
                      <w:bCs w:val="0"/>
                      <w:color w:val="000000" w:themeColor="text1"/>
                      <w:sz w:val="21"/>
                      <w:szCs w:val="21"/>
                      <w:highlight w:val="none"/>
                      <w:lang w:val="en-US" w:eastAsia="zh-CN"/>
                      <w14:textFill>
                        <w14:solidFill>
                          <w14:schemeClr w14:val="tx1"/>
                        </w14:solidFill>
                      </w14:textFill>
                    </w:rPr>
                    <w:t>1.680</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t/a）、NH</w:t>
                  </w:r>
                  <w:r>
                    <w:rPr>
                      <w:rFonts w:hint="eastAsia" w:ascii="Times New Roman" w:hAnsi="Times New Roman" w:eastAsia="宋体" w:cs="Times New Roman"/>
                      <w:b w:val="0"/>
                      <w:bCs w:val="0"/>
                      <w:color w:val="000000" w:themeColor="text1"/>
                      <w:sz w:val="21"/>
                      <w:szCs w:val="21"/>
                      <w:highlight w:val="none"/>
                      <w:vertAlign w:val="subscript"/>
                      <w:lang w:val="en-US" w:eastAsia="zh-CN"/>
                      <w14:textFill>
                        <w14:solidFill>
                          <w14:schemeClr w14:val="tx1"/>
                        </w14:solidFill>
                      </w14:textFill>
                    </w:rPr>
                    <w:t>3</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-N（</w:t>
                  </w:r>
                  <w:r>
                    <w:rPr>
                      <w:rFonts w:hint="eastAsia" w:cs="Times New Roman"/>
                      <w:b w:val="0"/>
                      <w:bCs w:val="0"/>
                      <w:color w:val="000000" w:themeColor="text1"/>
                      <w:sz w:val="21"/>
                      <w:szCs w:val="21"/>
                      <w:highlight w:val="none"/>
                      <w:lang w:val="en-US" w:eastAsia="zh-CN"/>
                      <w14:textFill>
                        <w14:solidFill>
                          <w14:schemeClr w14:val="tx1"/>
                        </w14:solidFill>
                      </w14:textFill>
                    </w:rPr>
                    <w:t>0.188</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t/a）纳入园区污水处理厂的总量控制指标，不需再增加新的总量分配指标。</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VOCs</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总排放量为</w:t>
                  </w:r>
                  <w:r>
                    <w:rPr>
                      <w:rFonts w:hint="eastAsia" w:cs="Times New Roman"/>
                      <w:b/>
                      <w:bCs/>
                      <w:color w:val="000000" w:themeColor="text1"/>
                      <w:sz w:val="21"/>
                      <w:szCs w:val="21"/>
                      <w:highlight w:val="none"/>
                      <w:lang w:val="en-US" w:eastAsia="zh-CN"/>
                      <w14:textFill>
                        <w14:solidFill>
                          <w14:schemeClr w14:val="tx1"/>
                        </w14:solidFill>
                      </w14:textFill>
                    </w:rPr>
                    <w:t>1.022t</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/a</w:t>
                  </w: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其中</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VOCs</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有组织排放</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量</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w:t>
                  </w:r>
                  <w:r>
                    <w:rPr>
                      <w:rFonts w:hint="eastAsia" w:cs="Times New Roman"/>
                      <w:b/>
                      <w:bCs/>
                      <w:color w:val="000000" w:themeColor="text1"/>
                      <w:sz w:val="21"/>
                      <w:szCs w:val="21"/>
                      <w:highlight w:val="none"/>
                      <w:lang w:val="en-US" w:eastAsia="zh-CN"/>
                      <w14:textFill>
                        <w14:solidFill>
                          <w14:schemeClr w14:val="tx1"/>
                        </w14:solidFill>
                      </w14:textFill>
                    </w:rPr>
                    <w:t>0.670</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t/a，</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VOCs</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无组织排放</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量</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w:t>
                  </w:r>
                  <w:r>
                    <w:rPr>
                      <w:rFonts w:hint="eastAsia" w:cs="Times New Roman"/>
                      <w:b/>
                      <w:bCs/>
                      <w:color w:val="000000" w:themeColor="text1"/>
                      <w:sz w:val="21"/>
                      <w:szCs w:val="21"/>
                      <w:highlight w:val="none"/>
                      <w:lang w:val="en-US" w:eastAsia="zh-CN"/>
                      <w14:textFill>
                        <w14:solidFill>
                          <w14:schemeClr w14:val="tx1"/>
                        </w14:solidFill>
                      </w14:textFill>
                    </w:rPr>
                    <w:t>0.352</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t/a</w:t>
                  </w: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b/>
                      <w:bCs/>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氮氧化物</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总排放量为</w:t>
                  </w:r>
                  <w:r>
                    <w:rPr>
                      <w:rFonts w:hint="eastAsia" w:cs="Times New Roman"/>
                      <w:b/>
                      <w:bCs/>
                      <w:color w:val="000000" w:themeColor="text1"/>
                      <w:sz w:val="21"/>
                      <w:szCs w:val="21"/>
                      <w:highlight w:val="none"/>
                      <w:lang w:val="en-US" w:eastAsia="zh-CN"/>
                      <w14:textFill>
                        <w14:solidFill>
                          <w14:schemeClr w14:val="tx1"/>
                        </w14:solidFill>
                      </w14:textFill>
                    </w:rPr>
                    <w:t>0.34</w:t>
                  </w:r>
                  <w:r>
                    <w:rPr>
                      <w:rFonts w:hint="eastAsia"/>
                      <w:color w:val="000000" w:themeColor="text1"/>
                      <w:lang w:val="en-US" w:eastAsia="zh-CN"/>
                      <w14:textFill>
                        <w14:solidFill>
                          <w14:schemeClr w14:val="tx1"/>
                        </w14:solidFill>
                      </w14:textFill>
                    </w:rPr>
                    <w:t>1</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t/a</w:t>
                  </w:r>
                  <w:r>
                    <w:rPr>
                      <w:rFonts w:hint="eastAsia" w:ascii="Times New Roman" w:hAnsi="Times New Roman" w:eastAsia="宋体" w:cs="Times New Roman"/>
                      <w:b/>
                      <w:bCs/>
                      <w:color w:val="000000" w:themeColor="text1"/>
                      <w:sz w:val="21"/>
                      <w:szCs w:val="21"/>
                      <w:highlight w:val="none"/>
                      <w:lang w:eastAsia="zh-CN"/>
                      <w14:textFill>
                        <w14:solidFill>
                          <w14:schemeClr w14:val="tx1"/>
                        </w14:solidFill>
                      </w14:textFill>
                    </w:rPr>
                    <w:t>。</w:t>
                  </w:r>
                  <w:r>
                    <w:rPr>
                      <w:rFonts w:hint="eastAsia" w:cs="Times New Roman"/>
                      <w:b/>
                      <w:bCs/>
                      <w:color w:val="000000" w:themeColor="text1"/>
                      <w:sz w:val="21"/>
                      <w:szCs w:val="21"/>
                      <w:highlight w:val="none"/>
                      <w:lang w:val="en-US" w:eastAsia="zh-CN"/>
                      <w14:textFill>
                        <w14:solidFill>
                          <w14:schemeClr w14:val="tx1"/>
                        </w14:solidFill>
                      </w14:textFill>
                    </w:rPr>
                    <w:t>根据总量申请结果（附件9），</w:t>
                  </w:r>
                  <w:r>
                    <w:rPr>
                      <w:rFonts w:hint="eastAsia" w:ascii="Times New Roman" w:hAnsi="Times New Roman" w:eastAsia="宋体" w:cs="Times New Roman"/>
                      <w:b/>
                      <w:bCs/>
                      <w:color w:val="000000" w:themeColor="text1"/>
                      <w:sz w:val="21"/>
                      <w:szCs w:val="21"/>
                      <w:highlight w:val="none"/>
                      <w:lang w:eastAsia="zh-CN"/>
                      <w14:textFill>
                        <w14:solidFill>
                          <w14:schemeClr w14:val="tx1"/>
                        </w14:solidFill>
                      </w14:textFill>
                    </w:rPr>
                    <w:t>有机物总量指标替代来源从“广东嘉盛环保高新材料股份有限公司低效治理设施改造”计划减排量中预支。氮氧化物总量指标来源</w:t>
                  </w:r>
                  <w:r>
                    <w:rPr>
                      <w:rFonts w:hint="eastAsia" w:cs="Times New Roman"/>
                      <w:b/>
                      <w:bCs/>
                      <w:color w:val="000000" w:themeColor="text1"/>
                      <w:sz w:val="21"/>
                      <w:szCs w:val="21"/>
                      <w:highlight w:val="none"/>
                      <w:lang w:val="en-US" w:eastAsia="zh-CN"/>
                      <w14:textFill>
                        <w14:solidFill>
                          <w14:schemeClr w14:val="tx1"/>
                        </w14:solidFill>
                      </w14:textFill>
                    </w:rPr>
                    <w:t>于</w:t>
                  </w:r>
                  <w:r>
                    <w:rPr>
                      <w:rFonts w:hint="eastAsia" w:ascii="Times New Roman" w:hAnsi="Times New Roman" w:eastAsia="宋体" w:cs="Times New Roman"/>
                      <w:b/>
                      <w:bCs/>
                      <w:color w:val="000000" w:themeColor="text1"/>
                      <w:sz w:val="21"/>
                      <w:szCs w:val="21"/>
                      <w:highlight w:val="none"/>
                      <w:lang w:eastAsia="zh-CN"/>
                      <w14:textFill>
                        <w14:solidFill>
                          <w14:schemeClr w14:val="tx1"/>
                        </w14:solidFill>
                      </w14:textFill>
                    </w:rPr>
                    <w:t>乐昌市俊辉木材加工厂燃生物质锅炉淘汰项目、乐昌市华翔木业有限公司燃生物质锅炉淘汰项目。</w:t>
                  </w:r>
                </w:p>
              </w:tc>
              <w:tc>
                <w:tcPr>
                  <w:tcW w:w="529" w:type="pct"/>
                  <w:noWrap w:val="0"/>
                  <w:vAlign w:val="center"/>
                </w:tcPr>
                <w:p w14:paraId="3E8BE576">
                  <w:pPr>
                    <w:spacing w:line="240" w:lineRule="auto"/>
                    <w:jc w:val="cente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变动</w:t>
                  </w:r>
                </w:p>
              </w:tc>
              <w:tc>
                <w:tcPr>
                  <w:tcW w:w="530" w:type="pct"/>
                  <w:noWrap w:val="0"/>
                  <w:vAlign w:val="center"/>
                </w:tcPr>
                <w:p w14:paraId="2C6DDEFE">
                  <w:pPr>
                    <w:spacing w:line="240" w:lineRule="auto"/>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是</w:t>
                  </w:r>
                </w:p>
              </w:tc>
            </w:tr>
            <w:tr w14:paraId="2AAC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noWrap w:val="0"/>
                  <w:vAlign w:val="center"/>
                </w:tcPr>
                <w:p w14:paraId="4EBB5202">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5</w:t>
                  </w:r>
                </w:p>
              </w:tc>
              <w:tc>
                <w:tcPr>
                  <w:tcW w:w="1342" w:type="pct"/>
                  <w:noWrap w:val="0"/>
                  <w:vAlign w:val="center"/>
                </w:tcPr>
                <w:p w14:paraId="158158A5">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重新选址；在原厂址附近调整（包括总平面布置变化）导致环境防护距离范围变化且新增敏感点的</w:t>
                  </w:r>
                </w:p>
              </w:tc>
              <w:tc>
                <w:tcPr>
                  <w:tcW w:w="1204" w:type="pct"/>
                  <w:noWrap w:val="0"/>
                  <w:vAlign w:val="center"/>
                </w:tcPr>
                <w:p w14:paraId="340E39C0">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原项目建设地点为韶关市乐昌市乐昌经济开发区管理委员会后座04</w:t>
                  </w:r>
                  <w:r>
                    <w:rPr>
                      <w:rFonts w:hint="eastAsia" w:cs="Times New Roman"/>
                      <w:b w:val="0"/>
                      <w:bCs w:val="0"/>
                      <w:color w:val="000000" w:themeColor="text1"/>
                      <w:sz w:val="21"/>
                      <w:szCs w:val="21"/>
                      <w:highlight w:val="none"/>
                      <w:lang w:val="en-US" w:eastAsia="zh-CN"/>
                      <w14:textFill>
                        <w14:solidFill>
                          <w14:schemeClr w14:val="tx1"/>
                        </w14:solidFill>
                      </w14:textFill>
                    </w:rPr>
                    <w:t>6</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号</w:t>
                  </w:r>
                </w:p>
              </w:tc>
              <w:tc>
                <w:tcPr>
                  <w:tcW w:w="1122" w:type="pct"/>
                  <w:noWrap w:val="0"/>
                  <w:vAlign w:val="center"/>
                </w:tcPr>
                <w:p w14:paraId="2E9C167D">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本项目建设地点为韶关市乐昌市乐昌经济开发区管理委员会后座04</w:t>
                  </w:r>
                  <w:r>
                    <w:rPr>
                      <w:rFonts w:hint="eastAsia" w:cs="Times New Roman"/>
                      <w:b w:val="0"/>
                      <w:bCs w:val="0"/>
                      <w:color w:val="000000" w:themeColor="text1"/>
                      <w:sz w:val="21"/>
                      <w:szCs w:val="21"/>
                      <w:highlight w:val="none"/>
                      <w:lang w:val="en-US" w:eastAsia="zh-CN"/>
                      <w14:textFill>
                        <w14:solidFill>
                          <w14:schemeClr w14:val="tx1"/>
                        </w14:solidFill>
                      </w14:textFill>
                    </w:rPr>
                    <w:t>6</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号</w:t>
                  </w:r>
                </w:p>
              </w:tc>
              <w:tc>
                <w:tcPr>
                  <w:tcW w:w="529" w:type="pct"/>
                  <w:noWrap w:val="0"/>
                  <w:vAlign w:val="center"/>
                </w:tcPr>
                <w:p w14:paraId="0AFCAC2B">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无变化</w:t>
                  </w:r>
                </w:p>
              </w:tc>
              <w:tc>
                <w:tcPr>
                  <w:tcW w:w="530" w:type="pct"/>
                  <w:noWrap w:val="0"/>
                  <w:vAlign w:val="center"/>
                </w:tcPr>
                <w:p w14:paraId="12E52A02">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否</w:t>
                  </w:r>
                </w:p>
              </w:tc>
            </w:tr>
            <w:tr w14:paraId="4A676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noWrap w:val="0"/>
                  <w:vAlign w:val="center"/>
                </w:tcPr>
                <w:p w14:paraId="0599E5DA">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6</w:t>
                  </w:r>
                </w:p>
              </w:tc>
              <w:tc>
                <w:tcPr>
                  <w:tcW w:w="1342" w:type="pct"/>
                  <w:noWrap w:val="0"/>
                  <w:vAlign w:val="center"/>
                </w:tcPr>
                <w:p w14:paraId="0CD88A33">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新增产品品种或生产工艺（含主要生产装置、设备及配套设施）、主要原辅材料、燃料变化，导致以下情形之一：</w:t>
                  </w:r>
                </w:p>
                <w:p w14:paraId="0818643E">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（1）新增排放污染物种类的（毒性、挥发性降低的除外）；</w:t>
                  </w:r>
                </w:p>
                <w:p w14:paraId="6B63FEE6">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（2）位于环境质量不达标区的建设项目相应污染物排放量增加的；</w:t>
                  </w:r>
                </w:p>
                <w:p w14:paraId="559460EF">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（3）废水第一类污染物排放量增加的；</w:t>
                  </w:r>
                </w:p>
                <w:p w14:paraId="46769995">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（4）其他污染物排放量增加10%及以上的</w:t>
                  </w:r>
                </w:p>
              </w:tc>
              <w:tc>
                <w:tcPr>
                  <w:tcW w:w="1204" w:type="pct"/>
                  <w:noWrap w:val="0"/>
                  <w:vAlign w:val="center"/>
                </w:tcPr>
                <w:p w14:paraId="4D17AFA1">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原项目年产钣金件1</w:t>
                  </w:r>
                  <w:r>
                    <w:rPr>
                      <w:rFonts w:hint="eastAsia" w:cs="Times New Roman"/>
                      <w:b w:val="0"/>
                      <w:bCs w:val="0"/>
                      <w:color w:val="000000" w:themeColor="text1"/>
                      <w:sz w:val="21"/>
                      <w:szCs w:val="21"/>
                      <w:highlight w:val="none"/>
                      <w:lang w:val="en-US" w:eastAsia="zh-CN"/>
                      <w14:textFill>
                        <w14:solidFill>
                          <w14:schemeClr w14:val="tx1"/>
                        </w14:solidFill>
                      </w14:textFill>
                    </w:rPr>
                    <w:t>1</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r>
                    <w:rPr>
                      <w:rFonts w:hint="eastAsia" w:cs="Times New Roman"/>
                      <w:b w:val="0"/>
                      <w:bCs w:val="0"/>
                      <w:color w:val="000000" w:themeColor="text1"/>
                      <w:sz w:val="21"/>
                      <w:szCs w:val="21"/>
                      <w:highlight w:val="none"/>
                      <w:lang w:val="en-US" w:eastAsia="zh-CN"/>
                      <w14:textFill>
                        <w14:solidFill>
                          <w14:schemeClr w14:val="tx1"/>
                        </w14:solidFill>
                      </w14:textFill>
                    </w:rPr>
                    <w:t>万</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m</w:t>
                  </w:r>
                  <w:r>
                    <w:rPr>
                      <w:rFonts w:hint="eastAsia"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；主要生产工序为开料、钣金、打磨、表面预处理、烘干等工序；主要原辅材料为铝卷、</w:t>
                  </w:r>
                  <w:r>
                    <w:rPr>
                      <w:rFonts w:hint="eastAsia" w:cs="Times New Roman"/>
                      <w:b w:val="0"/>
                      <w:bCs w:val="0"/>
                      <w:color w:val="000000" w:themeColor="text1"/>
                      <w:sz w:val="21"/>
                      <w:szCs w:val="21"/>
                      <w:highlight w:val="none"/>
                      <w:lang w:val="en-US" w:eastAsia="zh-CN"/>
                      <w14:textFill>
                        <w14:solidFill>
                          <w14:schemeClr w14:val="tx1"/>
                        </w14:solidFill>
                      </w14:textFill>
                    </w:rPr>
                    <w:t>除油剂</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等</w:t>
                  </w:r>
                </w:p>
              </w:tc>
              <w:tc>
                <w:tcPr>
                  <w:tcW w:w="1122" w:type="pct"/>
                  <w:noWrap w:val="0"/>
                  <w:vAlign w:val="center"/>
                </w:tcPr>
                <w:p w14:paraId="37146593">
                  <w:pPr>
                    <w:spacing w:line="240" w:lineRule="auto"/>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本项目年产钣金件1</w:t>
                  </w:r>
                  <w:r>
                    <w:rPr>
                      <w:rFonts w:hint="eastAsia" w:cs="Times New Roman"/>
                      <w:b w:val="0"/>
                      <w:bCs w:val="0"/>
                      <w:color w:val="000000" w:themeColor="text1"/>
                      <w:sz w:val="21"/>
                      <w:szCs w:val="21"/>
                      <w:highlight w:val="none"/>
                      <w:lang w:val="en-US" w:eastAsia="zh-CN"/>
                      <w14:textFill>
                        <w14:solidFill>
                          <w14:schemeClr w14:val="tx1"/>
                        </w14:solidFill>
                      </w14:textFill>
                    </w:rPr>
                    <w:t>1</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r>
                    <w:rPr>
                      <w:rFonts w:hint="eastAsia" w:cs="Times New Roman"/>
                      <w:b w:val="0"/>
                      <w:bCs w:val="0"/>
                      <w:color w:val="000000" w:themeColor="text1"/>
                      <w:sz w:val="21"/>
                      <w:szCs w:val="21"/>
                      <w:highlight w:val="none"/>
                      <w:lang w:val="en-US" w:eastAsia="zh-CN"/>
                      <w14:textFill>
                        <w14:solidFill>
                          <w14:schemeClr w14:val="tx1"/>
                        </w14:solidFill>
                      </w14:textFill>
                    </w:rPr>
                    <w:t>万</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m</w:t>
                  </w:r>
                  <w:r>
                    <w:rPr>
                      <w:rFonts w:hint="eastAsia"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；主要生产工序为开料、钣金、打磨、表面预处理、烘干</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喷</w:t>
                  </w:r>
                  <w:r>
                    <w:rPr>
                      <w:rFonts w:hint="eastAsia" w:cs="Times New Roman"/>
                      <w:b/>
                      <w:bCs/>
                      <w:color w:val="000000" w:themeColor="text1"/>
                      <w:sz w:val="21"/>
                      <w:szCs w:val="21"/>
                      <w:highlight w:val="none"/>
                      <w:lang w:val="en-US" w:eastAsia="zh-CN"/>
                      <w14:textFill>
                        <w14:solidFill>
                          <w14:schemeClr w14:val="tx1"/>
                        </w14:solidFill>
                      </w14:textFill>
                    </w:rPr>
                    <w:t>粉、喷漆</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、固化</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等工序；主要原辅材料为铝卷、</w:t>
                  </w:r>
                  <w:r>
                    <w:rPr>
                      <w:rFonts w:hint="eastAsia" w:cs="Times New Roman"/>
                      <w:b w:val="0"/>
                      <w:bCs w:val="0"/>
                      <w:color w:val="000000" w:themeColor="text1"/>
                      <w:sz w:val="21"/>
                      <w:szCs w:val="21"/>
                      <w:highlight w:val="none"/>
                      <w:lang w:val="en-US" w:eastAsia="zh-CN"/>
                      <w14:textFill>
                        <w14:solidFill>
                          <w14:schemeClr w14:val="tx1"/>
                        </w14:solidFill>
                      </w14:textFill>
                    </w:rPr>
                    <w:t>除油剂</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、油漆、粉末涂料等</w:t>
                  </w:r>
                </w:p>
              </w:tc>
              <w:tc>
                <w:tcPr>
                  <w:tcW w:w="529" w:type="pct"/>
                  <w:noWrap w:val="0"/>
                  <w:vAlign w:val="center"/>
                </w:tcPr>
                <w:p w14:paraId="7DADA8B5">
                  <w:pPr>
                    <w:spacing w:line="240" w:lineRule="auto"/>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有变化</w:t>
                  </w:r>
                </w:p>
              </w:tc>
              <w:tc>
                <w:tcPr>
                  <w:tcW w:w="530" w:type="pct"/>
                  <w:noWrap w:val="0"/>
                  <w:vAlign w:val="center"/>
                </w:tcPr>
                <w:p w14:paraId="304472A9">
                  <w:pPr>
                    <w:spacing w:line="240" w:lineRule="auto"/>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是</w:t>
                  </w:r>
                </w:p>
              </w:tc>
            </w:tr>
            <w:tr w14:paraId="3077F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noWrap w:val="0"/>
                  <w:vAlign w:val="center"/>
                </w:tcPr>
                <w:p w14:paraId="5A62BBAF">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7</w:t>
                  </w:r>
                </w:p>
              </w:tc>
              <w:tc>
                <w:tcPr>
                  <w:tcW w:w="1342" w:type="pct"/>
                  <w:noWrap w:val="0"/>
                  <w:vAlign w:val="center"/>
                </w:tcPr>
                <w:p w14:paraId="4ED9800E">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物料运输、装卸、贮存方式变化，导致大气污染物无组织排放量增加10%及以上的</w:t>
                  </w:r>
                </w:p>
              </w:tc>
              <w:tc>
                <w:tcPr>
                  <w:tcW w:w="1204" w:type="pct"/>
                  <w:noWrap w:val="0"/>
                  <w:vAlign w:val="center"/>
                </w:tcPr>
                <w:p w14:paraId="43B4CC3D">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一般工业固体废物在厂内采用库房或包装工具贮存，贮存过程应满足相应防渗漏、防雨淋、防扬尘等环境保护要求；危险废物贮存过程执行《危险废物贮存污染控制标准》（GB18597-2023）和《危险废物收集贮存运输技术规范》（HJ 2025-2012）。</w:t>
                  </w:r>
                </w:p>
              </w:tc>
              <w:tc>
                <w:tcPr>
                  <w:tcW w:w="1122" w:type="pct"/>
                  <w:noWrap w:val="0"/>
                  <w:vAlign w:val="center"/>
                </w:tcPr>
                <w:p w14:paraId="2172D726">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一般工业固体废物在厂内采用库房或包装工具贮存，贮存过程应满足相应防渗漏、防雨淋、防扬尘等环境保护要求；危险废物贮存过程执行《危险废物贮存污染控制标准》（GB18597-2023）和《危险废物收集贮存运输技术规范》（HJ 2025-2012）。</w:t>
                  </w:r>
                </w:p>
              </w:tc>
              <w:tc>
                <w:tcPr>
                  <w:tcW w:w="529" w:type="pct"/>
                  <w:noWrap w:val="0"/>
                  <w:vAlign w:val="center"/>
                </w:tcPr>
                <w:p w14:paraId="14E7CE07">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无变化</w:t>
                  </w:r>
                </w:p>
              </w:tc>
              <w:tc>
                <w:tcPr>
                  <w:tcW w:w="530" w:type="pct"/>
                  <w:noWrap w:val="0"/>
                  <w:vAlign w:val="center"/>
                </w:tcPr>
                <w:p w14:paraId="4B8F6AFF">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否</w:t>
                  </w:r>
                </w:p>
              </w:tc>
            </w:tr>
            <w:tr w14:paraId="5544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noWrap w:val="0"/>
                  <w:vAlign w:val="center"/>
                </w:tcPr>
                <w:p w14:paraId="25356BD3">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8</w:t>
                  </w:r>
                </w:p>
              </w:tc>
              <w:tc>
                <w:tcPr>
                  <w:tcW w:w="1342" w:type="pct"/>
                  <w:noWrap w:val="0"/>
                  <w:vAlign w:val="center"/>
                </w:tcPr>
                <w:p w14:paraId="532BB0D7">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废气、废水污染防治措施变化，导致第6条中所列情形之一（废气无组织排放改为有组织排放、污染防治措施强化或改进的除外）或大气污染物无组织排放量增加10%及以上的</w:t>
                  </w:r>
                </w:p>
              </w:tc>
              <w:tc>
                <w:tcPr>
                  <w:tcW w:w="1204" w:type="pct"/>
                  <w:noWrap w:val="0"/>
                  <w:vAlign w:val="center"/>
                </w:tcPr>
                <w:p w14:paraId="19FECEE2">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1、原项目</w:t>
                  </w:r>
                  <w:r>
                    <w:rPr>
                      <w:rFonts w:hint="eastAsia" w:cs="Times New Roman"/>
                      <w:b w:val="0"/>
                      <w:bCs w:val="0"/>
                      <w:color w:val="000000" w:themeColor="text1"/>
                      <w:sz w:val="21"/>
                      <w:szCs w:val="21"/>
                      <w:highlight w:val="none"/>
                      <w:lang w:val="en-US" w:eastAsia="zh-CN"/>
                      <w14:textFill>
                        <w14:solidFill>
                          <w14:schemeClr w14:val="tx1"/>
                        </w14:solidFill>
                      </w14:textFill>
                    </w:rPr>
                    <w:t>打磨粉尘经布袋除尘处理后由15m排气筒DA001排放</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w:t>
                  </w:r>
                </w:p>
                <w:p w14:paraId="7D6B0441">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2、天然气燃烧废气低氮燃烧后通过排气筒DA002排放。3、原项目无组织废气通过</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设置在密闭车间内，并加强车间管理，减少无组织排放</w:t>
                  </w:r>
                </w:p>
              </w:tc>
              <w:tc>
                <w:tcPr>
                  <w:tcW w:w="1122" w:type="pct"/>
                  <w:noWrap w:val="0"/>
                  <w:vAlign w:val="center"/>
                </w:tcPr>
                <w:p w14:paraId="5D655BB7">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1、新增3套废气治理措施，分别为“</w:t>
                  </w:r>
                  <w:r>
                    <w:rPr>
                      <w:b w:val="0"/>
                      <w:color w:val="000000" w:themeColor="text1"/>
                      <w:szCs w:val="24"/>
                      <w14:textFill>
                        <w14:solidFill>
                          <w14:schemeClr w14:val="tx1"/>
                        </w14:solidFill>
                      </w14:textFill>
                    </w:rPr>
                    <w:t>密闭车间负压收集+大旋风+滤芯式二级回收系统</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”、“水帘柜喷淋+干式过滤器+活性炭吸附脱附催化燃烧”、“</w:t>
                  </w:r>
                  <w:r>
                    <w:rPr>
                      <w:rFonts w:hint="eastAsia" w:cs="Times New Roman"/>
                      <w:b w:val="0"/>
                      <w:bCs w:val="0"/>
                      <w:color w:val="000000" w:themeColor="text1"/>
                      <w:sz w:val="21"/>
                      <w:szCs w:val="21"/>
                      <w:highlight w:val="none"/>
                      <w:lang w:val="en-US" w:eastAsia="zh-CN"/>
                      <w14:textFill>
                        <w14:solidFill>
                          <w14:schemeClr w14:val="tx1"/>
                        </w14:solidFill>
                      </w14:textFill>
                    </w:rPr>
                    <w:t>喷淋塔</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+干式过滤器+</w:t>
                  </w:r>
                  <w:r>
                    <w:rPr>
                      <w:rFonts w:hint="eastAsia" w:cs="Times New Roman"/>
                      <w:b w:val="0"/>
                      <w:bCs w:val="0"/>
                      <w:color w:val="000000" w:themeColor="text1"/>
                      <w:sz w:val="21"/>
                      <w:szCs w:val="21"/>
                      <w:highlight w:val="none"/>
                      <w:lang w:val="en-US" w:eastAsia="zh-CN"/>
                      <w14:textFill>
                        <w14:solidFill>
                          <w14:schemeClr w14:val="tx1"/>
                        </w14:solidFill>
                      </w14:textFill>
                    </w:rPr>
                    <w:t>二级</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活性炭吸附”，废气收集处理达标后通过15m高排气筒</w:t>
                  </w:r>
                  <w:r>
                    <w:rPr>
                      <w:rFonts w:hint="eastAsia" w:cs="Times New Roman"/>
                      <w:b w:val="0"/>
                      <w:bCs w:val="0"/>
                      <w:color w:val="000000" w:themeColor="text1"/>
                      <w:sz w:val="21"/>
                      <w:szCs w:val="21"/>
                      <w:highlight w:val="none"/>
                      <w:lang w:val="en-US" w:eastAsia="zh-CN"/>
                      <w14:textFill>
                        <w14:solidFill>
                          <w14:schemeClr w14:val="tx1"/>
                        </w14:solidFill>
                      </w14:textFill>
                    </w:rPr>
                    <w:t>DA001</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w:t>
                  </w:r>
                  <w:r>
                    <w:rPr>
                      <w:rFonts w:hint="eastAsia" w:cs="Times New Roman"/>
                      <w:b w:val="0"/>
                      <w:bCs w:val="0"/>
                      <w:color w:val="000000" w:themeColor="text1"/>
                      <w:sz w:val="21"/>
                      <w:szCs w:val="21"/>
                      <w:highlight w:val="none"/>
                      <w:lang w:val="en-US" w:eastAsia="zh-CN"/>
                      <w14:textFill>
                        <w14:solidFill>
                          <w14:schemeClr w14:val="tx1"/>
                        </w14:solidFill>
                      </w14:textFill>
                    </w:rPr>
                    <w:t>DA002</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高空排放；</w:t>
                  </w:r>
                </w:p>
                <w:p w14:paraId="211C9878">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2、新增颗粒物、非甲烷总烃、苯系物、臭气浓度</w:t>
                  </w:r>
                  <w:r>
                    <w:rPr>
                      <w:rFonts w:hint="eastAsia" w:cs="Times New Roman"/>
                      <w:b w:val="0"/>
                      <w:bCs w:val="0"/>
                      <w:color w:val="000000" w:themeColor="text1"/>
                      <w:sz w:val="21"/>
                      <w:szCs w:val="21"/>
                      <w:highlight w:val="none"/>
                      <w:lang w:val="en-US" w:eastAsia="zh-CN"/>
                      <w14:textFill>
                        <w14:solidFill>
                          <w14:schemeClr w14:val="tx1"/>
                        </w14:solidFill>
                      </w14:textFill>
                    </w:rPr>
                    <w:t>、二氧化硫、氮氧化物</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排放</w:t>
                  </w:r>
                </w:p>
              </w:tc>
              <w:tc>
                <w:tcPr>
                  <w:tcW w:w="529" w:type="pct"/>
                  <w:noWrap w:val="0"/>
                  <w:vAlign w:val="center"/>
                </w:tcPr>
                <w:p w14:paraId="4D237BAF">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有变化</w:t>
                  </w:r>
                </w:p>
              </w:tc>
              <w:tc>
                <w:tcPr>
                  <w:tcW w:w="530" w:type="pct"/>
                  <w:noWrap w:val="0"/>
                  <w:vAlign w:val="center"/>
                </w:tcPr>
                <w:p w14:paraId="6BD81B7D">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是</w:t>
                  </w:r>
                </w:p>
              </w:tc>
            </w:tr>
            <w:tr w14:paraId="71C60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noWrap w:val="0"/>
                  <w:vAlign w:val="center"/>
                </w:tcPr>
                <w:p w14:paraId="6B875E07">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9</w:t>
                  </w:r>
                </w:p>
              </w:tc>
              <w:tc>
                <w:tcPr>
                  <w:tcW w:w="1342" w:type="pct"/>
                  <w:noWrap w:val="0"/>
                  <w:vAlign w:val="center"/>
                </w:tcPr>
                <w:p w14:paraId="29A0C6F4">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新增废水直接排放口；废水由间接排放改为直接排放；废水直接排放口位置变化，导致不利环境影响加重的</w:t>
                  </w:r>
                </w:p>
              </w:tc>
              <w:tc>
                <w:tcPr>
                  <w:tcW w:w="1204" w:type="pct"/>
                  <w:noWrap w:val="0"/>
                  <w:vAlign w:val="center"/>
                </w:tcPr>
                <w:p w14:paraId="44BD7713">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原项目</w:t>
                  </w:r>
                  <w:r>
                    <w:rPr>
                      <w:rFonts w:hint="default" w:ascii="Times New Roman" w:hAnsi="Times New Roman" w:cs="Times New Roman"/>
                      <w:color w:val="000000" w:themeColor="text1"/>
                      <w:kern w:val="2"/>
                      <w:sz w:val="21"/>
                      <w:szCs w:val="21"/>
                      <w:highlight w:val="none"/>
                      <w14:textFill>
                        <w14:solidFill>
                          <w14:schemeClr w14:val="tx1"/>
                        </w14:solidFill>
                      </w14:textFill>
                    </w:rPr>
                    <w:t>生活污水经三级化粪池</w:t>
                  </w: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+隔油隔渣池</w:t>
                  </w:r>
                  <w:r>
                    <w:rPr>
                      <w:rFonts w:hint="default" w:ascii="Times New Roman" w:hAnsi="Times New Roman" w:cs="Times New Roman"/>
                      <w:color w:val="000000" w:themeColor="text1"/>
                      <w:kern w:val="2"/>
                      <w:sz w:val="21"/>
                      <w:szCs w:val="21"/>
                      <w:highlight w:val="none"/>
                      <w14:textFill>
                        <w14:solidFill>
                          <w14:schemeClr w14:val="tx1"/>
                        </w14:solidFill>
                      </w14:textFill>
                    </w:rPr>
                    <w:t>处理、生产废水经企业自建污水处理站处理后，经园区污水管网排入园区污水处理厂进一步处理后，排入武江</w:t>
                  </w:r>
                </w:p>
              </w:tc>
              <w:tc>
                <w:tcPr>
                  <w:tcW w:w="1122" w:type="pct"/>
                  <w:noWrap w:val="0"/>
                  <w:vAlign w:val="center"/>
                </w:tcPr>
                <w:p w14:paraId="56462DBF">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原项目</w:t>
                  </w:r>
                  <w:r>
                    <w:rPr>
                      <w:rFonts w:hint="default" w:ascii="Times New Roman" w:hAnsi="Times New Roman" w:cs="Times New Roman"/>
                      <w:color w:val="000000" w:themeColor="text1"/>
                      <w:kern w:val="2"/>
                      <w:sz w:val="21"/>
                      <w:szCs w:val="21"/>
                      <w:highlight w:val="none"/>
                      <w14:textFill>
                        <w14:solidFill>
                          <w14:schemeClr w14:val="tx1"/>
                        </w14:solidFill>
                      </w14:textFill>
                    </w:rPr>
                    <w:t>生活污水经三级化粪池</w:t>
                  </w: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+隔油隔渣池</w:t>
                  </w:r>
                  <w:r>
                    <w:rPr>
                      <w:rFonts w:hint="default" w:ascii="Times New Roman" w:hAnsi="Times New Roman" w:cs="Times New Roman"/>
                      <w:color w:val="000000" w:themeColor="text1"/>
                      <w:kern w:val="2"/>
                      <w:sz w:val="21"/>
                      <w:szCs w:val="21"/>
                      <w:highlight w:val="none"/>
                      <w14:textFill>
                        <w14:solidFill>
                          <w14:schemeClr w14:val="tx1"/>
                        </w14:solidFill>
                      </w14:textFill>
                    </w:rPr>
                    <w:t>处理、生产废水经企业自建污水处理站处理后，经园区污水管网排入园区污水处理厂进一步处理后，排入武江</w:t>
                  </w:r>
                </w:p>
              </w:tc>
              <w:tc>
                <w:tcPr>
                  <w:tcW w:w="529" w:type="pct"/>
                  <w:noWrap w:val="0"/>
                  <w:vAlign w:val="center"/>
                </w:tcPr>
                <w:p w14:paraId="6CB208E4">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无变化</w:t>
                  </w:r>
                </w:p>
              </w:tc>
              <w:tc>
                <w:tcPr>
                  <w:tcW w:w="530" w:type="pct"/>
                  <w:noWrap w:val="0"/>
                  <w:vAlign w:val="center"/>
                </w:tcPr>
                <w:p w14:paraId="7B88A7AF">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否</w:t>
                  </w:r>
                </w:p>
              </w:tc>
            </w:tr>
            <w:tr w14:paraId="6105A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noWrap w:val="0"/>
                  <w:vAlign w:val="center"/>
                </w:tcPr>
                <w:p w14:paraId="7A5C90BF">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10</w:t>
                  </w:r>
                </w:p>
              </w:tc>
              <w:tc>
                <w:tcPr>
                  <w:tcW w:w="1342" w:type="pct"/>
                  <w:noWrap w:val="0"/>
                  <w:vAlign w:val="center"/>
                </w:tcPr>
                <w:p w14:paraId="15B61A03">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新增废气主要排放口（废气无组织排放改为有组织排放的除外）；主要排放口排气筒高度降低10%及以上的</w:t>
                  </w:r>
                </w:p>
              </w:tc>
              <w:tc>
                <w:tcPr>
                  <w:tcW w:w="1204" w:type="pct"/>
                  <w:noWrap w:val="0"/>
                  <w:vAlign w:val="center"/>
                </w:tcPr>
                <w:p w14:paraId="77C1AA08">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原项目不涉及废气主要排放口</w:t>
                  </w:r>
                </w:p>
              </w:tc>
              <w:tc>
                <w:tcPr>
                  <w:tcW w:w="1122" w:type="pct"/>
                  <w:noWrap w:val="0"/>
                  <w:vAlign w:val="center"/>
                </w:tcPr>
                <w:p w14:paraId="2974A688">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本项目新增固化废气主要排放口</w:t>
                  </w:r>
                  <w:r>
                    <w:rPr>
                      <w:rFonts w:hint="eastAsia" w:cs="Times New Roman"/>
                      <w:b w:val="0"/>
                      <w:bCs w:val="0"/>
                      <w:color w:val="000000" w:themeColor="text1"/>
                      <w:sz w:val="21"/>
                      <w:szCs w:val="21"/>
                      <w:highlight w:val="none"/>
                      <w:lang w:val="en-US" w:eastAsia="zh-CN"/>
                      <w14:textFill>
                        <w14:solidFill>
                          <w14:schemeClr w14:val="tx1"/>
                        </w14:solidFill>
                      </w14:textFill>
                    </w:rPr>
                    <w:t>2</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个</w:t>
                  </w:r>
                </w:p>
              </w:tc>
              <w:tc>
                <w:tcPr>
                  <w:tcW w:w="529" w:type="pct"/>
                  <w:noWrap w:val="0"/>
                  <w:vAlign w:val="center"/>
                </w:tcPr>
                <w:p w14:paraId="0407206F">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变化</w:t>
                  </w:r>
                </w:p>
              </w:tc>
              <w:tc>
                <w:tcPr>
                  <w:tcW w:w="530" w:type="pct"/>
                  <w:noWrap w:val="0"/>
                  <w:vAlign w:val="center"/>
                </w:tcPr>
                <w:p w14:paraId="73BDDA61">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是</w:t>
                  </w:r>
                </w:p>
              </w:tc>
            </w:tr>
            <w:tr w14:paraId="7E97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noWrap w:val="0"/>
                  <w:vAlign w:val="center"/>
                </w:tcPr>
                <w:p w14:paraId="5E359354">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11</w:t>
                  </w:r>
                </w:p>
              </w:tc>
              <w:tc>
                <w:tcPr>
                  <w:tcW w:w="1342" w:type="pct"/>
                  <w:noWrap w:val="0"/>
                  <w:vAlign w:val="center"/>
                </w:tcPr>
                <w:p w14:paraId="6135DBDC">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噪声、土壤或地下水污染防治措施变化，导致不利环境影响加重的</w:t>
                  </w:r>
                </w:p>
              </w:tc>
              <w:tc>
                <w:tcPr>
                  <w:tcW w:w="1204" w:type="pct"/>
                  <w:noWrap w:val="0"/>
                  <w:vAlign w:val="center"/>
                </w:tcPr>
                <w:p w14:paraId="523AFC8B">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原项目对生产设备采取减振、隔声、吸声、消声等治理措施；厂区地面已全部硬化，危废间、物料仓库地面硬化，并刷环氧树脂漆防渗层、设置围堰，正常情况下可有效阻止地下水污染途径</w:t>
                  </w:r>
                </w:p>
              </w:tc>
              <w:tc>
                <w:tcPr>
                  <w:tcW w:w="1122" w:type="pct"/>
                  <w:noWrap w:val="0"/>
                  <w:vAlign w:val="center"/>
                </w:tcPr>
                <w:p w14:paraId="58566E26">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本项目对生产设备采取减振、隔声、吸声、消声等治理措施；厂区地面已全部硬化，危废间、物料仓库地面硬化，并刷环氧树脂漆防渗层、设置围堰，正常情况下可有效阻止地下水污染途径</w:t>
                  </w:r>
                </w:p>
              </w:tc>
              <w:tc>
                <w:tcPr>
                  <w:tcW w:w="529" w:type="pct"/>
                  <w:noWrap w:val="0"/>
                  <w:vAlign w:val="center"/>
                </w:tcPr>
                <w:p w14:paraId="49B950A4">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无变化</w:t>
                  </w:r>
                </w:p>
              </w:tc>
              <w:tc>
                <w:tcPr>
                  <w:tcW w:w="530" w:type="pct"/>
                  <w:noWrap w:val="0"/>
                  <w:vAlign w:val="center"/>
                </w:tcPr>
                <w:p w14:paraId="29CB5D63">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否</w:t>
                  </w:r>
                </w:p>
              </w:tc>
            </w:tr>
            <w:tr w14:paraId="0676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noWrap w:val="0"/>
                  <w:vAlign w:val="center"/>
                </w:tcPr>
                <w:p w14:paraId="31B05E07">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12</w:t>
                  </w:r>
                </w:p>
              </w:tc>
              <w:tc>
                <w:tcPr>
                  <w:tcW w:w="1342" w:type="pct"/>
                  <w:noWrap w:val="0"/>
                  <w:vAlign w:val="center"/>
                </w:tcPr>
                <w:p w14:paraId="075E0E65">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固体废物利用处置方式由委托外单位利用处置改为自行利用处置的（自行利用处置设施单独开展环境影响评价的除外）；固体废物自行处置方式变化，导致不利环境影响加重的</w:t>
                  </w:r>
                </w:p>
              </w:tc>
              <w:tc>
                <w:tcPr>
                  <w:tcW w:w="1204" w:type="pct"/>
                  <w:noWrap w:val="0"/>
                  <w:vAlign w:val="center"/>
                </w:tcPr>
                <w:p w14:paraId="768C4BDA">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一般工业固体废物在厂内采用库房或包装工具贮存，贮存过程应满足相应防渗漏、防雨淋、防扬尘等环境保护要求，执行《一般工业固体废物贮存和填埋污染控制标准》（GB18599-2020）控制要求；危险废物贮存过程执行《危险废物贮存污染控制标准》（GB18597-2023）和《危险废物收集贮存运输技术规范》（HJ 2025-2012）。</w:t>
                  </w:r>
                </w:p>
              </w:tc>
              <w:tc>
                <w:tcPr>
                  <w:tcW w:w="1122" w:type="pct"/>
                  <w:noWrap w:val="0"/>
                  <w:vAlign w:val="center"/>
                </w:tcPr>
                <w:p w14:paraId="65E4DA04">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一般工业固体废物在厂内采用库房或包装工具贮存，贮存过程应满足相应防渗漏、防雨淋、防扬尘等环境保护要求；危险废物贮存过程执行《危险废物贮存污染控制标准》（GB18597-2023）和《危险废物收集贮存运输技术规范》（HJ 2025-2012）。</w:t>
                  </w:r>
                </w:p>
              </w:tc>
              <w:tc>
                <w:tcPr>
                  <w:tcW w:w="529" w:type="pct"/>
                  <w:noWrap w:val="0"/>
                  <w:vAlign w:val="center"/>
                </w:tcPr>
                <w:p w14:paraId="22FB9782">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无变化</w:t>
                  </w:r>
                </w:p>
              </w:tc>
              <w:tc>
                <w:tcPr>
                  <w:tcW w:w="530" w:type="pct"/>
                  <w:noWrap w:val="0"/>
                  <w:vAlign w:val="center"/>
                </w:tcPr>
                <w:p w14:paraId="6C9C939D">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否</w:t>
                  </w:r>
                </w:p>
              </w:tc>
            </w:tr>
            <w:tr w14:paraId="3E8C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noWrap w:val="0"/>
                  <w:vAlign w:val="center"/>
                </w:tcPr>
                <w:p w14:paraId="2B14EC0D">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13</w:t>
                  </w:r>
                </w:p>
              </w:tc>
              <w:tc>
                <w:tcPr>
                  <w:tcW w:w="1342" w:type="pct"/>
                  <w:noWrap w:val="0"/>
                  <w:vAlign w:val="center"/>
                </w:tcPr>
                <w:p w14:paraId="6255A085">
                  <w:pPr>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事故废水暂存能力或拦截设施变化，导致环境风险防范能力弱化或降低的</w:t>
                  </w:r>
                </w:p>
              </w:tc>
              <w:tc>
                <w:tcPr>
                  <w:tcW w:w="1204" w:type="pct"/>
                  <w:noWrap w:val="0"/>
                  <w:vAlign w:val="center"/>
                </w:tcPr>
                <w:p w14:paraId="682EE648">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原项目1个有效容积为</w:t>
                  </w:r>
                  <w:r>
                    <w:rPr>
                      <w:rFonts w:hint="eastAsia" w:cs="Times New Roman"/>
                      <w:b w:val="0"/>
                      <w:bCs w:val="0"/>
                      <w:color w:val="000000" w:themeColor="text1"/>
                      <w:sz w:val="21"/>
                      <w:szCs w:val="21"/>
                      <w:highlight w:val="none"/>
                      <w:lang w:val="en-US" w:eastAsia="zh-CN"/>
                      <w14:textFill>
                        <w14:solidFill>
                          <w14:schemeClr w14:val="tx1"/>
                        </w14:solidFill>
                      </w14:textFill>
                    </w:rPr>
                    <w:t>18</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0m</w:t>
                  </w:r>
                  <w:r>
                    <w:rPr>
                      <w:rFonts w:hint="eastAsia"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3</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的事故应急池，当发生事故时，泄漏物料、消防废水等事故废水均能截留在厂区内</w:t>
                  </w:r>
                </w:p>
              </w:tc>
              <w:tc>
                <w:tcPr>
                  <w:tcW w:w="1122" w:type="pct"/>
                  <w:noWrap w:val="0"/>
                  <w:vAlign w:val="center"/>
                </w:tcPr>
                <w:p w14:paraId="64A8ADF4">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本项目1个有效容积为</w:t>
                  </w:r>
                  <w:r>
                    <w:rPr>
                      <w:rFonts w:hint="eastAsia" w:cs="Times New Roman"/>
                      <w:b w:val="0"/>
                      <w:bCs w:val="0"/>
                      <w:color w:val="000000" w:themeColor="text1"/>
                      <w:sz w:val="21"/>
                      <w:szCs w:val="21"/>
                      <w:highlight w:val="none"/>
                      <w:lang w:val="en-US" w:eastAsia="zh-CN"/>
                      <w14:textFill>
                        <w14:solidFill>
                          <w14:schemeClr w14:val="tx1"/>
                        </w14:solidFill>
                      </w14:textFill>
                    </w:rPr>
                    <w:t>150</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m</w:t>
                  </w:r>
                  <w:r>
                    <w:rPr>
                      <w:rFonts w:hint="eastAsia"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3</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的事故应急池，当发生事故时，泄漏物料、消防废水等事故废水均能截留在厂区内</w:t>
                  </w:r>
                </w:p>
              </w:tc>
              <w:tc>
                <w:tcPr>
                  <w:tcW w:w="529" w:type="pct"/>
                  <w:noWrap w:val="0"/>
                  <w:vAlign w:val="center"/>
                </w:tcPr>
                <w:p w14:paraId="4E0B61CF">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无变化</w:t>
                  </w:r>
                </w:p>
              </w:tc>
              <w:tc>
                <w:tcPr>
                  <w:tcW w:w="530" w:type="pct"/>
                  <w:noWrap w:val="0"/>
                  <w:vAlign w:val="center"/>
                </w:tcPr>
                <w:p w14:paraId="341BE16A">
                  <w:pPr>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否</w:t>
                  </w:r>
                </w:p>
              </w:tc>
            </w:tr>
          </w:tbl>
          <w:p w14:paraId="189A6F01">
            <w:pPr>
              <w:widowControl w:val="0"/>
              <w:spacing w:line="360" w:lineRule="auto"/>
              <w:ind w:firstLine="480" w:firstLineChars="200"/>
              <w:jc w:val="both"/>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70BEADBD">
            <w:pPr>
              <w:pStyle w:val="39"/>
              <w:spacing w:after="0"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eastAsia" w:cs="Times New Roman"/>
                <w:color w:val="000000" w:themeColor="text1"/>
                <w:kern w:val="0"/>
                <w:sz w:val="24"/>
                <w:szCs w:val="24"/>
                <w:highlight w:val="none"/>
                <w:lang w:val="en-US" w:eastAsia="zh-CN" w:bidi="ar-SA"/>
                <w14:textFill>
                  <w14:solidFill>
                    <w14:schemeClr w14:val="tx1"/>
                  </w14:solidFill>
                </w14:textFill>
              </w:rPr>
              <w:t>由于发生上述重大变动，</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根据《中华人民共和国环境影响评价法》第二十四条：“建设项目的环境影响评价文件经批准后，建设项目的性质、规模、地点、采用的生产工艺或者防治污染、防止生态破坏的措施发生重大变动的，建设单位应当重新报批建设项目的环境影响评价文件。”，为此，</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建设单位根</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据相关管理部门的建议，重新报批环境影响评价文件。</w:t>
            </w:r>
          </w:p>
          <w:p w14:paraId="03A4175B">
            <w:pPr>
              <w:pStyle w:val="39"/>
              <w:spacing w:after="0" w:line="360" w:lineRule="auto"/>
              <w:ind w:firstLine="480" w:firstLineChars="200"/>
              <w:rPr>
                <w:rFonts w:hint="default" w:ascii="Times New Roman" w:hAnsi="Times New Roman" w:eastAsia="宋体" w:cs="Times New Roman"/>
                <w:b/>
                <w:color w:val="000000" w:themeColor="text1"/>
                <w:sz w:val="18"/>
                <w:szCs w:val="18"/>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因此，受</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广东三筑金属制品有限公司</w:t>
            </w:r>
            <w:r>
              <w:rPr>
                <w:rFonts w:hint="default" w:ascii="Times New Roman" w:hAnsi="Times New Roman" w:eastAsia="宋体" w:cs="Times New Roman"/>
                <w:color w:val="000000" w:themeColor="text1"/>
                <w:sz w:val="24"/>
                <w:highlight w:val="none"/>
                <w14:textFill>
                  <w14:solidFill>
                    <w14:schemeClr w14:val="tx1"/>
                  </w14:solidFill>
                </w14:textFill>
              </w:rPr>
              <w:t>委托</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，我公司承担了该项目的环境影响评价工作。接受委托后，在现场踏勘和资料收集等的基础上，根据环境影响评价技术导则</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及其他有关</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文件，编制了《</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乐昌市三筑金属材料智造项目</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（重新报批）</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环境影响报告表》</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27224293">
            <w:pPr>
              <w:pStyle w:val="39"/>
              <w:spacing w:after="0" w:line="360" w:lineRule="auto"/>
              <w:ind w:firstLine="482"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t>二、</w:t>
            </w:r>
            <w:r>
              <w:rPr>
                <w:rFonts w:hint="default" w:ascii="Times New Roman" w:hAnsi="Times New Roman" w:eastAsia="宋体" w:cs="Times New Roman"/>
                <w:b/>
                <w:bCs/>
                <w:color w:val="000000" w:themeColor="text1"/>
                <w:sz w:val="24"/>
                <w:highlight w:val="none"/>
                <w14:textFill>
                  <w14:solidFill>
                    <w14:schemeClr w14:val="tx1"/>
                  </w14:solidFill>
                </w14:textFill>
              </w:rPr>
              <w:t>项目内容及规模</w:t>
            </w:r>
          </w:p>
          <w:p w14:paraId="6B494F19">
            <w:pPr>
              <w:pStyle w:val="10"/>
              <w:numPr>
                <w:ilvl w:val="3"/>
                <w:numId w:val="0"/>
              </w:numPr>
              <w:suppressLineNumbers w:val="0"/>
              <w:tabs>
                <w:tab w:val="left" w:pos="420"/>
              </w:tabs>
              <w:spacing w:before="0" w:beforeAutospacing="0" w:after="0" w:afterAutospacing="0" w:line="360" w:lineRule="auto"/>
              <w:ind w:left="-960" w:right="0" w:firstLine="144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1、工程规模</w:t>
            </w:r>
          </w:p>
          <w:p w14:paraId="72E6E5E2">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lang w:val="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本项目位于</w:t>
            </w:r>
            <w:r>
              <w:rPr>
                <w:rFonts w:hint="eastAsia" w:cs="Times New Roman"/>
                <w:color w:val="000000" w:themeColor="text1"/>
                <w:sz w:val="24"/>
                <w:szCs w:val="24"/>
                <w:highlight w:val="none"/>
                <w:lang w:eastAsia="zh-CN"/>
                <w14:textFill>
                  <w14:solidFill>
                    <w14:schemeClr w14:val="tx1"/>
                  </w14:solidFill>
                </w14:textFill>
              </w:rPr>
              <w:t>韶关市乐昌市乐昌经济开发区管理委员会后座046号</w:t>
            </w:r>
            <w:r>
              <w:rPr>
                <w:rFonts w:hint="default" w:ascii="Times New Roman" w:hAnsi="Times New Roman" w:cs="Times New Roman"/>
                <w:color w:val="000000" w:themeColor="text1"/>
                <w:sz w:val="24"/>
                <w:szCs w:val="24"/>
                <w:highlight w:val="none"/>
                <w14:textFill>
                  <w14:solidFill>
                    <w14:schemeClr w14:val="tx1"/>
                  </w14:solidFill>
                </w14:textFill>
              </w:rPr>
              <w:t>，建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设</w:t>
            </w:r>
            <w:r>
              <w:rPr>
                <w:rFonts w:hint="eastAsia"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cs="Times New Roman"/>
                <w:color w:val="000000" w:themeColor="text1"/>
                <w:sz w:val="24"/>
                <w:szCs w:val="24"/>
                <w:highlight w:val="none"/>
                <w14:textFill>
                  <w14:solidFill>
                    <w14:schemeClr w14:val="tx1"/>
                  </w14:solidFill>
                </w14:textFill>
              </w:rPr>
              <w:t>栋单层厂房</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1栋</w:t>
            </w:r>
            <w:r>
              <w:rPr>
                <w:rFonts w:hint="eastAsia" w:cs="Times New Roman"/>
                <w:color w:val="000000" w:themeColor="text1"/>
                <w:sz w:val="24"/>
                <w:szCs w:val="24"/>
                <w:highlight w:val="none"/>
                <w:lang w:val="en-US" w:eastAsia="zh-CN"/>
                <w14:textFill>
                  <w14:solidFill>
                    <w14:schemeClr w14:val="tx1"/>
                  </w14:solidFill>
                </w14:textFill>
              </w:rPr>
              <w:t>5层</w:t>
            </w:r>
            <w:r>
              <w:rPr>
                <w:rFonts w:hint="default" w:ascii="Times New Roman" w:hAnsi="Times New Roman" w:cs="Times New Roman"/>
                <w:color w:val="000000" w:themeColor="text1"/>
                <w:sz w:val="24"/>
                <w:szCs w:val="24"/>
                <w:highlight w:val="none"/>
                <w14:textFill>
                  <w14:solidFill>
                    <w14:schemeClr w14:val="tx1"/>
                  </w14:solidFill>
                </w14:textFill>
              </w:rPr>
              <w:t>宿舍楼</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和1栋</w:t>
            </w:r>
            <w:r>
              <w:rPr>
                <w:rFonts w:hint="eastAsia" w:cs="Times New Roman"/>
                <w:color w:val="000000" w:themeColor="text1"/>
                <w:sz w:val="24"/>
                <w:szCs w:val="24"/>
                <w:highlight w:val="none"/>
                <w:lang w:val="en-US" w:eastAsia="zh-CN"/>
                <w14:textFill>
                  <w14:solidFill>
                    <w14:schemeClr w14:val="tx1"/>
                  </w14:solidFill>
                </w14:textFill>
              </w:rPr>
              <w:t>9</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层综合楼</w:t>
            </w:r>
            <w:r>
              <w:rPr>
                <w:rFonts w:hint="default" w:ascii="Times New Roman" w:hAnsi="Times New Roman" w:cs="Times New Roman"/>
                <w:color w:val="000000" w:themeColor="text1"/>
                <w:sz w:val="24"/>
                <w:szCs w:val="24"/>
                <w:highlight w:val="none"/>
                <w14:textFill>
                  <w14:solidFill>
                    <w14:schemeClr w14:val="tx1"/>
                  </w14:solidFill>
                </w14:textFill>
              </w:rPr>
              <w:t>，本项目总占地面积</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54139.29</w:t>
            </w:r>
            <w:r>
              <w:rPr>
                <w:rFonts w:hint="default" w:ascii="Times New Roman" w:hAnsi="Times New Roman" w:cs="Times New Roman"/>
                <w:color w:val="000000" w:themeColor="text1"/>
                <w:sz w:val="24"/>
                <w:szCs w:val="24"/>
                <w:highlight w:val="none"/>
                <w14:textFill>
                  <w14:solidFill>
                    <w14:schemeClr w14:val="tx1"/>
                  </w14:solidFill>
                </w14:textFill>
              </w:rPr>
              <w:t>m²，总建筑面积</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43886.37</w:t>
            </w:r>
            <w:r>
              <w:rPr>
                <w:rFonts w:hint="default" w:ascii="Times New Roman" w:hAnsi="Times New Roman" w:cs="Times New Roman"/>
                <w:color w:val="000000" w:themeColor="text1"/>
                <w:sz w:val="24"/>
                <w:szCs w:val="24"/>
                <w:highlight w:val="none"/>
                <w14:textFill>
                  <w14:solidFill>
                    <w14:schemeClr w14:val="tx1"/>
                  </w14:solidFill>
                </w14:textFill>
              </w:rPr>
              <w:t>m²。项目</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主要</w:t>
            </w:r>
            <w:r>
              <w:rPr>
                <w:rFonts w:hint="default" w:ascii="Times New Roman" w:hAnsi="Times New Roman" w:cs="Times New Roman"/>
                <w:color w:val="000000" w:themeColor="text1"/>
                <w:sz w:val="24"/>
                <w:szCs w:val="24"/>
                <w:highlight w:val="none"/>
                <w14:textFill>
                  <w14:solidFill>
                    <w14:schemeClr w14:val="tx1"/>
                  </w14:solidFill>
                </w14:textFill>
              </w:rPr>
              <w:t>经济技术指标</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bCs/>
                <w:color w:val="000000" w:themeColor="text1"/>
                <w:kern w:val="0"/>
                <w:sz w:val="24"/>
                <w:szCs w:val="24"/>
                <w:highlight w:val="none"/>
                <w14:textFill>
                  <w14:solidFill>
                    <w14:schemeClr w14:val="tx1"/>
                  </w14:solidFill>
                </w14:textFill>
              </w:rPr>
              <w:t>建筑物情况</w:t>
            </w:r>
            <w:r>
              <w:rPr>
                <w:rFonts w:hint="eastAsia" w:ascii="Times New Roman" w:hAnsi="Times New Roman" w:cs="Times New Roman"/>
                <w:bCs/>
                <w:color w:val="000000" w:themeColor="text1"/>
                <w:kern w:val="0"/>
                <w:sz w:val="24"/>
                <w:szCs w:val="24"/>
                <w:highlight w:val="none"/>
                <w:lang w:val="en-US" w:eastAsia="zh-CN"/>
                <w14:textFill>
                  <w14:solidFill>
                    <w14:schemeClr w14:val="tx1"/>
                  </w14:solidFill>
                </w14:textFill>
              </w:rPr>
              <w:t>及</w:t>
            </w:r>
            <w:r>
              <w:rPr>
                <w:rFonts w:hint="default" w:ascii="Times New Roman" w:hAnsi="Times New Roman" w:cs="Times New Roman"/>
                <w:color w:val="000000" w:themeColor="text1"/>
                <w:sz w:val="24"/>
                <w:szCs w:val="24"/>
                <w:highlight w:val="none"/>
                <w14:textFill>
                  <w14:solidFill>
                    <w14:schemeClr w14:val="tx1"/>
                  </w14:solidFill>
                </w14:textFill>
              </w:rPr>
              <w:t>工程组成</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等</w:t>
            </w:r>
            <w:r>
              <w:rPr>
                <w:rFonts w:hint="default" w:ascii="Times New Roman" w:hAnsi="Times New Roman" w:cs="Times New Roman"/>
                <w:color w:val="000000" w:themeColor="text1"/>
                <w:sz w:val="24"/>
                <w:szCs w:val="24"/>
                <w:highlight w:val="none"/>
                <w14:textFill>
                  <w14:solidFill>
                    <w14:schemeClr w14:val="tx1"/>
                  </w14:solidFill>
                </w14:textFill>
              </w:rPr>
              <w:t>内容见</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下表</w:t>
            </w:r>
            <w:r>
              <w:rPr>
                <w:rFonts w:hint="default" w:ascii="Times New Roman" w:hAnsi="Times New Roman" w:cs="Times New Roman"/>
                <w:color w:val="000000" w:themeColor="text1"/>
                <w:sz w:val="24"/>
                <w:szCs w:val="24"/>
                <w:highlight w:val="none"/>
                <w:lang w:val="zh-CN"/>
                <w14:textFill>
                  <w14:solidFill>
                    <w14:schemeClr w14:val="tx1"/>
                  </w14:solidFill>
                </w14:textFill>
              </w:rPr>
              <w:t>。</w:t>
            </w:r>
          </w:p>
          <w:p w14:paraId="4436A3E3">
            <w:pPr>
              <w:pageBreakBefore w:val="0"/>
              <w:widowControl w:val="0"/>
              <w:numPr>
                <w:ilvl w:val="0"/>
                <w:numId w:val="10"/>
              </w:numPr>
              <w:wordWrap w:val="0"/>
              <w:overflowPunct/>
              <w:bidi w:val="0"/>
              <w:spacing w:line="240" w:lineRule="auto"/>
              <w:ind w:left="0" w:leftChars="0" w:firstLine="40" w:firstLineChars="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项目</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主要</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经济技术指标一览表</w:t>
            </w:r>
          </w:p>
          <w:tbl>
            <w:tblPr>
              <w:tblStyle w:val="132"/>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6"/>
              <w:gridCol w:w="468"/>
              <w:gridCol w:w="474"/>
              <w:gridCol w:w="3214"/>
              <w:gridCol w:w="1826"/>
              <w:gridCol w:w="1851"/>
            </w:tblGrid>
            <w:tr w14:paraId="59782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2805" w:type="pct"/>
                  <w:gridSpan w:val="4"/>
                  <w:noWrap w:val="0"/>
                  <w:vAlign w:val="center"/>
                </w:tcPr>
                <w:p w14:paraId="61CB39ED">
                  <w:pPr>
                    <w:widowControl w:val="0"/>
                    <w:kinsoku/>
                    <w:autoSpaceDE/>
                    <w:autoSpaceDN/>
                    <w:adjustRightInd/>
                    <w:snapToGrid/>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val="en-US" w:eastAsia="zh-CN" w:bidi="ar-SA"/>
                      <w14:textFill>
                        <w14:solidFill>
                          <w14:schemeClr w14:val="tx1"/>
                        </w14:solidFill>
                      </w14:textFill>
                    </w:rPr>
                    <w:t>名称</w:t>
                  </w:r>
                </w:p>
              </w:tc>
              <w:tc>
                <w:tcPr>
                  <w:tcW w:w="1089" w:type="pct"/>
                  <w:noWrap w:val="0"/>
                  <w:vAlign w:val="center"/>
                </w:tcPr>
                <w:p w14:paraId="590399F6">
                  <w:pPr>
                    <w:widowControl w:val="0"/>
                    <w:kinsoku/>
                    <w:autoSpaceDE/>
                    <w:autoSpaceDN/>
                    <w:adjustRightInd/>
                    <w:snapToGrid/>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val="en-US" w:eastAsia="zh-CN" w:bidi="ar-SA"/>
                      <w14:textFill>
                        <w14:solidFill>
                          <w14:schemeClr w14:val="tx1"/>
                        </w14:solidFill>
                      </w14:textFill>
                    </w:rPr>
                    <w:t>单位</w:t>
                  </w:r>
                </w:p>
              </w:tc>
              <w:tc>
                <w:tcPr>
                  <w:tcW w:w="1104" w:type="pct"/>
                  <w:noWrap w:val="0"/>
                  <w:vAlign w:val="center"/>
                </w:tcPr>
                <w:p w14:paraId="40F82B1F">
                  <w:pPr>
                    <w:widowControl w:val="0"/>
                    <w:kinsoku/>
                    <w:autoSpaceDE/>
                    <w:autoSpaceDN/>
                    <w:adjustRightInd/>
                    <w:snapToGrid/>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val="en-US" w:eastAsia="zh-CN" w:bidi="ar-SA"/>
                      <w14:textFill>
                        <w14:solidFill>
                          <w14:schemeClr w14:val="tx1"/>
                        </w14:solidFill>
                      </w14:textFill>
                    </w:rPr>
                    <w:t>数值</w:t>
                  </w:r>
                </w:p>
              </w:tc>
            </w:tr>
            <w:tr w14:paraId="293CC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26" w:type="pct"/>
                  <w:noWrap w:val="0"/>
                  <w:vAlign w:val="center"/>
                </w:tcPr>
                <w:p w14:paraId="1FE830E4">
                  <w:pPr>
                    <w:keepNext w:val="0"/>
                    <w:keepLines w:val="0"/>
                    <w:widowControl/>
                    <w:suppressLineNumbers w:val="0"/>
                    <w:jc w:val="center"/>
                    <w:textAlignment w:val="cente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2479" w:type="pct"/>
                  <w:gridSpan w:val="3"/>
                  <w:noWrap w:val="0"/>
                  <w:vAlign w:val="center"/>
                </w:tcPr>
                <w:p w14:paraId="0D596660">
                  <w:pPr>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规划总用地面积</w:t>
                  </w:r>
                </w:p>
              </w:tc>
              <w:tc>
                <w:tcPr>
                  <w:tcW w:w="1089" w:type="pct"/>
                  <w:noWrap w:val="0"/>
                  <w:vAlign w:val="center"/>
                </w:tcPr>
                <w:p w14:paraId="05D7BBC6">
                  <w:pPr>
                    <w:spacing w:line="240" w:lineRule="auto"/>
                    <w:jc w:val="cente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平方米</w:t>
                  </w:r>
                </w:p>
              </w:tc>
              <w:tc>
                <w:tcPr>
                  <w:tcW w:w="1104" w:type="pct"/>
                  <w:noWrap w:val="0"/>
                  <w:vAlign w:val="center"/>
                </w:tcPr>
                <w:p w14:paraId="5DC5CBDF">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54139.29</w:t>
                  </w:r>
                </w:p>
              </w:tc>
            </w:tr>
            <w:tr w14:paraId="5CE54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26" w:type="pct"/>
                  <w:noWrap w:val="0"/>
                  <w:vAlign w:val="center"/>
                </w:tcPr>
                <w:p w14:paraId="071E50D1">
                  <w:pPr>
                    <w:keepNext w:val="0"/>
                    <w:keepLines w:val="0"/>
                    <w:widowControl/>
                    <w:suppressLineNumbers w:val="0"/>
                    <w:jc w:val="center"/>
                    <w:textAlignment w:val="cente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p>
              </w:tc>
              <w:tc>
                <w:tcPr>
                  <w:tcW w:w="2479" w:type="pct"/>
                  <w:gridSpan w:val="3"/>
                  <w:noWrap w:val="0"/>
                  <w:vAlign w:val="center"/>
                </w:tcPr>
                <w:p w14:paraId="3FBA104C">
                  <w:pPr>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规划建设用地面积</w:t>
                  </w:r>
                </w:p>
              </w:tc>
              <w:tc>
                <w:tcPr>
                  <w:tcW w:w="1089" w:type="pct"/>
                  <w:noWrap w:val="0"/>
                  <w:vAlign w:val="center"/>
                </w:tcPr>
                <w:p w14:paraId="57B84916">
                  <w:pPr>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平方米</w:t>
                  </w:r>
                </w:p>
              </w:tc>
              <w:tc>
                <w:tcPr>
                  <w:tcW w:w="1104" w:type="pct"/>
                  <w:noWrap w:val="0"/>
                  <w:vAlign w:val="center"/>
                </w:tcPr>
                <w:p w14:paraId="727523F7">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54139.29</w:t>
                  </w:r>
                </w:p>
              </w:tc>
            </w:tr>
            <w:tr w14:paraId="13964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26" w:type="pct"/>
                  <w:noWrap w:val="0"/>
                  <w:vAlign w:val="center"/>
                </w:tcPr>
                <w:p w14:paraId="3000AC8B">
                  <w:pPr>
                    <w:keepNext w:val="0"/>
                    <w:keepLines w:val="0"/>
                    <w:widowControl/>
                    <w:suppressLineNumbers w:val="0"/>
                    <w:jc w:val="center"/>
                    <w:textAlignment w:val="cente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w:t>
                  </w:r>
                </w:p>
              </w:tc>
              <w:tc>
                <w:tcPr>
                  <w:tcW w:w="2479" w:type="pct"/>
                  <w:gridSpan w:val="3"/>
                  <w:noWrap w:val="0"/>
                  <w:vAlign w:val="center"/>
                </w:tcPr>
                <w:p w14:paraId="1EEEB765">
                  <w:pPr>
                    <w:adjustRightInd w:val="0"/>
                    <w:snapToGrid w:val="0"/>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总建筑基底面积</w:t>
                  </w:r>
                </w:p>
              </w:tc>
              <w:tc>
                <w:tcPr>
                  <w:tcW w:w="1089" w:type="pct"/>
                  <w:noWrap w:val="0"/>
                  <w:vAlign w:val="center"/>
                </w:tcPr>
                <w:p w14:paraId="32AA9A89">
                  <w:pPr>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平方米</w:t>
                  </w:r>
                </w:p>
              </w:tc>
              <w:tc>
                <w:tcPr>
                  <w:tcW w:w="1104" w:type="pct"/>
                  <w:noWrap w:val="0"/>
                  <w:vAlign w:val="center"/>
                </w:tcPr>
                <w:p w14:paraId="6C61A1FF">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32340.05</w:t>
                  </w:r>
                </w:p>
              </w:tc>
            </w:tr>
            <w:tr w14:paraId="4B1EE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26" w:type="pct"/>
                  <w:noWrap w:val="0"/>
                  <w:vAlign w:val="center"/>
                </w:tcPr>
                <w:p w14:paraId="58787ED4">
                  <w:pPr>
                    <w:keepNext w:val="0"/>
                    <w:keepLines w:val="0"/>
                    <w:widowControl/>
                    <w:suppressLineNumbers w:val="0"/>
                    <w:jc w:val="center"/>
                    <w:textAlignment w:val="center"/>
                    <w:rPr>
                      <w:rFonts w:hint="default" w:cs="Times New Roman"/>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w:t>
                  </w:r>
                </w:p>
              </w:tc>
              <w:tc>
                <w:tcPr>
                  <w:tcW w:w="2479" w:type="pct"/>
                  <w:gridSpan w:val="3"/>
                  <w:noWrap w:val="0"/>
                  <w:vAlign w:val="center"/>
                </w:tcPr>
                <w:p w14:paraId="1D2A39B8">
                  <w:pPr>
                    <w:adjustRightInd w:val="0"/>
                    <w:snapToGrid w:val="0"/>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总建筑面积</w:t>
                  </w:r>
                </w:p>
              </w:tc>
              <w:tc>
                <w:tcPr>
                  <w:tcW w:w="1089" w:type="pct"/>
                  <w:noWrap w:val="0"/>
                  <w:vAlign w:val="center"/>
                </w:tcPr>
                <w:p w14:paraId="01921F45">
                  <w:pPr>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平方米</w:t>
                  </w:r>
                </w:p>
              </w:tc>
              <w:tc>
                <w:tcPr>
                  <w:tcW w:w="1104" w:type="pct"/>
                  <w:noWrap w:val="0"/>
                  <w:vAlign w:val="center"/>
                </w:tcPr>
                <w:p w14:paraId="6A18847B">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43886.37</w:t>
                  </w:r>
                </w:p>
              </w:tc>
            </w:tr>
            <w:tr w14:paraId="572A8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26" w:type="pct"/>
                  <w:noWrap w:val="0"/>
                  <w:vAlign w:val="center"/>
                </w:tcPr>
                <w:p w14:paraId="5D494328">
                  <w:pPr>
                    <w:keepNext w:val="0"/>
                    <w:keepLines w:val="0"/>
                    <w:widowControl/>
                    <w:suppressLineNumbers w:val="0"/>
                    <w:jc w:val="center"/>
                    <w:textAlignment w:val="center"/>
                    <w:rPr>
                      <w:rFonts w:hint="eastAsia" w:cs="Times New Roman"/>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w:t>
                  </w:r>
                </w:p>
              </w:tc>
              <w:tc>
                <w:tcPr>
                  <w:tcW w:w="279" w:type="pct"/>
                  <w:vMerge w:val="restart"/>
                  <w:noWrap w:val="0"/>
                  <w:vAlign w:val="center"/>
                </w:tcPr>
                <w:p w14:paraId="7ECBE1B9">
                  <w:pPr>
                    <w:adjustRightInd w:val="0"/>
                    <w:snapToGrid w:val="0"/>
                    <w:spacing w:line="240" w:lineRule="auto"/>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其中</w:t>
                  </w:r>
                </w:p>
              </w:tc>
              <w:tc>
                <w:tcPr>
                  <w:tcW w:w="2200" w:type="pct"/>
                  <w:gridSpan w:val="2"/>
                  <w:noWrap w:val="0"/>
                  <w:vAlign w:val="center"/>
                </w:tcPr>
                <w:p w14:paraId="2EFA7C03">
                  <w:pPr>
                    <w:adjustRightInd w:val="0"/>
                    <w:snapToGrid w:val="0"/>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地上总建筑面积</w:t>
                  </w:r>
                </w:p>
              </w:tc>
              <w:tc>
                <w:tcPr>
                  <w:tcW w:w="1089" w:type="pct"/>
                  <w:noWrap w:val="0"/>
                  <w:vAlign w:val="center"/>
                </w:tcPr>
                <w:p w14:paraId="00D41BC6">
                  <w:pPr>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平方米</w:t>
                  </w:r>
                </w:p>
              </w:tc>
              <w:tc>
                <w:tcPr>
                  <w:tcW w:w="1104" w:type="pct"/>
                  <w:noWrap w:val="0"/>
                  <w:vAlign w:val="center"/>
                </w:tcPr>
                <w:p w14:paraId="71BA8D0B">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43570.27</w:t>
                  </w:r>
                </w:p>
              </w:tc>
            </w:tr>
            <w:tr w14:paraId="7BFA4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26" w:type="pct"/>
                  <w:noWrap w:val="0"/>
                  <w:vAlign w:val="center"/>
                </w:tcPr>
                <w:p w14:paraId="31E87A0A">
                  <w:pPr>
                    <w:keepNext w:val="0"/>
                    <w:keepLines w:val="0"/>
                    <w:widowControl/>
                    <w:suppressLineNumbers w:val="0"/>
                    <w:jc w:val="center"/>
                    <w:textAlignment w:val="center"/>
                    <w:rPr>
                      <w:rFonts w:hint="eastAsia" w:cs="Times New Roman"/>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w:t>
                  </w:r>
                </w:p>
              </w:tc>
              <w:tc>
                <w:tcPr>
                  <w:tcW w:w="279" w:type="pct"/>
                  <w:vMerge w:val="continue"/>
                  <w:noWrap w:val="0"/>
                  <w:vAlign w:val="center"/>
                </w:tcPr>
                <w:p w14:paraId="3782F292">
                  <w:pPr>
                    <w:adjustRightInd w:val="0"/>
                    <w:snapToGrid w:val="0"/>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p>
              </w:tc>
              <w:tc>
                <w:tcPr>
                  <w:tcW w:w="2200" w:type="pct"/>
                  <w:gridSpan w:val="2"/>
                  <w:noWrap w:val="0"/>
                  <w:vAlign w:val="center"/>
                </w:tcPr>
                <w:p w14:paraId="0579484C">
                  <w:pPr>
                    <w:adjustRightInd w:val="0"/>
                    <w:snapToGrid w:val="0"/>
                    <w:spacing w:line="240" w:lineRule="auto"/>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综合楼</w:t>
                  </w:r>
                </w:p>
              </w:tc>
              <w:tc>
                <w:tcPr>
                  <w:tcW w:w="1089" w:type="pct"/>
                  <w:noWrap w:val="0"/>
                  <w:vAlign w:val="center"/>
                </w:tcPr>
                <w:p w14:paraId="44AB1B4B">
                  <w:pPr>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平方米</w:t>
                  </w:r>
                </w:p>
              </w:tc>
              <w:tc>
                <w:tcPr>
                  <w:tcW w:w="1104" w:type="pct"/>
                  <w:noWrap w:val="0"/>
                  <w:vAlign w:val="center"/>
                </w:tcPr>
                <w:p w14:paraId="18412BD5">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9376.38</w:t>
                  </w:r>
                </w:p>
              </w:tc>
            </w:tr>
            <w:tr w14:paraId="3D688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26" w:type="pct"/>
                  <w:noWrap w:val="0"/>
                  <w:vAlign w:val="center"/>
                </w:tcPr>
                <w:p w14:paraId="6B6E3FAE">
                  <w:pPr>
                    <w:keepNext w:val="0"/>
                    <w:keepLines w:val="0"/>
                    <w:widowControl/>
                    <w:suppressLineNumbers w:val="0"/>
                    <w:jc w:val="center"/>
                    <w:textAlignment w:val="center"/>
                    <w:rPr>
                      <w:rFonts w:hint="eastAsia" w:cs="Times New Roman"/>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w:t>
                  </w:r>
                </w:p>
              </w:tc>
              <w:tc>
                <w:tcPr>
                  <w:tcW w:w="279" w:type="pct"/>
                  <w:vMerge w:val="continue"/>
                  <w:noWrap w:val="0"/>
                  <w:vAlign w:val="center"/>
                </w:tcPr>
                <w:p w14:paraId="569431C1">
                  <w:pPr>
                    <w:adjustRightInd w:val="0"/>
                    <w:snapToGrid w:val="0"/>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p>
              </w:tc>
              <w:tc>
                <w:tcPr>
                  <w:tcW w:w="2200" w:type="pct"/>
                  <w:gridSpan w:val="2"/>
                  <w:noWrap w:val="0"/>
                  <w:vAlign w:val="center"/>
                </w:tcPr>
                <w:p w14:paraId="6A0E7417">
                  <w:pPr>
                    <w:adjustRightInd w:val="0"/>
                    <w:snapToGrid w:val="0"/>
                    <w:spacing w:line="240" w:lineRule="auto"/>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宿舍楼</w:t>
                  </w:r>
                </w:p>
              </w:tc>
              <w:tc>
                <w:tcPr>
                  <w:tcW w:w="1089" w:type="pct"/>
                  <w:noWrap w:val="0"/>
                  <w:vAlign w:val="center"/>
                </w:tcPr>
                <w:p w14:paraId="56AF2D8D">
                  <w:pPr>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平方米</w:t>
                  </w:r>
                </w:p>
              </w:tc>
              <w:tc>
                <w:tcPr>
                  <w:tcW w:w="1104" w:type="pct"/>
                  <w:noWrap w:val="0"/>
                  <w:vAlign w:val="center"/>
                </w:tcPr>
                <w:p w14:paraId="49B31738">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3734.40</w:t>
                  </w:r>
                </w:p>
              </w:tc>
            </w:tr>
            <w:tr w14:paraId="17F64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26" w:type="pct"/>
                  <w:noWrap w:val="0"/>
                  <w:vAlign w:val="center"/>
                </w:tcPr>
                <w:p w14:paraId="4B831C26">
                  <w:pPr>
                    <w:keepNext w:val="0"/>
                    <w:keepLines w:val="0"/>
                    <w:widowControl/>
                    <w:suppressLineNumbers w:val="0"/>
                    <w:jc w:val="center"/>
                    <w:textAlignment w:val="center"/>
                    <w:rPr>
                      <w:rFonts w:hint="eastAsia" w:cs="Times New Roman"/>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w:t>
                  </w:r>
                </w:p>
              </w:tc>
              <w:tc>
                <w:tcPr>
                  <w:tcW w:w="279" w:type="pct"/>
                  <w:vMerge w:val="continue"/>
                  <w:noWrap w:val="0"/>
                  <w:vAlign w:val="center"/>
                </w:tcPr>
                <w:p w14:paraId="15F071BC">
                  <w:pPr>
                    <w:adjustRightInd w:val="0"/>
                    <w:snapToGrid w:val="0"/>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p>
              </w:tc>
              <w:tc>
                <w:tcPr>
                  <w:tcW w:w="2200" w:type="pct"/>
                  <w:gridSpan w:val="2"/>
                  <w:noWrap w:val="0"/>
                  <w:vAlign w:val="center"/>
                </w:tcPr>
                <w:p w14:paraId="3FB5AF2C">
                  <w:pPr>
                    <w:adjustRightInd w:val="0"/>
                    <w:snapToGrid w:val="0"/>
                    <w:spacing w:line="240" w:lineRule="auto"/>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1#厂房</w:t>
                  </w:r>
                </w:p>
              </w:tc>
              <w:tc>
                <w:tcPr>
                  <w:tcW w:w="1089" w:type="pct"/>
                  <w:noWrap w:val="0"/>
                  <w:vAlign w:val="center"/>
                </w:tcPr>
                <w:p w14:paraId="54C97CC2">
                  <w:pPr>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平方米</w:t>
                  </w:r>
                </w:p>
              </w:tc>
              <w:tc>
                <w:tcPr>
                  <w:tcW w:w="1104" w:type="pct"/>
                  <w:noWrap w:val="0"/>
                  <w:vAlign w:val="center"/>
                </w:tcPr>
                <w:p w14:paraId="6A4D607A">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6272.00</w:t>
                  </w:r>
                </w:p>
              </w:tc>
            </w:tr>
            <w:tr w14:paraId="4167A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26" w:type="pct"/>
                  <w:noWrap w:val="0"/>
                  <w:vAlign w:val="center"/>
                </w:tcPr>
                <w:p w14:paraId="7B01DA73">
                  <w:pPr>
                    <w:keepNext w:val="0"/>
                    <w:keepLines w:val="0"/>
                    <w:widowControl/>
                    <w:suppressLineNumbers w:val="0"/>
                    <w:jc w:val="center"/>
                    <w:textAlignment w:val="center"/>
                    <w:rPr>
                      <w:rFonts w:hint="eastAsia" w:cs="Times New Roman"/>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w:t>
                  </w:r>
                </w:p>
              </w:tc>
              <w:tc>
                <w:tcPr>
                  <w:tcW w:w="279" w:type="pct"/>
                  <w:vMerge w:val="continue"/>
                  <w:noWrap w:val="0"/>
                  <w:vAlign w:val="center"/>
                </w:tcPr>
                <w:p w14:paraId="07D020DD">
                  <w:pPr>
                    <w:adjustRightInd w:val="0"/>
                    <w:snapToGrid w:val="0"/>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p>
              </w:tc>
              <w:tc>
                <w:tcPr>
                  <w:tcW w:w="2200" w:type="pct"/>
                  <w:gridSpan w:val="2"/>
                  <w:noWrap w:val="0"/>
                  <w:vAlign w:val="center"/>
                </w:tcPr>
                <w:p w14:paraId="1B20183D">
                  <w:pPr>
                    <w:adjustRightInd w:val="0"/>
                    <w:snapToGrid w:val="0"/>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2#厂房</w:t>
                  </w:r>
                </w:p>
              </w:tc>
              <w:tc>
                <w:tcPr>
                  <w:tcW w:w="1089" w:type="pct"/>
                  <w:noWrap w:val="0"/>
                  <w:vAlign w:val="center"/>
                </w:tcPr>
                <w:p w14:paraId="7C9E83F3">
                  <w:pPr>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平方米</w:t>
                  </w:r>
                </w:p>
              </w:tc>
              <w:tc>
                <w:tcPr>
                  <w:tcW w:w="1104" w:type="pct"/>
                  <w:noWrap w:val="0"/>
                  <w:vAlign w:val="center"/>
                </w:tcPr>
                <w:p w14:paraId="5EC33038">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6272.00</w:t>
                  </w:r>
                </w:p>
              </w:tc>
            </w:tr>
            <w:tr w14:paraId="3339D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jc w:val="center"/>
              </w:trPr>
              <w:tc>
                <w:tcPr>
                  <w:tcW w:w="326" w:type="pct"/>
                  <w:noWrap w:val="0"/>
                  <w:vAlign w:val="center"/>
                </w:tcPr>
                <w:p w14:paraId="23B6608C">
                  <w:pPr>
                    <w:keepNext w:val="0"/>
                    <w:keepLines w:val="0"/>
                    <w:widowControl/>
                    <w:suppressLineNumbers w:val="0"/>
                    <w:jc w:val="center"/>
                    <w:textAlignment w:val="center"/>
                    <w:rPr>
                      <w:rFonts w:hint="eastAsia" w:cs="Times New Roman"/>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w:t>
                  </w:r>
                </w:p>
              </w:tc>
              <w:tc>
                <w:tcPr>
                  <w:tcW w:w="279" w:type="pct"/>
                  <w:vMerge w:val="continue"/>
                  <w:noWrap w:val="0"/>
                  <w:vAlign w:val="center"/>
                </w:tcPr>
                <w:p w14:paraId="141FF55F">
                  <w:pPr>
                    <w:adjustRightInd w:val="0"/>
                    <w:snapToGrid w:val="0"/>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p>
              </w:tc>
              <w:tc>
                <w:tcPr>
                  <w:tcW w:w="2200" w:type="pct"/>
                  <w:gridSpan w:val="2"/>
                  <w:noWrap w:val="0"/>
                  <w:vAlign w:val="center"/>
                </w:tcPr>
                <w:p w14:paraId="393DAFF4">
                  <w:pPr>
                    <w:adjustRightInd w:val="0"/>
                    <w:snapToGrid w:val="0"/>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3#厂房</w:t>
                  </w:r>
                </w:p>
              </w:tc>
              <w:tc>
                <w:tcPr>
                  <w:tcW w:w="1089" w:type="pct"/>
                  <w:noWrap w:val="0"/>
                  <w:vAlign w:val="center"/>
                </w:tcPr>
                <w:p w14:paraId="4CB3D729">
                  <w:pPr>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平方米</w:t>
                  </w:r>
                </w:p>
              </w:tc>
              <w:tc>
                <w:tcPr>
                  <w:tcW w:w="1104" w:type="pct"/>
                  <w:noWrap w:val="0"/>
                  <w:vAlign w:val="center"/>
                </w:tcPr>
                <w:p w14:paraId="1E0A0926">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5311.49</w:t>
                  </w:r>
                </w:p>
              </w:tc>
            </w:tr>
            <w:tr w14:paraId="5929A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326" w:type="pct"/>
                  <w:noWrap w:val="0"/>
                  <w:vAlign w:val="center"/>
                </w:tcPr>
                <w:p w14:paraId="54E40932">
                  <w:pPr>
                    <w:keepNext w:val="0"/>
                    <w:keepLines w:val="0"/>
                    <w:widowControl/>
                    <w:suppressLineNumbers w:val="0"/>
                    <w:jc w:val="center"/>
                    <w:textAlignment w:val="center"/>
                    <w:rPr>
                      <w:rFonts w:hint="eastAsia" w:cs="Times New Roman"/>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11</w:t>
                  </w:r>
                </w:p>
              </w:tc>
              <w:tc>
                <w:tcPr>
                  <w:tcW w:w="279" w:type="pct"/>
                  <w:vMerge w:val="continue"/>
                  <w:noWrap w:val="0"/>
                  <w:vAlign w:val="center"/>
                </w:tcPr>
                <w:p w14:paraId="46F06B92">
                  <w:pPr>
                    <w:adjustRightInd w:val="0"/>
                    <w:snapToGrid w:val="0"/>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p>
              </w:tc>
              <w:tc>
                <w:tcPr>
                  <w:tcW w:w="2200" w:type="pct"/>
                  <w:gridSpan w:val="2"/>
                  <w:noWrap w:val="0"/>
                  <w:vAlign w:val="center"/>
                </w:tcPr>
                <w:p w14:paraId="3F1D485B">
                  <w:pPr>
                    <w:adjustRightInd w:val="0"/>
                    <w:snapToGrid w:val="0"/>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4#厂房</w:t>
                  </w:r>
                </w:p>
              </w:tc>
              <w:tc>
                <w:tcPr>
                  <w:tcW w:w="1089" w:type="pct"/>
                  <w:noWrap w:val="0"/>
                  <w:vAlign w:val="center"/>
                </w:tcPr>
                <w:p w14:paraId="785D1CB0">
                  <w:pPr>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平方米</w:t>
                  </w:r>
                </w:p>
              </w:tc>
              <w:tc>
                <w:tcPr>
                  <w:tcW w:w="1104" w:type="pct"/>
                  <w:noWrap w:val="0"/>
                  <w:vAlign w:val="center"/>
                </w:tcPr>
                <w:p w14:paraId="02349885">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5824.00</w:t>
                  </w:r>
                </w:p>
              </w:tc>
            </w:tr>
            <w:tr w14:paraId="53FDF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26" w:type="pct"/>
                  <w:noWrap w:val="0"/>
                  <w:vAlign w:val="center"/>
                </w:tcPr>
                <w:p w14:paraId="4E4B1A4B">
                  <w:pPr>
                    <w:keepNext w:val="0"/>
                    <w:keepLines w:val="0"/>
                    <w:widowControl/>
                    <w:suppressLineNumbers w:val="0"/>
                    <w:jc w:val="center"/>
                    <w:textAlignment w:val="center"/>
                    <w:rPr>
                      <w:rFonts w:hint="eastAsia" w:cs="Times New Roman"/>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12</w:t>
                  </w:r>
                </w:p>
              </w:tc>
              <w:tc>
                <w:tcPr>
                  <w:tcW w:w="279" w:type="pct"/>
                  <w:vMerge w:val="continue"/>
                  <w:noWrap w:val="0"/>
                  <w:vAlign w:val="center"/>
                </w:tcPr>
                <w:p w14:paraId="52E4804B">
                  <w:pPr>
                    <w:adjustRightInd w:val="0"/>
                    <w:snapToGrid w:val="0"/>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p>
              </w:tc>
              <w:tc>
                <w:tcPr>
                  <w:tcW w:w="2200" w:type="pct"/>
                  <w:gridSpan w:val="2"/>
                  <w:noWrap w:val="0"/>
                  <w:vAlign w:val="center"/>
                </w:tcPr>
                <w:p w14:paraId="16E109CA">
                  <w:pPr>
                    <w:adjustRightInd w:val="0"/>
                    <w:snapToGrid w:val="0"/>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5#厂房</w:t>
                  </w:r>
                </w:p>
              </w:tc>
              <w:tc>
                <w:tcPr>
                  <w:tcW w:w="1089" w:type="pct"/>
                  <w:noWrap w:val="0"/>
                  <w:vAlign w:val="center"/>
                </w:tcPr>
                <w:p w14:paraId="61A0E52E">
                  <w:pPr>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平方米</w:t>
                  </w:r>
                </w:p>
              </w:tc>
              <w:tc>
                <w:tcPr>
                  <w:tcW w:w="1104" w:type="pct"/>
                  <w:noWrap w:val="0"/>
                  <w:vAlign w:val="center"/>
                </w:tcPr>
                <w:p w14:paraId="43DE94B5">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6780.00</w:t>
                  </w:r>
                </w:p>
              </w:tc>
            </w:tr>
            <w:tr w14:paraId="43625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26" w:type="pct"/>
                  <w:noWrap w:val="0"/>
                  <w:vAlign w:val="center"/>
                </w:tcPr>
                <w:p w14:paraId="27773948">
                  <w:pPr>
                    <w:keepNext w:val="0"/>
                    <w:keepLines w:val="0"/>
                    <w:widowControl/>
                    <w:suppressLineNumbers w:val="0"/>
                    <w:jc w:val="center"/>
                    <w:textAlignment w:val="center"/>
                    <w:rPr>
                      <w:rFonts w:hint="eastAsia" w:cs="Times New Roman"/>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13</w:t>
                  </w:r>
                </w:p>
              </w:tc>
              <w:tc>
                <w:tcPr>
                  <w:tcW w:w="279" w:type="pct"/>
                  <w:vMerge w:val="continue"/>
                  <w:noWrap w:val="0"/>
                  <w:vAlign w:val="center"/>
                </w:tcPr>
                <w:p w14:paraId="12CA14FF">
                  <w:pPr>
                    <w:adjustRightInd w:val="0"/>
                    <w:snapToGrid w:val="0"/>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p>
              </w:tc>
              <w:tc>
                <w:tcPr>
                  <w:tcW w:w="2200" w:type="pct"/>
                  <w:gridSpan w:val="2"/>
                  <w:noWrap w:val="0"/>
                  <w:vAlign w:val="center"/>
                </w:tcPr>
                <w:p w14:paraId="74BF5B9B">
                  <w:pPr>
                    <w:adjustRightInd w:val="0"/>
                    <w:snapToGrid w:val="0"/>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地下总建筑面积</w:t>
                  </w:r>
                </w:p>
              </w:tc>
              <w:tc>
                <w:tcPr>
                  <w:tcW w:w="1089" w:type="pct"/>
                  <w:noWrap w:val="0"/>
                  <w:vAlign w:val="center"/>
                </w:tcPr>
                <w:p w14:paraId="2BE25742">
                  <w:pPr>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平方米</w:t>
                  </w:r>
                </w:p>
              </w:tc>
              <w:tc>
                <w:tcPr>
                  <w:tcW w:w="1104" w:type="pct"/>
                  <w:noWrap w:val="0"/>
                  <w:vAlign w:val="center"/>
                </w:tcPr>
                <w:p w14:paraId="4E179297">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316.10</w:t>
                  </w:r>
                </w:p>
              </w:tc>
            </w:tr>
            <w:tr w14:paraId="4AD1D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jc w:val="center"/>
              </w:trPr>
              <w:tc>
                <w:tcPr>
                  <w:tcW w:w="326" w:type="pct"/>
                  <w:noWrap w:val="0"/>
                  <w:vAlign w:val="center"/>
                </w:tcPr>
                <w:p w14:paraId="5C48DA74">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14</w:t>
                  </w:r>
                </w:p>
              </w:tc>
              <w:tc>
                <w:tcPr>
                  <w:tcW w:w="279" w:type="pct"/>
                  <w:vMerge w:val="continue"/>
                  <w:noWrap w:val="0"/>
                  <w:vAlign w:val="center"/>
                </w:tcPr>
                <w:p w14:paraId="741F3098">
                  <w:pPr>
                    <w:adjustRightInd w:val="0"/>
                    <w:snapToGrid w:val="0"/>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p>
              </w:tc>
              <w:tc>
                <w:tcPr>
                  <w:tcW w:w="283" w:type="pct"/>
                  <w:noWrap w:val="0"/>
                  <w:vAlign w:val="center"/>
                </w:tcPr>
                <w:p w14:paraId="57B1694F">
                  <w:pPr>
                    <w:adjustRightInd w:val="0"/>
                    <w:snapToGrid w:val="0"/>
                    <w:spacing w:line="240" w:lineRule="auto"/>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其中</w:t>
                  </w:r>
                </w:p>
              </w:tc>
              <w:tc>
                <w:tcPr>
                  <w:tcW w:w="1916" w:type="pct"/>
                  <w:noWrap w:val="0"/>
                  <w:vAlign w:val="center"/>
                </w:tcPr>
                <w:p w14:paraId="6A34C220">
                  <w:pPr>
                    <w:adjustRightInd w:val="0"/>
                    <w:snapToGrid w:val="0"/>
                    <w:spacing w:line="240" w:lineRule="auto"/>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消防水池及泵房</w:t>
                  </w:r>
                </w:p>
              </w:tc>
              <w:tc>
                <w:tcPr>
                  <w:tcW w:w="1089" w:type="pct"/>
                  <w:noWrap w:val="0"/>
                  <w:vAlign w:val="center"/>
                </w:tcPr>
                <w:p w14:paraId="54CE2245">
                  <w:pPr>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平方米</w:t>
                  </w:r>
                </w:p>
              </w:tc>
              <w:tc>
                <w:tcPr>
                  <w:tcW w:w="1104" w:type="pct"/>
                  <w:noWrap w:val="0"/>
                  <w:vAlign w:val="center"/>
                </w:tcPr>
                <w:p w14:paraId="3D1A0498">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316.10</w:t>
                  </w:r>
                </w:p>
              </w:tc>
            </w:tr>
            <w:tr w14:paraId="50AFC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26" w:type="pct"/>
                  <w:noWrap w:val="0"/>
                  <w:vAlign w:val="center"/>
                </w:tcPr>
                <w:p w14:paraId="0349D02E">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2479" w:type="pct"/>
                  <w:gridSpan w:val="3"/>
                  <w:noWrap w:val="0"/>
                  <w:vAlign w:val="center"/>
                </w:tcPr>
                <w:p w14:paraId="087774ED">
                  <w:pPr>
                    <w:adjustRightInd w:val="0"/>
                    <w:snapToGrid w:val="0"/>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计容建筑面积</w:t>
                  </w:r>
                </w:p>
              </w:tc>
              <w:tc>
                <w:tcPr>
                  <w:tcW w:w="1089" w:type="pct"/>
                  <w:noWrap w:val="0"/>
                  <w:vAlign w:val="center"/>
                </w:tcPr>
                <w:p w14:paraId="0ABE6113">
                  <w:pPr>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平方米</w:t>
                  </w:r>
                </w:p>
              </w:tc>
              <w:tc>
                <w:tcPr>
                  <w:tcW w:w="1104" w:type="pct"/>
                  <w:noWrap w:val="0"/>
                  <w:vAlign w:val="center"/>
                </w:tcPr>
                <w:p w14:paraId="5D3D8F7A">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79225.15</w:t>
                  </w:r>
                </w:p>
              </w:tc>
            </w:tr>
            <w:tr w14:paraId="1AC90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26" w:type="pct"/>
                  <w:noWrap w:val="0"/>
                  <w:vAlign w:val="center"/>
                </w:tcPr>
                <w:p w14:paraId="34BA8DA1">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16</w:t>
                  </w:r>
                </w:p>
              </w:tc>
              <w:tc>
                <w:tcPr>
                  <w:tcW w:w="279" w:type="pct"/>
                  <w:vMerge w:val="restart"/>
                  <w:noWrap w:val="0"/>
                  <w:vAlign w:val="center"/>
                </w:tcPr>
                <w:p w14:paraId="552FB68E">
                  <w:pPr>
                    <w:adjustRightInd w:val="0"/>
                    <w:snapToGrid w:val="0"/>
                    <w:spacing w:line="240" w:lineRule="auto"/>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其中</w:t>
                  </w:r>
                </w:p>
              </w:tc>
              <w:tc>
                <w:tcPr>
                  <w:tcW w:w="2200" w:type="pct"/>
                  <w:gridSpan w:val="2"/>
                  <w:noWrap w:val="0"/>
                  <w:vAlign w:val="center"/>
                </w:tcPr>
                <w:p w14:paraId="3B4614F0">
                  <w:pPr>
                    <w:adjustRightInd w:val="0"/>
                    <w:snapToGrid w:val="0"/>
                    <w:spacing w:line="240" w:lineRule="auto"/>
                    <w:jc w:val="center"/>
                    <w:rPr>
                      <w:rFonts w:hint="eastAsia"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地上计容建筑面积</w:t>
                  </w:r>
                </w:p>
              </w:tc>
              <w:tc>
                <w:tcPr>
                  <w:tcW w:w="1089" w:type="pct"/>
                  <w:noWrap w:val="0"/>
                  <w:vAlign w:val="center"/>
                </w:tcPr>
                <w:p w14:paraId="6CD1E176">
                  <w:pPr>
                    <w:spacing w:line="240" w:lineRule="auto"/>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平方米</w:t>
                  </w:r>
                </w:p>
              </w:tc>
              <w:tc>
                <w:tcPr>
                  <w:tcW w:w="1104" w:type="pct"/>
                  <w:noWrap w:val="0"/>
                  <w:vAlign w:val="center"/>
                </w:tcPr>
                <w:p w14:paraId="6D87AA6C">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79225.15</w:t>
                  </w:r>
                </w:p>
              </w:tc>
            </w:tr>
            <w:tr w14:paraId="47BFA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26" w:type="pct"/>
                  <w:noWrap w:val="0"/>
                  <w:vAlign w:val="center"/>
                </w:tcPr>
                <w:p w14:paraId="38DDDE6A">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17</w:t>
                  </w:r>
                </w:p>
              </w:tc>
              <w:tc>
                <w:tcPr>
                  <w:tcW w:w="279" w:type="pct"/>
                  <w:vMerge w:val="continue"/>
                  <w:noWrap w:val="0"/>
                  <w:vAlign w:val="center"/>
                </w:tcPr>
                <w:p w14:paraId="5232710E">
                  <w:pPr>
                    <w:adjustRightInd w:val="0"/>
                    <w:snapToGrid w:val="0"/>
                    <w:spacing w:line="240" w:lineRule="auto"/>
                    <w:jc w:val="center"/>
                    <w:rPr>
                      <w:rFonts w:hint="default" w:cs="Times New Roman"/>
                      <w:color w:val="000000" w:themeColor="text1"/>
                      <w:sz w:val="21"/>
                      <w:szCs w:val="21"/>
                      <w:highlight w:val="none"/>
                      <w:lang w:val="en-US" w:eastAsia="zh-CN"/>
                      <w14:textFill>
                        <w14:solidFill>
                          <w14:schemeClr w14:val="tx1"/>
                        </w14:solidFill>
                      </w14:textFill>
                    </w:rPr>
                  </w:pPr>
                </w:p>
              </w:tc>
              <w:tc>
                <w:tcPr>
                  <w:tcW w:w="2200" w:type="pct"/>
                  <w:gridSpan w:val="2"/>
                  <w:noWrap w:val="0"/>
                  <w:vAlign w:val="center"/>
                </w:tcPr>
                <w:p w14:paraId="145A3339">
                  <w:pPr>
                    <w:adjustRightInd w:val="0"/>
                    <w:snapToGrid w:val="0"/>
                    <w:spacing w:line="240" w:lineRule="auto"/>
                    <w:jc w:val="center"/>
                    <w:rPr>
                      <w:rFonts w:hint="eastAsia"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地下计容建筑面积</w:t>
                  </w:r>
                </w:p>
              </w:tc>
              <w:tc>
                <w:tcPr>
                  <w:tcW w:w="1089" w:type="pct"/>
                  <w:noWrap w:val="0"/>
                  <w:vAlign w:val="center"/>
                </w:tcPr>
                <w:p w14:paraId="0EBFB718">
                  <w:pPr>
                    <w:spacing w:line="240" w:lineRule="auto"/>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平方米</w:t>
                  </w:r>
                </w:p>
              </w:tc>
              <w:tc>
                <w:tcPr>
                  <w:tcW w:w="1104" w:type="pct"/>
                  <w:noWrap w:val="0"/>
                  <w:vAlign w:val="center"/>
                </w:tcPr>
                <w:p w14:paraId="4A91259E">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w:t>
                  </w:r>
                </w:p>
              </w:tc>
            </w:tr>
            <w:tr w14:paraId="48C38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26" w:type="pct"/>
                  <w:noWrap w:val="0"/>
                  <w:vAlign w:val="center"/>
                </w:tcPr>
                <w:p w14:paraId="251A8DF9">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18</w:t>
                  </w:r>
                </w:p>
              </w:tc>
              <w:tc>
                <w:tcPr>
                  <w:tcW w:w="2479" w:type="pct"/>
                  <w:gridSpan w:val="3"/>
                  <w:noWrap w:val="0"/>
                  <w:vAlign w:val="center"/>
                </w:tcPr>
                <w:p w14:paraId="2AF793F2">
                  <w:pPr>
                    <w:adjustRightInd w:val="0"/>
                    <w:snapToGrid w:val="0"/>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不计容建筑面积</w:t>
                  </w:r>
                </w:p>
              </w:tc>
              <w:tc>
                <w:tcPr>
                  <w:tcW w:w="1089" w:type="pct"/>
                  <w:noWrap w:val="0"/>
                  <w:vAlign w:val="center"/>
                </w:tcPr>
                <w:p w14:paraId="1175D17C">
                  <w:pPr>
                    <w:spacing w:line="240" w:lineRule="auto"/>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平方米</w:t>
                  </w:r>
                </w:p>
              </w:tc>
              <w:tc>
                <w:tcPr>
                  <w:tcW w:w="1104" w:type="pct"/>
                  <w:noWrap w:val="0"/>
                  <w:vAlign w:val="center"/>
                </w:tcPr>
                <w:p w14:paraId="20D1396B">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372.20</w:t>
                  </w:r>
                </w:p>
              </w:tc>
            </w:tr>
            <w:tr w14:paraId="78C6A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26" w:type="pct"/>
                  <w:noWrap w:val="0"/>
                  <w:vAlign w:val="center"/>
                </w:tcPr>
                <w:p w14:paraId="37D1B064">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19</w:t>
                  </w:r>
                </w:p>
              </w:tc>
              <w:tc>
                <w:tcPr>
                  <w:tcW w:w="279" w:type="pct"/>
                  <w:vMerge w:val="restart"/>
                  <w:noWrap w:val="0"/>
                  <w:vAlign w:val="center"/>
                </w:tcPr>
                <w:p w14:paraId="3EDDBE67">
                  <w:pPr>
                    <w:adjustRightInd w:val="0"/>
                    <w:snapToGrid w:val="0"/>
                    <w:spacing w:line="240" w:lineRule="auto"/>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其中</w:t>
                  </w:r>
                </w:p>
              </w:tc>
              <w:tc>
                <w:tcPr>
                  <w:tcW w:w="2200" w:type="pct"/>
                  <w:gridSpan w:val="2"/>
                  <w:noWrap w:val="0"/>
                  <w:vAlign w:val="center"/>
                </w:tcPr>
                <w:p w14:paraId="25C68571">
                  <w:pPr>
                    <w:adjustRightInd w:val="0"/>
                    <w:snapToGrid w:val="0"/>
                    <w:spacing w:line="240" w:lineRule="auto"/>
                    <w:jc w:val="center"/>
                    <w:rPr>
                      <w:rFonts w:hint="eastAsia"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地上计容建筑面积</w:t>
                  </w:r>
                </w:p>
              </w:tc>
              <w:tc>
                <w:tcPr>
                  <w:tcW w:w="1089" w:type="pct"/>
                  <w:noWrap w:val="0"/>
                  <w:vAlign w:val="center"/>
                </w:tcPr>
                <w:p w14:paraId="2FB394DE">
                  <w:pPr>
                    <w:spacing w:line="240" w:lineRule="auto"/>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平方米</w:t>
                  </w:r>
                </w:p>
              </w:tc>
              <w:tc>
                <w:tcPr>
                  <w:tcW w:w="1104" w:type="pct"/>
                  <w:noWrap w:val="0"/>
                  <w:vAlign w:val="center"/>
                </w:tcPr>
                <w:p w14:paraId="2D50D224">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w:t>
                  </w:r>
                </w:p>
              </w:tc>
            </w:tr>
            <w:tr w14:paraId="1DB1C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26" w:type="pct"/>
                  <w:noWrap w:val="0"/>
                  <w:vAlign w:val="center"/>
                </w:tcPr>
                <w:p w14:paraId="68F3A38A">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w:t>
                  </w:r>
                </w:p>
              </w:tc>
              <w:tc>
                <w:tcPr>
                  <w:tcW w:w="279" w:type="pct"/>
                  <w:vMerge w:val="continue"/>
                  <w:noWrap w:val="0"/>
                  <w:vAlign w:val="center"/>
                </w:tcPr>
                <w:p w14:paraId="425D4854">
                  <w:pPr>
                    <w:adjustRightInd w:val="0"/>
                    <w:snapToGrid w:val="0"/>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p>
              </w:tc>
              <w:tc>
                <w:tcPr>
                  <w:tcW w:w="2200" w:type="pct"/>
                  <w:gridSpan w:val="2"/>
                  <w:noWrap w:val="0"/>
                  <w:vAlign w:val="center"/>
                </w:tcPr>
                <w:p w14:paraId="1607085B">
                  <w:pPr>
                    <w:adjustRightInd w:val="0"/>
                    <w:snapToGrid w:val="0"/>
                    <w:spacing w:line="240" w:lineRule="auto"/>
                    <w:jc w:val="center"/>
                    <w:rPr>
                      <w:rFonts w:hint="eastAsia"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地下计容建筑面积</w:t>
                  </w:r>
                </w:p>
              </w:tc>
              <w:tc>
                <w:tcPr>
                  <w:tcW w:w="1089" w:type="pct"/>
                  <w:noWrap w:val="0"/>
                  <w:vAlign w:val="center"/>
                </w:tcPr>
                <w:p w14:paraId="139C8409">
                  <w:pPr>
                    <w:spacing w:line="240" w:lineRule="auto"/>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平方米</w:t>
                  </w:r>
                </w:p>
              </w:tc>
              <w:tc>
                <w:tcPr>
                  <w:tcW w:w="1104" w:type="pct"/>
                  <w:noWrap w:val="0"/>
                  <w:vAlign w:val="center"/>
                </w:tcPr>
                <w:p w14:paraId="23798C38">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372.20</w:t>
                  </w:r>
                </w:p>
              </w:tc>
            </w:tr>
            <w:tr w14:paraId="7D60F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26" w:type="pct"/>
                  <w:noWrap w:val="0"/>
                  <w:vAlign w:val="center"/>
                </w:tcPr>
                <w:p w14:paraId="6018690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2479" w:type="pct"/>
                  <w:gridSpan w:val="3"/>
                  <w:noWrap w:val="0"/>
                  <w:vAlign w:val="center"/>
                </w:tcPr>
                <w:p w14:paraId="6864EBBC">
                  <w:pPr>
                    <w:adjustRightInd w:val="0"/>
                    <w:snapToGrid w:val="0"/>
                    <w:spacing w:line="240" w:lineRule="auto"/>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绿地面积</w:t>
                  </w:r>
                </w:p>
              </w:tc>
              <w:tc>
                <w:tcPr>
                  <w:tcW w:w="1089" w:type="pct"/>
                  <w:noWrap w:val="0"/>
                  <w:vAlign w:val="center"/>
                </w:tcPr>
                <w:p w14:paraId="20F9C857">
                  <w:pPr>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平方米</w:t>
                  </w:r>
                </w:p>
              </w:tc>
              <w:tc>
                <w:tcPr>
                  <w:tcW w:w="1104" w:type="pct"/>
                  <w:noWrap w:val="0"/>
                  <w:vAlign w:val="center"/>
                </w:tcPr>
                <w:p w14:paraId="10924CC4">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cs="Times New Roman"/>
                      <w:snapToGrid/>
                      <w:color w:val="000000" w:themeColor="text1"/>
                      <w:kern w:val="2"/>
                      <w:sz w:val="21"/>
                      <w:szCs w:val="21"/>
                      <w:highlight w:val="none"/>
                      <w:lang w:val="en-US" w:eastAsia="zh-CN" w:bidi="ar-SA"/>
                      <w14:textFill>
                        <w14:solidFill>
                          <w14:schemeClr w14:val="tx1"/>
                        </w14:solidFill>
                      </w14:textFill>
                    </w:rPr>
                    <w:t>8130.90</w:t>
                  </w:r>
                </w:p>
              </w:tc>
            </w:tr>
            <w:tr w14:paraId="5EF7A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26" w:type="pct"/>
                  <w:noWrap w:val="0"/>
                  <w:vAlign w:val="center"/>
                </w:tcPr>
                <w:p w14:paraId="1859451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22</w:t>
                  </w:r>
                </w:p>
              </w:tc>
              <w:tc>
                <w:tcPr>
                  <w:tcW w:w="2479" w:type="pct"/>
                  <w:gridSpan w:val="3"/>
                  <w:noWrap w:val="0"/>
                  <w:vAlign w:val="center"/>
                </w:tcPr>
                <w:p w14:paraId="37EAE506">
                  <w:pPr>
                    <w:adjustRightInd w:val="0"/>
                    <w:snapToGrid w:val="0"/>
                    <w:spacing w:line="240" w:lineRule="auto"/>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绿地率</w:t>
                  </w:r>
                </w:p>
              </w:tc>
              <w:tc>
                <w:tcPr>
                  <w:tcW w:w="1089" w:type="pct"/>
                  <w:noWrap w:val="0"/>
                  <w:vAlign w:val="center"/>
                </w:tcPr>
                <w:p w14:paraId="687D99B8">
                  <w:pPr>
                    <w:spacing w:line="240" w:lineRule="auto"/>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1104" w:type="pct"/>
                  <w:noWrap w:val="0"/>
                  <w:vAlign w:val="center"/>
                </w:tcPr>
                <w:p w14:paraId="1AF0054F">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cs="Times New Roman"/>
                      <w:snapToGrid/>
                      <w:color w:val="000000" w:themeColor="text1"/>
                      <w:kern w:val="2"/>
                      <w:sz w:val="21"/>
                      <w:szCs w:val="21"/>
                      <w:highlight w:val="none"/>
                      <w:lang w:val="en-US" w:eastAsia="zh-CN" w:bidi="ar-SA"/>
                      <w14:textFill>
                        <w14:solidFill>
                          <w14:schemeClr w14:val="tx1"/>
                        </w14:solidFill>
                      </w14:textFill>
                    </w:rPr>
                    <w:t>15.02</w:t>
                  </w:r>
                </w:p>
              </w:tc>
            </w:tr>
            <w:tr w14:paraId="08BD4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26" w:type="pct"/>
                  <w:noWrap w:val="0"/>
                  <w:vAlign w:val="center"/>
                </w:tcPr>
                <w:p w14:paraId="2EC6B59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w:t>
                  </w:r>
                </w:p>
              </w:tc>
              <w:tc>
                <w:tcPr>
                  <w:tcW w:w="2479" w:type="pct"/>
                  <w:gridSpan w:val="3"/>
                  <w:noWrap w:val="0"/>
                  <w:vAlign w:val="center"/>
                </w:tcPr>
                <w:p w14:paraId="6741ACE5">
                  <w:pPr>
                    <w:adjustRightInd w:val="0"/>
                    <w:snapToGrid w:val="0"/>
                    <w:spacing w:line="240" w:lineRule="auto"/>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容积率</w:t>
                  </w:r>
                </w:p>
              </w:tc>
              <w:tc>
                <w:tcPr>
                  <w:tcW w:w="1089" w:type="pct"/>
                  <w:noWrap w:val="0"/>
                  <w:vAlign w:val="center"/>
                </w:tcPr>
                <w:p w14:paraId="3A45F6B8">
                  <w:pPr>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cs="Times New Roman"/>
                      <w:snapToGrid/>
                      <w:color w:val="000000" w:themeColor="text1"/>
                      <w:kern w:val="2"/>
                      <w:sz w:val="21"/>
                      <w:szCs w:val="21"/>
                      <w:highlight w:val="none"/>
                      <w:lang w:val="en-US" w:eastAsia="zh-CN" w:bidi="ar-SA"/>
                      <w14:textFill>
                        <w14:solidFill>
                          <w14:schemeClr w14:val="tx1"/>
                        </w14:solidFill>
                      </w14:textFill>
                    </w:rPr>
                    <w:t>/</w:t>
                  </w:r>
                </w:p>
              </w:tc>
              <w:tc>
                <w:tcPr>
                  <w:tcW w:w="1104" w:type="pct"/>
                  <w:noWrap w:val="0"/>
                  <w:vAlign w:val="center"/>
                </w:tcPr>
                <w:p w14:paraId="1F97243C">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cs="Times New Roman"/>
                      <w:snapToGrid/>
                      <w:color w:val="000000" w:themeColor="text1"/>
                      <w:kern w:val="2"/>
                      <w:sz w:val="21"/>
                      <w:szCs w:val="21"/>
                      <w:highlight w:val="none"/>
                      <w:lang w:val="en-US" w:eastAsia="zh-CN" w:bidi="ar-SA"/>
                      <w14:textFill>
                        <w14:solidFill>
                          <w14:schemeClr w14:val="tx1"/>
                        </w14:solidFill>
                      </w14:textFill>
                    </w:rPr>
                    <w:t>1.46</w:t>
                  </w:r>
                </w:p>
              </w:tc>
            </w:tr>
            <w:tr w14:paraId="718FC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26" w:type="pct"/>
                  <w:noWrap w:val="0"/>
                  <w:vAlign w:val="center"/>
                </w:tcPr>
                <w:p w14:paraId="61DBF21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24</w:t>
                  </w:r>
                </w:p>
              </w:tc>
              <w:tc>
                <w:tcPr>
                  <w:tcW w:w="2479" w:type="pct"/>
                  <w:gridSpan w:val="3"/>
                  <w:noWrap w:val="0"/>
                  <w:vAlign w:val="center"/>
                </w:tcPr>
                <w:p w14:paraId="389BB3E8">
                  <w:pPr>
                    <w:adjustRightInd w:val="0"/>
                    <w:snapToGrid w:val="0"/>
                    <w:spacing w:line="240" w:lineRule="auto"/>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建筑密度</w:t>
                  </w:r>
                </w:p>
              </w:tc>
              <w:tc>
                <w:tcPr>
                  <w:tcW w:w="1089" w:type="pct"/>
                  <w:noWrap w:val="0"/>
                  <w:vAlign w:val="center"/>
                </w:tcPr>
                <w:p w14:paraId="465AABE2">
                  <w:pPr>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1104" w:type="pct"/>
                  <w:noWrap w:val="0"/>
                  <w:vAlign w:val="center"/>
                </w:tcPr>
                <w:p w14:paraId="56DD7203">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cs="Times New Roman"/>
                      <w:snapToGrid/>
                      <w:color w:val="000000" w:themeColor="text1"/>
                      <w:kern w:val="2"/>
                      <w:sz w:val="21"/>
                      <w:szCs w:val="21"/>
                      <w:highlight w:val="none"/>
                      <w:lang w:val="en-US" w:eastAsia="zh-CN" w:bidi="ar-SA"/>
                      <w14:textFill>
                        <w14:solidFill>
                          <w14:schemeClr w14:val="tx1"/>
                        </w14:solidFill>
                      </w14:textFill>
                    </w:rPr>
                    <w:t>59.73</w:t>
                  </w:r>
                </w:p>
              </w:tc>
            </w:tr>
            <w:tr w14:paraId="3227E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26" w:type="pct"/>
                  <w:noWrap w:val="0"/>
                  <w:vAlign w:val="center"/>
                </w:tcPr>
                <w:p w14:paraId="7194B8B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w:t>
                  </w:r>
                </w:p>
              </w:tc>
              <w:tc>
                <w:tcPr>
                  <w:tcW w:w="2479" w:type="pct"/>
                  <w:gridSpan w:val="3"/>
                  <w:noWrap w:val="0"/>
                  <w:vAlign w:val="center"/>
                </w:tcPr>
                <w:p w14:paraId="180872D0">
                  <w:pPr>
                    <w:adjustRightInd w:val="0"/>
                    <w:snapToGrid w:val="0"/>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机动车停车位(小型汽车为标准当量)</w:t>
                  </w:r>
                </w:p>
              </w:tc>
              <w:tc>
                <w:tcPr>
                  <w:tcW w:w="1089" w:type="pct"/>
                  <w:noWrap w:val="0"/>
                  <w:vAlign w:val="center"/>
                </w:tcPr>
                <w:p w14:paraId="4A80E1FF">
                  <w:pPr>
                    <w:spacing w:line="240" w:lineRule="auto"/>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个</w:t>
                  </w:r>
                </w:p>
              </w:tc>
              <w:tc>
                <w:tcPr>
                  <w:tcW w:w="1104" w:type="pct"/>
                  <w:noWrap w:val="0"/>
                  <w:vAlign w:val="center"/>
                </w:tcPr>
                <w:p w14:paraId="7FAD78B2">
                  <w:pPr>
                    <w:widowControl w:val="0"/>
                    <w:kinsoku/>
                    <w:autoSpaceDE/>
                    <w:autoSpaceDN/>
                    <w:adjustRightInd/>
                    <w:snapToGrid/>
                    <w:spacing w:line="240" w:lineRule="auto"/>
                    <w:jc w:val="center"/>
                    <w:textAlignment w:val="auto"/>
                    <w:rPr>
                      <w:rFonts w:hint="default" w:cs="Times New Roman"/>
                      <w:snapToGrid/>
                      <w:color w:val="000000" w:themeColor="text1"/>
                      <w:kern w:val="2"/>
                      <w:sz w:val="21"/>
                      <w:szCs w:val="21"/>
                      <w:highlight w:val="none"/>
                      <w:lang w:val="en-US" w:eastAsia="zh-CN" w:bidi="ar-SA"/>
                      <w14:textFill>
                        <w14:solidFill>
                          <w14:schemeClr w14:val="tx1"/>
                        </w14:solidFill>
                      </w14:textFill>
                    </w:rPr>
                  </w:pPr>
                  <w:r>
                    <w:rPr>
                      <w:rFonts w:hint="eastAsia" w:cs="Times New Roman"/>
                      <w:snapToGrid/>
                      <w:color w:val="000000" w:themeColor="text1"/>
                      <w:kern w:val="2"/>
                      <w:sz w:val="21"/>
                      <w:szCs w:val="21"/>
                      <w:highlight w:val="none"/>
                      <w:lang w:val="en-US" w:eastAsia="zh-CN" w:bidi="ar-SA"/>
                      <w14:textFill>
                        <w14:solidFill>
                          <w14:schemeClr w14:val="tx1"/>
                        </w14:solidFill>
                      </w14:textFill>
                    </w:rPr>
                    <w:t>132</w:t>
                  </w:r>
                </w:p>
              </w:tc>
            </w:tr>
          </w:tbl>
          <w:p w14:paraId="6E19ECFC">
            <w:pPr>
              <w:keepNext w:val="0"/>
              <w:keepLines w:val="0"/>
              <w:pageBreakBefore w:val="0"/>
              <w:widowControl w:val="0"/>
              <w:kinsoku/>
              <w:wordWrap/>
              <w:overflowPunct/>
              <w:topLinePunct w:val="0"/>
              <w:autoSpaceDE/>
              <w:autoSpaceDN/>
              <w:bidi w:val="0"/>
              <w:adjustRightInd/>
              <w:snapToGrid/>
              <w:spacing w:line="120" w:lineRule="auto"/>
              <w:ind w:firstLine="361" w:firstLineChars="200"/>
              <w:textAlignment w:val="auto"/>
              <w:rPr>
                <w:rFonts w:hint="default" w:ascii="Times New Roman" w:hAnsi="Times New Roman" w:cs="Times New Roman"/>
                <w:b/>
                <w:color w:val="000000" w:themeColor="text1"/>
                <w:sz w:val="18"/>
                <w:szCs w:val="18"/>
                <w:highlight w:val="none"/>
                <w14:textFill>
                  <w14:solidFill>
                    <w14:schemeClr w14:val="tx1"/>
                  </w14:solidFill>
                </w14:textFill>
              </w:rPr>
            </w:pPr>
          </w:p>
          <w:p w14:paraId="3BD816D4">
            <w:pPr>
              <w:pageBreakBefore w:val="0"/>
              <w:widowControl w:val="0"/>
              <w:numPr>
                <w:ilvl w:val="0"/>
                <w:numId w:val="10"/>
              </w:numPr>
              <w:wordWrap w:val="0"/>
              <w:overflowPunct/>
              <w:bidi w:val="0"/>
              <w:spacing w:line="240" w:lineRule="auto"/>
              <w:ind w:left="0" w:leftChars="0" w:firstLine="40" w:firstLineChars="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项目</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建筑物</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一览表</w:t>
            </w:r>
          </w:p>
          <w:tbl>
            <w:tblPr>
              <w:tblStyle w:val="44"/>
              <w:tblW w:w="84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97"/>
              <w:gridCol w:w="1275"/>
              <w:gridCol w:w="1909"/>
              <w:gridCol w:w="1350"/>
              <w:gridCol w:w="2756"/>
            </w:tblGrid>
            <w:tr w14:paraId="6D97C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9" w:hRule="atLeast"/>
                <w:jc w:val="center"/>
              </w:trPr>
              <w:tc>
                <w:tcPr>
                  <w:tcW w:w="705" w:type="pct"/>
                  <w:tcBorders>
                    <w:top w:val="single" w:color="000000" w:sz="4" w:space="0"/>
                    <w:left w:val="single" w:color="000000" w:sz="4" w:space="0"/>
                    <w:bottom w:val="single" w:color="000000" w:sz="4" w:space="0"/>
                    <w:right w:val="single" w:color="000000" w:sz="4" w:space="0"/>
                  </w:tcBorders>
                  <w:noWrap/>
                  <w:vAlign w:val="center"/>
                </w:tcPr>
                <w:p w14:paraId="6E1C08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sz w:val="21"/>
                      <w:szCs w:val="21"/>
                      <w:highlight w:val="none"/>
                      <w:u w:val="none"/>
                      <w:lang w:val="en-US" w:eastAsia="zh-CN"/>
                      <w14:textFill>
                        <w14:solidFill>
                          <w14:schemeClr w14:val="tx1"/>
                        </w14:solidFill>
                      </w14:textFill>
                    </w:rPr>
                    <w:t>建筑名称</w:t>
                  </w:r>
                </w:p>
              </w:tc>
              <w:tc>
                <w:tcPr>
                  <w:tcW w:w="751" w:type="pct"/>
                  <w:tcBorders>
                    <w:top w:val="single" w:color="000000" w:sz="4" w:space="0"/>
                    <w:left w:val="single" w:color="000000" w:sz="4" w:space="0"/>
                    <w:bottom w:val="single" w:color="000000" w:sz="4" w:space="0"/>
                    <w:right w:val="single" w:color="000000" w:sz="4" w:space="0"/>
                  </w:tcBorders>
                  <w:noWrap/>
                  <w:vAlign w:val="center"/>
                </w:tcPr>
                <w:p w14:paraId="2B84AF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sz w:val="21"/>
                      <w:szCs w:val="21"/>
                      <w:highlight w:val="none"/>
                      <w:u w:val="none"/>
                      <w:lang w:val="en-US" w:eastAsia="zh-CN"/>
                      <w14:textFill>
                        <w14:solidFill>
                          <w14:schemeClr w14:val="tx1"/>
                        </w14:solidFill>
                      </w14:textFill>
                    </w:rPr>
                    <w:t>建筑层数</w:t>
                  </w:r>
                </w:p>
              </w:tc>
              <w:tc>
                <w:tcPr>
                  <w:tcW w:w="1124" w:type="pct"/>
                  <w:tcBorders>
                    <w:top w:val="single" w:color="000000" w:sz="4" w:space="0"/>
                    <w:left w:val="single" w:color="000000" w:sz="4" w:space="0"/>
                    <w:bottom w:val="single" w:color="000000" w:sz="4" w:space="0"/>
                    <w:right w:val="single" w:color="000000" w:sz="4" w:space="0"/>
                  </w:tcBorders>
                  <w:noWrap/>
                  <w:vAlign w:val="center"/>
                </w:tcPr>
                <w:p w14:paraId="565862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b/>
                      <w:bCs/>
                      <w:i w:val="0"/>
                      <w:iCs w:val="0"/>
                      <w:color w:val="000000" w:themeColor="text1"/>
                      <w:sz w:val="21"/>
                      <w:szCs w:val="21"/>
                      <w:highlight w:val="none"/>
                      <w:u w:val="none"/>
                      <w:lang w:val="en-US" w:eastAsia="zh-CN"/>
                      <w14:textFill>
                        <w14:solidFill>
                          <w14:schemeClr w14:val="tx1"/>
                        </w14:solidFill>
                      </w14:textFill>
                    </w:rPr>
                    <w:t>总</w:t>
                  </w:r>
                  <w:r>
                    <w:rPr>
                      <w:rFonts w:hint="default" w:ascii="Times New Roman" w:hAnsi="Times New Roman" w:eastAsia="宋体" w:cs="Times New Roman"/>
                      <w:b/>
                      <w:bCs/>
                      <w:i w:val="0"/>
                      <w:iCs w:val="0"/>
                      <w:color w:val="000000" w:themeColor="text1"/>
                      <w:sz w:val="21"/>
                      <w:szCs w:val="21"/>
                      <w:highlight w:val="none"/>
                      <w:u w:val="none"/>
                      <w:lang w:val="en-US" w:eastAsia="zh-CN"/>
                      <w14:textFill>
                        <w14:solidFill>
                          <w14:schemeClr w14:val="tx1"/>
                        </w14:solidFill>
                      </w14:textFill>
                    </w:rPr>
                    <w:t>建筑面积（m</w:t>
                  </w:r>
                  <w:r>
                    <w:rPr>
                      <w:rFonts w:hint="default" w:ascii="Times New Roman" w:hAnsi="Times New Roman" w:eastAsia="宋体" w:cs="Times New Roman"/>
                      <w:b/>
                      <w:bCs/>
                      <w:i w:val="0"/>
                      <w:iCs w:val="0"/>
                      <w:color w:val="000000" w:themeColor="text1"/>
                      <w:sz w:val="21"/>
                      <w:szCs w:val="21"/>
                      <w:highlight w:val="none"/>
                      <w:u w:val="none"/>
                      <w:vertAlign w:val="superscript"/>
                      <w:lang w:val="en-US" w:eastAsia="zh-CN"/>
                      <w14:textFill>
                        <w14:solidFill>
                          <w14:schemeClr w14:val="tx1"/>
                        </w14:solidFill>
                      </w14:textFill>
                    </w:rPr>
                    <w:t>2</w:t>
                  </w:r>
                  <w:r>
                    <w:rPr>
                      <w:rFonts w:hint="default" w:ascii="Times New Roman" w:hAnsi="Times New Roman" w:eastAsia="宋体" w:cs="Times New Roman"/>
                      <w:b/>
                      <w:bCs/>
                      <w:i w:val="0"/>
                      <w:iCs w:val="0"/>
                      <w:color w:val="000000" w:themeColor="text1"/>
                      <w:sz w:val="21"/>
                      <w:szCs w:val="21"/>
                      <w:highlight w:val="none"/>
                      <w:u w:val="none"/>
                      <w:lang w:val="en-US" w:eastAsia="zh-CN"/>
                      <w14:textFill>
                        <w14:solidFill>
                          <w14:schemeClr w14:val="tx1"/>
                        </w14:solidFill>
                      </w14:textFill>
                    </w:rPr>
                    <w:t>）</w:t>
                  </w:r>
                </w:p>
              </w:tc>
              <w:tc>
                <w:tcPr>
                  <w:tcW w:w="795" w:type="pct"/>
                  <w:tcBorders>
                    <w:top w:val="single" w:color="000000" w:sz="4" w:space="0"/>
                    <w:left w:val="single" w:color="000000" w:sz="4" w:space="0"/>
                    <w:bottom w:val="single" w:color="000000" w:sz="4" w:space="0"/>
                    <w:right w:val="single" w:color="000000" w:sz="4" w:space="0"/>
                  </w:tcBorders>
                  <w:noWrap/>
                  <w:vAlign w:val="center"/>
                </w:tcPr>
                <w:p w14:paraId="0709C8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sz w:val="21"/>
                      <w:szCs w:val="21"/>
                      <w:highlight w:val="none"/>
                      <w:u w:val="none"/>
                      <w:lang w:val="en-US" w:eastAsia="zh-CN"/>
                      <w14:textFill>
                        <w14:solidFill>
                          <w14:schemeClr w14:val="tx1"/>
                        </w14:solidFill>
                      </w14:textFill>
                    </w:rPr>
                    <w:t>高（m）</w:t>
                  </w:r>
                </w:p>
              </w:tc>
              <w:tc>
                <w:tcPr>
                  <w:tcW w:w="1623" w:type="pct"/>
                  <w:tcBorders>
                    <w:top w:val="single" w:color="000000" w:sz="4" w:space="0"/>
                    <w:left w:val="single" w:color="000000" w:sz="4" w:space="0"/>
                    <w:bottom w:val="single" w:color="000000" w:sz="4" w:space="0"/>
                    <w:right w:val="single" w:color="000000" w:sz="4" w:space="0"/>
                  </w:tcBorders>
                  <w:noWrap/>
                  <w:vAlign w:val="center"/>
                </w:tcPr>
                <w:p w14:paraId="67A280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sz w:val="21"/>
                      <w:szCs w:val="21"/>
                      <w:highlight w:val="none"/>
                      <w:u w:val="none"/>
                      <w:lang w:val="en-US" w:eastAsia="zh-CN"/>
                      <w14:textFill>
                        <w14:solidFill>
                          <w14:schemeClr w14:val="tx1"/>
                        </w14:solidFill>
                      </w14:textFill>
                    </w:rPr>
                    <w:t>建筑功能</w:t>
                  </w:r>
                </w:p>
              </w:tc>
            </w:tr>
            <w:tr w14:paraId="36159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jc w:val="center"/>
              </w:trPr>
              <w:tc>
                <w:tcPr>
                  <w:tcW w:w="705" w:type="pct"/>
                  <w:tcBorders>
                    <w:top w:val="single" w:color="000000" w:sz="4" w:space="0"/>
                    <w:left w:val="single" w:color="000000" w:sz="4" w:space="0"/>
                    <w:bottom w:val="single" w:color="000000" w:sz="4" w:space="0"/>
                    <w:right w:val="single" w:color="000000" w:sz="4" w:space="0"/>
                  </w:tcBorders>
                  <w:noWrap/>
                  <w:vAlign w:val="center"/>
                </w:tcPr>
                <w:p w14:paraId="79EB8692">
                  <w:pPr>
                    <w:adjustRightInd w:val="0"/>
                    <w:snapToGrid w:val="0"/>
                    <w:spacing w:line="240" w:lineRule="auto"/>
                    <w:jc w:val="center"/>
                    <w:rPr>
                      <w:rFonts w:hint="default"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综合楼</w:t>
                  </w:r>
                </w:p>
              </w:tc>
              <w:tc>
                <w:tcPr>
                  <w:tcW w:w="751" w:type="pct"/>
                  <w:tcBorders>
                    <w:top w:val="single" w:color="000000" w:sz="4" w:space="0"/>
                    <w:left w:val="single" w:color="000000" w:sz="4" w:space="0"/>
                    <w:bottom w:val="single" w:color="000000" w:sz="4" w:space="0"/>
                    <w:right w:val="single" w:color="000000" w:sz="4" w:space="0"/>
                  </w:tcBorders>
                  <w:noWrap/>
                  <w:vAlign w:val="center"/>
                </w:tcPr>
                <w:p w14:paraId="49B2C8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9F</w:t>
                  </w:r>
                </w:p>
              </w:tc>
              <w:tc>
                <w:tcPr>
                  <w:tcW w:w="1124" w:type="pct"/>
                  <w:tcBorders>
                    <w:top w:val="single" w:color="000000" w:sz="4" w:space="0"/>
                    <w:left w:val="single" w:color="000000" w:sz="4" w:space="0"/>
                    <w:bottom w:val="single" w:color="000000" w:sz="4" w:space="0"/>
                    <w:right w:val="single" w:color="000000" w:sz="4" w:space="0"/>
                  </w:tcBorders>
                  <w:noWrap/>
                  <w:vAlign w:val="center"/>
                </w:tcPr>
                <w:p w14:paraId="0D908E09">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9376.38</w:t>
                  </w:r>
                </w:p>
              </w:tc>
              <w:tc>
                <w:tcPr>
                  <w:tcW w:w="795" w:type="pct"/>
                  <w:tcBorders>
                    <w:top w:val="single" w:color="000000" w:sz="4" w:space="0"/>
                    <w:left w:val="single" w:color="000000" w:sz="4" w:space="0"/>
                    <w:bottom w:val="single" w:color="000000" w:sz="4" w:space="0"/>
                    <w:right w:val="single" w:color="000000" w:sz="4" w:space="0"/>
                  </w:tcBorders>
                  <w:noWrap/>
                  <w:vAlign w:val="center"/>
                </w:tcPr>
                <w:p w14:paraId="3CDCB5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39.60</w:t>
                  </w:r>
                </w:p>
              </w:tc>
              <w:tc>
                <w:tcPr>
                  <w:tcW w:w="1623" w:type="pct"/>
                  <w:tcBorders>
                    <w:top w:val="single" w:color="000000" w:sz="4" w:space="0"/>
                    <w:left w:val="single" w:color="000000" w:sz="4" w:space="0"/>
                    <w:bottom w:val="single" w:color="000000" w:sz="4" w:space="0"/>
                    <w:right w:val="single" w:color="000000" w:sz="4" w:space="0"/>
                  </w:tcBorders>
                  <w:noWrap/>
                  <w:vAlign w:val="center"/>
                </w:tcPr>
                <w:p w14:paraId="71D915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一至六层为研发车间，七至九层为办公室</w:t>
                  </w:r>
                </w:p>
              </w:tc>
            </w:tr>
            <w:tr w14:paraId="67811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05" w:type="pct"/>
                  <w:tcBorders>
                    <w:top w:val="single" w:color="000000" w:sz="4" w:space="0"/>
                    <w:left w:val="single" w:color="000000" w:sz="4" w:space="0"/>
                    <w:bottom w:val="single" w:color="000000" w:sz="4" w:space="0"/>
                    <w:right w:val="single" w:color="000000" w:sz="4" w:space="0"/>
                  </w:tcBorders>
                  <w:noWrap/>
                  <w:vAlign w:val="center"/>
                </w:tcPr>
                <w:p w14:paraId="2BCB6FBC">
                  <w:pPr>
                    <w:adjustRightInd w:val="0"/>
                    <w:snapToGrid w:val="0"/>
                    <w:spacing w:line="240" w:lineRule="auto"/>
                    <w:jc w:val="center"/>
                    <w:rPr>
                      <w:rFonts w:hint="default"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宿舍楼</w:t>
                  </w:r>
                </w:p>
              </w:tc>
              <w:tc>
                <w:tcPr>
                  <w:tcW w:w="751" w:type="pct"/>
                  <w:tcBorders>
                    <w:top w:val="single" w:color="000000" w:sz="4" w:space="0"/>
                    <w:left w:val="single" w:color="000000" w:sz="4" w:space="0"/>
                    <w:bottom w:val="single" w:color="000000" w:sz="4" w:space="0"/>
                    <w:right w:val="single" w:color="000000" w:sz="4" w:space="0"/>
                  </w:tcBorders>
                  <w:noWrap/>
                  <w:vAlign w:val="center"/>
                </w:tcPr>
                <w:p w14:paraId="693331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5</w:t>
                  </w: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F</w:t>
                  </w:r>
                </w:p>
              </w:tc>
              <w:tc>
                <w:tcPr>
                  <w:tcW w:w="1124" w:type="pct"/>
                  <w:tcBorders>
                    <w:top w:val="single" w:color="000000" w:sz="4" w:space="0"/>
                    <w:left w:val="single" w:color="000000" w:sz="4" w:space="0"/>
                    <w:bottom w:val="single" w:color="000000" w:sz="4" w:space="0"/>
                    <w:right w:val="single" w:color="000000" w:sz="4" w:space="0"/>
                  </w:tcBorders>
                  <w:noWrap/>
                  <w:vAlign w:val="center"/>
                </w:tcPr>
                <w:p w14:paraId="66DA0048">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3734.40</w:t>
                  </w:r>
                </w:p>
              </w:tc>
              <w:tc>
                <w:tcPr>
                  <w:tcW w:w="795" w:type="pct"/>
                  <w:tcBorders>
                    <w:top w:val="single" w:color="000000" w:sz="4" w:space="0"/>
                    <w:left w:val="single" w:color="000000" w:sz="4" w:space="0"/>
                    <w:bottom w:val="single" w:color="000000" w:sz="4" w:space="0"/>
                    <w:right w:val="single" w:color="000000" w:sz="4" w:space="0"/>
                  </w:tcBorders>
                  <w:noWrap/>
                  <w:vAlign w:val="center"/>
                </w:tcPr>
                <w:p w14:paraId="078F6B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20.10</w:t>
                  </w:r>
                </w:p>
              </w:tc>
              <w:tc>
                <w:tcPr>
                  <w:tcW w:w="1623" w:type="pct"/>
                  <w:tcBorders>
                    <w:top w:val="single" w:color="000000" w:sz="4" w:space="0"/>
                    <w:left w:val="single" w:color="000000" w:sz="4" w:space="0"/>
                    <w:bottom w:val="single" w:color="000000" w:sz="4" w:space="0"/>
                    <w:right w:val="single" w:color="000000" w:sz="4" w:space="0"/>
                  </w:tcBorders>
                  <w:noWrap/>
                  <w:vAlign w:val="center"/>
                </w:tcPr>
                <w:p w14:paraId="665D6F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宿舍</w:t>
                  </w:r>
                </w:p>
              </w:tc>
            </w:tr>
            <w:tr w14:paraId="2FFC9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05" w:type="pct"/>
                  <w:tcBorders>
                    <w:top w:val="single" w:color="000000" w:sz="4" w:space="0"/>
                    <w:left w:val="single" w:color="000000" w:sz="4" w:space="0"/>
                    <w:bottom w:val="single" w:color="000000" w:sz="4" w:space="0"/>
                    <w:right w:val="single" w:color="000000" w:sz="4" w:space="0"/>
                  </w:tcBorders>
                  <w:noWrap/>
                  <w:vAlign w:val="center"/>
                </w:tcPr>
                <w:p w14:paraId="5468F9E4">
                  <w:pPr>
                    <w:adjustRightInd w:val="0"/>
                    <w:snapToGrid w:val="0"/>
                    <w:spacing w:line="240" w:lineRule="auto"/>
                    <w:jc w:val="center"/>
                    <w:rPr>
                      <w:rFonts w:hint="default"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1#厂房</w:t>
                  </w:r>
                </w:p>
              </w:tc>
              <w:tc>
                <w:tcPr>
                  <w:tcW w:w="751" w:type="pct"/>
                  <w:tcBorders>
                    <w:top w:val="single" w:color="000000" w:sz="4" w:space="0"/>
                    <w:left w:val="single" w:color="000000" w:sz="4" w:space="0"/>
                    <w:bottom w:val="single" w:color="000000" w:sz="4" w:space="0"/>
                    <w:right w:val="single" w:color="000000" w:sz="4" w:space="0"/>
                  </w:tcBorders>
                  <w:noWrap/>
                  <w:vAlign w:val="center"/>
                </w:tcPr>
                <w:p w14:paraId="519DAB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1</w:t>
                  </w: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F</w:t>
                  </w:r>
                </w:p>
              </w:tc>
              <w:tc>
                <w:tcPr>
                  <w:tcW w:w="1124" w:type="pct"/>
                  <w:tcBorders>
                    <w:top w:val="single" w:color="000000" w:sz="4" w:space="0"/>
                    <w:left w:val="single" w:color="000000" w:sz="4" w:space="0"/>
                    <w:bottom w:val="single" w:color="000000" w:sz="4" w:space="0"/>
                    <w:right w:val="single" w:color="000000" w:sz="4" w:space="0"/>
                  </w:tcBorders>
                  <w:noWrap/>
                  <w:vAlign w:val="center"/>
                </w:tcPr>
                <w:p w14:paraId="7C0535D2">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6272.00</w:t>
                  </w:r>
                </w:p>
              </w:tc>
              <w:tc>
                <w:tcPr>
                  <w:tcW w:w="795" w:type="pct"/>
                  <w:tcBorders>
                    <w:top w:val="single" w:color="000000" w:sz="4" w:space="0"/>
                    <w:left w:val="single" w:color="000000" w:sz="4" w:space="0"/>
                    <w:bottom w:val="single" w:color="000000" w:sz="4" w:space="0"/>
                    <w:right w:val="single" w:color="000000" w:sz="4" w:space="0"/>
                  </w:tcBorders>
                  <w:noWrap/>
                  <w:vAlign w:val="center"/>
                </w:tcPr>
                <w:p w14:paraId="354208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12.00</w:t>
                  </w:r>
                </w:p>
              </w:tc>
              <w:tc>
                <w:tcPr>
                  <w:tcW w:w="1623" w:type="pct"/>
                  <w:tcBorders>
                    <w:top w:val="single" w:color="000000" w:sz="4" w:space="0"/>
                    <w:left w:val="single" w:color="000000" w:sz="4" w:space="0"/>
                    <w:bottom w:val="single" w:color="000000" w:sz="4" w:space="0"/>
                    <w:right w:val="single" w:color="000000" w:sz="4" w:space="0"/>
                  </w:tcBorders>
                  <w:noWrap/>
                  <w:vAlign w:val="center"/>
                </w:tcPr>
                <w:p w14:paraId="16C647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开料、冲压车间</w:t>
                  </w:r>
                </w:p>
              </w:tc>
            </w:tr>
            <w:tr w14:paraId="0D9AC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05" w:type="pct"/>
                  <w:tcBorders>
                    <w:top w:val="single" w:color="000000" w:sz="4" w:space="0"/>
                    <w:left w:val="single" w:color="000000" w:sz="4" w:space="0"/>
                    <w:bottom w:val="single" w:color="000000" w:sz="4" w:space="0"/>
                    <w:right w:val="single" w:color="000000" w:sz="4" w:space="0"/>
                  </w:tcBorders>
                  <w:noWrap/>
                  <w:vAlign w:val="center"/>
                </w:tcPr>
                <w:p w14:paraId="052D86B3">
                  <w:pPr>
                    <w:adjustRightInd w:val="0"/>
                    <w:snapToGrid w:val="0"/>
                    <w:spacing w:line="240" w:lineRule="auto"/>
                    <w:jc w:val="center"/>
                    <w:rPr>
                      <w:rFonts w:hint="default"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2#厂房</w:t>
                  </w:r>
                </w:p>
              </w:tc>
              <w:tc>
                <w:tcPr>
                  <w:tcW w:w="751" w:type="pct"/>
                  <w:tcBorders>
                    <w:top w:val="single" w:color="000000" w:sz="4" w:space="0"/>
                    <w:left w:val="single" w:color="000000" w:sz="4" w:space="0"/>
                    <w:bottom w:val="single" w:color="000000" w:sz="4" w:space="0"/>
                    <w:right w:val="single" w:color="000000" w:sz="4" w:space="0"/>
                  </w:tcBorders>
                  <w:noWrap/>
                  <w:vAlign w:val="center"/>
                </w:tcPr>
                <w:p w14:paraId="6EB5F4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1</w:t>
                  </w: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F</w:t>
                  </w:r>
                </w:p>
              </w:tc>
              <w:tc>
                <w:tcPr>
                  <w:tcW w:w="1124" w:type="pct"/>
                  <w:tcBorders>
                    <w:top w:val="single" w:color="000000" w:sz="4" w:space="0"/>
                    <w:left w:val="single" w:color="000000" w:sz="4" w:space="0"/>
                    <w:bottom w:val="single" w:color="000000" w:sz="4" w:space="0"/>
                    <w:right w:val="single" w:color="000000" w:sz="4" w:space="0"/>
                  </w:tcBorders>
                  <w:noWrap/>
                  <w:vAlign w:val="center"/>
                </w:tcPr>
                <w:p w14:paraId="568010F9">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6272.00</w:t>
                  </w:r>
                </w:p>
              </w:tc>
              <w:tc>
                <w:tcPr>
                  <w:tcW w:w="795" w:type="pct"/>
                  <w:tcBorders>
                    <w:top w:val="single" w:color="000000" w:sz="4" w:space="0"/>
                    <w:left w:val="single" w:color="000000" w:sz="4" w:space="0"/>
                    <w:bottom w:val="single" w:color="000000" w:sz="4" w:space="0"/>
                    <w:right w:val="single" w:color="000000" w:sz="4" w:space="0"/>
                  </w:tcBorders>
                  <w:noWrap/>
                  <w:vAlign w:val="center"/>
                </w:tcPr>
                <w:p w14:paraId="6A9FB6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12.00</w:t>
                  </w:r>
                </w:p>
              </w:tc>
              <w:tc>
                <w:tcPr>
                  <w:tcW w:w="1623" w:type="pct"/>
                  <w:tcBorders>
                    <w:top w:val="single" w:color="000000" w:sz="4" w:space="0"/>
                    <w:left w:val="single" w:color="000000" w:sz="4" w:space="0"/>
                    <w:bottom w:val="single" w:color="000000" w:sz="4" w:space="0"/>
                    <w:right w:val="single" w:color="000000" w:sz="4" w:space="0"/>
                  </w:tcBorders>
                  <w:noWrap/>
                  <w:vAlign w:val="center"/>
                </w:tcPr>
                <w:p w14:paraId="62F1C9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折弯车间</w:t>
                  </w:r>
                </w:p>
              </w:tc>
            </w:tr>
            <w:tr w14:paraId="5447C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05" w:type="pct"/>
                  <w:tcBorders>
                    <w:top w:val="single" w:color="000000" w:sz="4" w:space="0"/>
                    <w:left w:val="single" w:color="000000" w:sz="4" w:space="0"/>
                    <w:bottom w:val="single" w:color="000000" w:sz="4" w:space="0"/>
                    <w:right w:val="single" w:color="000000" w:sz="4" w:space="0"/>
                  </w:tcBorders>
                  <w:noWrap/>
                  <w:vAlign w:val="center"/>
                </w:tcPr>
                <w:p w14:paraId="6A806284">
                  <w:pPr>
                    <w:adjustRightInd w:val="0"/>
                    <w:snapToGrid w:val="0"/>
                    <w:spacing w:line="240" w:lineRule="auto"/>
                    <w:jc w:val="center"/>
                    <w:rPr>
                      <w:rFonts w:hint="default"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3#厂房</w:t>
                  </w:r>
                </w:p>
              </w:tc>
              <w:tc>
                <w:tcPr>
                  <w:tcW w:w="751" w:type="pct"/>
                  <w:tcBorders>
                    <w:top w:val="single" w:color="000000" w:sz="4" w:space="0"/>
                    <w:left w:val="single" w:color="000000" w:sz="4" w:space="0"/>
                    <w:bottom w:val="single" w:color="000000" w:sz="4" w:space="0"/>
                    <w:right w:val="single" w:color="000000" w:sz="4" w:space="0"/>
                  </w:tcBorders>
                  <w:noWrap/>
                  <w:vAlign w:val="center"/>
                </w:tcPr>
                <w:p w14:paraId="7A2C7B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1</w:t>
                  </w: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F</w:t>
                  </w:r>
                </w:p>
              </w:tc>
              <w:tc>
                <w:tcPr>
                  <w:tcW w:w="1124" w:type="pct"/>
                  <w:tcBorders>
                    <w:top w:val="single" w:color="000000" w:sz="4" w:space="0"/>
                    <w:left w:val="single" w:color="000000" w:sz="4" w:space="0"/>
                    <w:bottom w:val="single" w:color="000000" w:sz="4" w:space="0"/>
                    <w:right w:val="single" w:color="000000" w:sz="4" w:space="0"/>
                  </w:tcBorders>
                  <w:noWrap/>
                  <w:vAlign w:val="center"/>
                </w:tcPr>
                <w:p w14:paraId="0D980B44">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5311.49</w:t>
                  </w:r>
                </w:p>
              </w:tc>
              <w:tc>
                <w:tcPr>
                  <w:tcW w:w="795" w:type="pct"/>
                  <w:tcBorders>
                    <w:top w:val="single" w:color="000000" w:sz="4" w:space="0"/>
                    <w:left w:val="single" w:color="000000" w:sz="4" w:space="0"/>
                    <w:bottom w:val="single" w:color="000000" w:sz="4" w:space="0"/>
                    <w:right w:val="single" w:color="000000" w:sz="4" w:space="0"/>
                  </w:tcBorders>
                  <w:noWrap/>
                  <w:vAlign w:val="center"/>
                </w:tcPr>
                <w:p w14:paraId="09963C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12.00</w:t>
                  </w:r>
                </w:p>
              </w:tc>
              <w:tc>
                <w:tcPr>
                  <w:tcW w:w="1623" w:type="pct"/>
                  <w:tcBorders>
                    <w:top w:val="single" w:color="000000" w:sz="4" w:space="0"/>
                    <w:left w:val="single" w:color="000000" w:sz="4" w:space="0"/>
                    <w:bottom w:val="single" w:color="000000" w:sz="4" w:space="0"/>
                    <w:right w:val="single" w:color="000000" w:sz="4" w:space="0"/>
                  </w:tcBorders>
                  <w:noWrap/>
                  <w:vAlign w:val="center"/>
                </w:tcPr>
                <w:p w14:paraId="7B543E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焊接、抛光打磨车间</w:t>
                  </w:r>
                </w:p>
              </w:tc>
            </w:tr>
            <w:tr w14:paraId="5F5B3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05" w:type="pct"/>
                  <w:tcBorders>
                    <w:top w:val="single" w:color="000000" w:sz="4" w:space="0"/>
                    <w:left w:val="single" w:color="000000" w:sz="4" w:space="0"/>
                    <w:bottom w:val="single" w:color="000000" w:sz="4" w:space="0"/>
                    <w:right w:val="single" w:color="000000" w:sz="4" w:space="0"/>
                  </w:tcBorders>
                  <w:noWrap/>
                  <w:vAlign w:val="center"/>
                </w:tcPr>
                <w:p w14:paraId="53EE9241">
                  <w:pPr>
                    <w:adjustRightInd w:val="0"/>
                    <w:snapToGrid w:val="0"/>
                    <w:spacing w:line="240" w:lineRule="auto"/>
                    <w:jc w:val="center"/>
                    <w:rPr>
                      <w:rFonts w:hint="default"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4#厂房</w:t>
                  </w:r>
                </w:p>
              </w:tc>
              <w:tc>
                <w:tcPr>
                  <w:tcW w:w="751" w:type="pct"/>
                  <w:tcBorders>
                    <w:top w:val="single" w:color="000000" w:sz="4" w:space="0"/>
                    <w:left w:val="single" w:color="000000" w:sz="4" w:space="0"/>
                    <w:bottom w:val="single" w:color="000000" w:sz="4" w:space="0"/>
                    <w:right w:val="single" w:color="000000" w:sz="4" w:space="0"/>
                  </w:tcBorders>
                  <w:noWrap/>
                  <w:vAlign w:val="center"/>
                </w:tcPr>
                <w:p w14:paraId="296826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1</w:t>
                  </w: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F</w:t>
                  </w:r>
                </w:p>
              </w:tc>
              <w:tc>
                <w:tcPr>
                  <w:tcW w:w="1124" w:type="pct"/>
                  <w:tcBorders>
                    <w:top w:val="single" w:color="000000" w:sz="4" w:space="0"/>
                    <w:left w:val="single" w:color="000000" w:sz="4" w:space="0"/>
                    <w:bottom w:val="single" w:color="000000" w:sz="4" w:space="0"/>
                    <w:right w:val="single" w:color="000000" w:sz="4" w:space="0"/>
                  </w:tcBorders>
                  <w:noWrap/>
                  <w:vAlign w:val="center"/>
                </w:tcPr>
                <w:p w14:paraId="32968F18">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5824.00</w:t>
                  </w:r>
                </w:p>
              </w:tc>
              <w:tc>
                <w:tcPr>
                  <w:tcW w:w="795" w:type="pct"/>
                  <w:tcBorders>
                    <w:top w:val="single" w:color="000000" w:sz="4" w:space="0"/>
                    <w:left w:val="single" w:color="000000" w:sz="4" w:space="0"/>
                    <w:bottom w:val="single" w:color="000000" w:sz="4" w:space="0"/>
                    <w:right w:val="single" w:color="000000" w:sz="4" w:space="0"/>
                  </w:tcBorders>
                  <w:noWrap/>
                  <w:vAlign w:val="center"/>
                </w:tcPr>
                <w:p w14:paraId="77E58D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12.00</w:t>
                  </w:r>
                </w:p>
              </w:tc>
              <w:tc>
                <w:tcPr>
                  <w:tcW w:w="1623" w:type="pct"/>
                  <w:tcBorders>
                    <w:top w:val="single" w:color="000000" w:sz="4" w:space="0"/>
                    <w:left w:val="single" w:color="000000" w:sz="4" w:space="0"/>
                    <w:bottom w:val="single" w:color="000000" w:sz="4" w:space="0"/>
                    <w:right w:val="single" w:color="000000" w:sz="4" w:space="0"/>
                  </w:tcBorders>
                  <w:noWrap/>
                  <w:vAlign w:val="center"/>
                </w:tcPr>
                <w:p w14:paraId="29C12C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喷漆、喷粉、固化</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组装车间</w:t>
                  </w:r>
                </w:p>
              </w:tc>
            </w:tr>
            <w:tr w14:paraId="33B7D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05" w:type="pct"/>
                  <w:tcBorders>
                    <w:top w:val="single" w:color="000000" w:sz="4" w:space="0"/>
                    <w:left w:val="single" w:color="000000" w:sz="4" w:space="0"/>
                    <w:bottom w:val="single" w:color="000000" w:sz="4" w:space="0"/>
                    <w:right w:val="single" w:color="000000" w:sz="4" w:space="0"/>
                  </w:tcBorders>
                  <w:noWrap/>
                  <w:vAlign w:val="center"/>
                </w:tcPr>
                <w:p w14:paraId="6B0BBB18">
                  <w:pPr>
                    <w:adjustRightInd w:val="0"/>
                    <w:snapToGrid w:val="0"/>
                    <w:spacing w:line="240" w:lineRule="auto"/>
                    <w:jc w:val="center"/>
                    <w:rPr>
                      <w:rFonts w:hint="default"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5#厂房</w:t>
                  </w:r>
                </w:p>
              </w:tc>
              <w:tc>
                <w:tcPr>
                  <w:tcW w:w="751" w:type="pct"/>
                  <w:tcBorders>
                    <w:top w:val="single" w:color="000000" w:sz="4" w:space="0"/>
                    <w:left w:val="single" w:color="000000" w:sz="4" w:space="0"/>
                    <w:bottom w:val="single" w:color="000000" w:sz="4" w:space="0"/>
                    <w:right w:val="single" w:color="000000" w:sz="4" w:space="0"/>
                  </w:tcBorders>
                  <w:noWrap/>
                  <w:vAlign w:val="center"/>
                </w:tcPr>
                <w:p w14:paraId="32CB97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1</w:t>
                  </w: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F</w:t>
                  </w:r>
                </w:p>
              </w:tc>
              <w:tc>
                <w:tcPr>
                  <w:tcW w:w="1124" w:type="pct"/>
                  <w:tcBorders>
                    <w:top w:val="single" w:color="000000" w:sz="4" w:space="0"/>
                    <w:left w:val="single" w:color="000000" w:sz="4" w:space="0"/>
                    <w:bottom w:val="single" w:color="000000" w:sz="4" w:space="0"/>
                    <w:right w:val="single" w:color="000000" w:sz="4" w:space="0"/>
                  </w:tcBorders>
                  <w:noWrap/>
                  <w:vAlign w:val="center"/>
                </w:tcPr>
                <w:p w14:paraId="15E06B0B">
                  <w:pPr>
                    <w:widowControl w:val="0"/>
                    <w:kinsoku/>
                    <w:autoSpaceDE/>
                    <w:autoSpaceDN/>
                    <w:adjustRightInd/>
                    <w:snapToGrid/>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6780.00</w:t>
                  </w:r>
                </w:p>
              </w:tc>
              <w:tc>
                <w:tcPr>
                  <w:tcW w:w="795" w:type="pct"/>
                  <w:tcBorders>
                    <w:top w:val="single" w:color="000000" w:sz="4" w:space="0"/>
                    <w:left w:val="single" w:color="000000" w:sz="4" w:space="0"/>
                    <w:bottom w:val="single" w:color="000000" w:sz="4" w:space="0"/>
                    <w:right w:val="single" w:color="000000" w:sz="4" w:space="0"/>
                  </w:tcBorders>
                  <w:noWrap/>
                  <w:vAlign w:val="center"/>
                </w:tcPr>
                <w:p w14:paraId="079938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12.00</w:t>
                  </w:r>
                </w:p>
              </w:tc>
              <w:tc>
                <w:tcPr>
                  <w:tcW w:w="1623" w:type="pct"/>
                  <w:tcBorders>
                    <w:top w:val="single" w:color="000000" w:sz="4" w:space="0"/>
                    <w:left w:val="single" w:color="000000" w:sz="4" w:space="0"/>
                    <w:bottom w:val="single" w:color="000000" w:sz="4" w:space="0"/>
                    <w:right w:val="single" w:color="000000" w:sz="4" w:space="0"/>
                  </w:tcBorders>
                  <w:noWrap/>
                  <w:vAlign w:val="center"/>
                </w:tcPr>
                <w:p w14:paraId="45B9F0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工件表面预处理</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车间</w:t>
                  </w:r>
                </w:p>
              </w:tc>
            </w:tr>
          </w:tbl>
          <w:p w14:paraId="33B201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100" w:lineRule="exact"/>
              <w:ind w:left="0" w:right="0" w:firstLine="480" w:firstLineChars="200"/>
              <w:textAlignment w:val="auto"/>
              <w:rPr>
                <w:rFonts w:hint="default" w:ascii="Times New Roman" w:hAnsi="Times New Roman" w:cs="Times New Roman"/>
                <w:color w:val="000000" w:themeColor="text1"/>
                <w:sz w:val="24"/>
                <w:szCs w:val="24"/>
                <w:highlight w:val="none"/>
                <w:lang w:val="zh-CN"/>
                <w14:textFill>
                  <w14:solidFill>
                    <w14:schemeClr w14:val="tx1"/>
                  </w14:solidFill>
                </w14:textFill>
              </w:rPr>
            </w:pPr>
          </w:p>
          <w:p w14:paraId="19F8B4A2">
            <w:pPr>
              <w:pageBreakBefore w:val="0"/>
              <w:widowControl w:val="0"/>
              <w:numPr>
                <w:ilvl w:val="0"/>
                <w:numId w:val="10"/>
              </w:numPr>
              <w:wordWrap w:val="0"/>
              <w:overflowPunct/>
              <w:bidi w:val="0"/>
              <w:spacing w:line="240" w:lineRule="auto"/>
              <w:ind w:left="0" w:leftChars="0" w:firstLine="40" w:firstLineChars="0"/>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工程组成一览表</w:t>
            </w:r>
          </w:p>
          <w:tbl>
            <w:tblPr>
              <w:tblStyle w:val="44"/>
              <w:tblW w:w="503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1"/>
              <w:gridCol w:w="1074"/>
              <w:gridCol w:w="1228"/>
              <w:gridCol w:w="5513"/>
            </w:tblGrid>
            <w:tr w14:paraId="0F4B5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379" w:type="pct"/>
                  <w:tcBorders>
                    <w:top w:val="single" w:color="000000" w:sz="4" w:space="0"/>
                    <w:left w:val="single" w:color="000000" w:sz="4" w:space="0"/>
                    <w:bottom w:val="single" w:color="000000" w:sz="4" w:space="0"/>
                    <w:right w:val="single" w:color="000000" w:sz="4" w:space="0"/>
                  </w:tcBorders>
                  <w:noWrap w:val="0"/>
                  <w:vAlign w:val="center"/>
                </w:tcPr>
                <w:p w14:paraId="7662C77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序号</w:t>
                  </w: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635CBB1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项目类别</w:t>
                  </w:r>
                </w:p>
              </w:tc>
              <w:tc>
                <w:tcPr>
                  <w:tcW w:w="726" w:type="pct"/>
                  <w:tcBorders>
                    <w:top w:val="single" w:color="000000" w:sz="4" w:space="0"/>
                    <w:left w:val="single" w:color="000000" w:sz="4" w:space="0"/>
                    <w:bottom w:val="single" w:color="000000" w:sz="4" w:space="0"/>
                    <w:right w:val="single" w:color="000000" w:sz="4" w:space="0"/>
                  </w:tcBorders>
                  <w:noWrap w:val="0"/>
                  <w:vAlign w:val="center"/>
                </w:tcPr>
                <w:p w14:paraId="7007A7B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建设内容</w:t>
                  </w:r>
                </w:p>
              </w:tc>
              <w:tc>
                <w:tcPr>
                  <w:tcW w:w="3259" w:type="pct"/>
                  <w:tcBorders>
                    <w:top w:val="single" w:color="000000" w:sz="4" w:space="0"/>
                    <w:left w:val="single" w:color="000000" w:sz="4" w:space="0"/>
                    <w:bottom w:val="single" w:color="000000" w:sz="4" w:space="0"/>
                    <w:right w:val="single" w:color="000000" w:sz="4" w:space="0"/>
                  </w:tcBorders>
                  <w:noWrap w:val="0"/>
                  <w:vAlign w:val="center"/>
                </w:tcPr>
                <w:p w14:paraId="4528789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位置、用途、占地面积</w:t>
                  </w:r>
                </w:p>
              </w:tc>
            </w:tr>
            <w:tr w14:paraId="2EDC6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379" w:type="pct"/>
                  <w:vMerge w:val="restart"/>
                  <w:tcBorders>
                    <w:top w:val="single" w:color="000000" w:sz="4" w:space="0"/>
                    <w:left w:val="single" w:color="000000" w:sz="4" w:space="0"/>
                    <w:right w:val="single" w:color="000000" w:sz="4" w:space="0"/>
                  </w:tcBorders>
                  <w:noWrap w:val="0"/>
                  <w:vAlign w:val="center"/>
                </w:tcPr>
                <w:p w14:paraId="37DE46A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635" w:type="pct"/>
                  <w:vMerge w:val="restart"/>
                  <w:tcBorders>
                    <w:top w:val="single" w:color="000000" w:sz="4" w:space="0"/>
                    <w:left w:val="single" w:color="000000" w:sz="4" w:space="0"/>
                    <w:right w:val="single" w:color="000000" w:sz="4" w:space="0"/>
                  </w:tcBorders>
                  <w:noWrap w:val="0"/>
                  <w:vAlign w:val="center"/>
                </w:tcPr>
                <w:p w14:paraId="5A67DCB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主体工程</w:t>
                  </w:r>
                </w:p>
              </w:tc>
              <w:tc>
                <w:tcPr>
                  <w:tcW w:w="726" w:type="pct"/>
                  <w:tcBorders>
                    <w:top w:val="single" w:color="000000" w:sz="4" w:space="0"/>
                    <w:left w:val="single" w:color="000000" w:sz="4" w:space="0"/>
                    <w:bottom w:val="single" w:color="000000" w:sz="4" w:space="0"/>
                    <w:right w:val="single" w:color="000000" w:sz="4" w:space="0"/>
                  </w:tcBorders>
                  <w:noWrap w:val="0"/>
                  <w:vAlign w:val="center"/>
                </w:tcPr>
                <w:p w14:paraId="44FAF5ED">
                  <w:pPr>
                    <w:adjustRightInd w:val="0"/>
                    <w:snapToGrid w:val="0"/>
                    <w:spacing w:line="240" w:lineRule="auto"/>
                    <w:jc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1#厂房</w:t>
                  </w:r>
                </w:p>
              </w:tc>
              <w:tc>
                <w:tcPr>
                  <w:tcW w:w="3259" w:type="pct"/>
                  <w:tcBorders>
                    <w:top w:val="single" w:color="000000" w:sz="4" w:space="0"/>
                    <w:left w:val="single" w:color="000000" w:sz="4" w:space="0"/>
                    <w:bottom w:val="single" w:color="000000" w:sz="4" w:space="0"/>
                    <w:right w:val="single" w:color="000000" w:sz="4" w:space="0"/>
                  </w:tcBorders>
                  <w:noWrap w:val="0"/>
                  <w:vAlign w:val="center"/>
                </w:tcPr>
                <w:p w14:paraId="2F52371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位于</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#厂房，为1层建筑，建筑面积</w:t>
                  </w:r>
                  <w:r>
                    <w:rPr>
                      <w:rFonts w:hint="eastAsia"/>
                      <w:color w:val="000000" w:themeColor="text1"/>
                      <w:highlight w:val="none"/>
                      <w14:textFill>
                        <w14:solidFill>
                          <w14:schemeClr w14:val="tx1"/>
                        </w14:solidFill>
                      </w14:textFill>
                    </w:rPr>
                    <w:t>6272.00</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w:t>
                  </w:r>
                  <w:r>
                    <w:rPr>
                      <w:rFonts w:hint="eastAsia" w:ascii="Times New Roman" w:hAnsi="Times New Roman" w:eastAsia="宋体"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，设置在项目</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中心以西南处</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，主要工序为：</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开料、</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冲压等工序</w:t>
                  </w:r>
                </w:p>
              </w:tc>
            </w:tr>
            <w:tr w14:paraId="70B7D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9" w:type="pct"/>
                  <w:vMerge w:val="continue"/>
                  <w:tcBorders>
                    <w:left w:val="single" w:color="000000" w:sz="4" w:space="0"/>
                    <w:right w:val="single" w:color="000000" w:sz="4" w:space="0"/>
                  </w:tcBorders>
                  <w:noWrap w:val="0"/>
                  <w:vAlign w:val="center"/>
                </w:tcPr>
                <w:p w14:paraId="6EA10FD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35" w:type="pct"/>
                  <w:vMerge w:val="continue"/>
                  <w:tcBorders>
                    <w:left w:val="single" w:color="000000" w:sz="4" w:space="0"/>
                    <w:right w:val="single" w:color="000000" w:sz="4" w:space="0"/>
                  </w:tcBorders>
                  <w:noWrap w:val="0"/>
                  <w:vAlign w:val="center"/>
                </w:tcPr>
                <w:p w14:paraId="6D87D07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726" w:type="pct"/>
                  <w:tcBorders>
                    <w:top w:val="single" w:color="000000" w:sz="4" w:space="0"/>
                    <w:left w:val="single" w:color="000000" w:sz="4" w:space="0"/>
                    <w:bottom w:val="single" w:color="000000" w:sz="4" w:space="0"/>
                    <w:right w:val="single" w:color="000000" w:sz="4" w:space="0"/>
                  </w:tcBorders>
                  <w:noWrap w:val="0"/>
                  <w:vAlign w:val="center"/>
                </w:tcPr>
                <w:p w14:paraId="2DD1B49C">
                  <w:pPr>
                    <w:adjustRightInd w:val="0"/>
                    <w:snapToGrid w:val="0"/>
                    <w:spacing w:line="240" w:lineRule="auto"/>
                    <w:jc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2#厂房</w:t>
                  </w:r>
                </w:p>
              </w:tc>
              <w:tc>
                <w:tcPr>
                  <w:tcW w:w="3259" w:type="pct"/>
                  <w:tcBorders>
                    <w:top w:val="single" w:color="000000" w:sz="4" w:space="0"/>
                    <w:left w:val="single" w:color="000000" w:sz="4" w:space="0"/>
                    <w:bottom w:val="single" w:color="000000" w:sz="4" w:space="0"/>
                    <w:right w:val="single" w:color="000000" w:sz="4" w:space="0"/>
                  </w:tcBorders>
                  <w:noWrap w:val="0"/>
                  <w:vAlign w:val="center"/>
                </w:tcPr>
                <w:p w14:paraId="04828D8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位于</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#厂房，为1层建筑，建筑面积6272.00</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w:t>
                  </w:r>
                  <w:r>
                    <w:rPr>
                      <w:rFonts w:hint="eastAsia" w:ascii="Times New Roman" w:hAnsi="Times New Roman" w:eastAsia="宋体"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，设置在项目</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中心以西处</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，主要工序为：折弯工序</w:t>
                  </w:r>
                </w:p>
              </w:tc>
            </w:tr>
            <w:tr w14:paraId="6CE11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379" w:type="pct"/>
                  <w:vMerge w:val="continue"/>
                  <w:tcBorders>
                    <w:left w:val="single" w:color="000000" w:sz="4" w:space="0"/>
                    <w:right w:val="single" w:color="000000" w:sz="4" w:space="0"/>
                  </w:tcBorders>
                  <w:noWrap w:val="0"/>
                  <w:vAlign w:val="center"/>
                </w:tcPr>
                <w:p w14:paraId="710BCC4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35" w:type="pct"/>
                  <w:vMerge w:val="continue"/>
                  <w:tcBorders>
                    <w:left w:val="single" w:color="000000" w:sz="4" w:space="0"/>
                    <w:right w:val="single" w:color="000000" w:sz="4" w:space="0"/>
                  </w:tcBorders>
                  <w:noWrap w:val="0"/>
                  <w:vAlign w:val="center"/>
                </w:tcPr>
                <w:p w14:paraId="767EAEE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726" w:type="pct"/>
                  <w:tcBorders>
                    <w:top w:val="single" w:color="000000" w:sz="4" w:space="0"/>
                    <w:left w:val="single" w:color="000000" w:sz="4" w:space="0"/>
                    <w:bottom w:val="single" w:color="000000" w:sz="4" w:space="0"/>
                    <w:right w:val="single" w:color="000000" w:sz="4" w:space="0"/>
                  </w:tcBorders>
                  <w:noWrap w:val="0"/>
                  <w:vAlign w:val="center"/>
                </w:tcPr>
                <w:p w14:paraId="6D4A2B25">
                  <w:pPr>
                    <w:adjustRightInd w:val="0"/>
                    <w:snapToGrid w:val="0"/>
                    <w:spacing w:line="240" w:lineRule="auto"/>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3#厂房</w:t>
                  </w:r>
                </w:p>
              </w:tc>
              <w:tc>
                <w:tcPr>
                  <w:tcW w:w="3259" w:type="pct"/>
                  <w:tcBorders>
                    <w:top w:val="single" w:color="000000" w:sz="4" w:space="0"/>
                    <w:left w:val="single" w:color="000000" w:sz="4" w:space="0"/>
                    <w:bottom w:val="single" w:color="000000" w:sz="4" w:space="0"/>
                    <w:right w:val="single" w:color="000000" w:sz="4" w:space="0"/>
                  </w:tcBorders>
                  <w:noWrap w:val="0"/>
                  <w:vAlign w:val="center"/>
                </w:tcPr>
                <w:p w14:paraId="4BA8212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位于</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#厂房，为1层建筑，建筑面积5311.49</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w:t>
                  </w:r>
                  <w:r>
                    <w:rPr>
                      <w:rFonts w:hint="eastAsia" w:ascii="Times New Roman" w:hAnsi="Times New Roman" w:eastAsia="宋体"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，设置在项目</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中心以南处</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，主要工序为：焊接、抛光打磨工序</w:t>
                  </w:r>
                </w:p>
              </w:tc>
            </w:tr>
            <w:tr w14:paraId="7905C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379" w:type="pct"/>
                  <w:vMerge w:val="continue"/>
                  <w:tcBorders>
                    <w:left w:val="single" w:color="000000" w:sz="4" w:space="0"/>
                    <w:right w:val="single" w:color="000000" w:sz="4" w:space="0"/>
                  </w:tcBorders>
                  <w:noWrap w:val="0"/>
                  <w:vAlign w:val="center"/>
                </w:tcPr>
                <w:p w14:paraId="05540E0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35" w:type="pct"/>
                  <w:vMerge w:val="continue"/>
                  <w:tcBorders>
                    <w:left w:val="single" w:color="000000" w:sz="4" w:space="0"/>
                    <w:right w:val="single" w:color="000000" w:sz="4" w:space="0"/>
                  </w:tcBorders>
                  <w:noWrap w:val="0"/>
                  <w:vAlign w:val="center"/>
                </w:tcPr>
                <w:p w14:paraId="7C15582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726" w:type="pct"/>
                  <w:tcBorders>
                    <w:top w:val="single" w:color="000000" w:sz="4" w:space="0"/>
                    <w:left w:val="single" w:color="000000" w:sz="4" w:space="0"/>
                    <w:bottom w:val="single" w:color="000000" w:sz="4" w:space="0"/>
                    <w:right w:val="single" w:color="000000" w:sz="4" w:space="0"/>
                  </w:tcBorders>
                  <w:noWrap w:val="0"/>
                  <w:vAlign w:val="center"/>
                </w:tcPr>
                <w:p w14:paraId="6624CBF3">
                  <w:pPr>
                    <w:adjustRightInd w:val="0"/>
                    <w:snapToGrid w:val="0"/>
                    <w:spacing w:line="240" w:lineRule="auto"/>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4#厂房</w:t>
                  </w:r>
                </w:p>
              </w:tc>
              <w:tc>
                <w:tcPr>
                  <w:tcW w:w="3259" w:type="pct"/>
                  <w:tcBorders>
                    <w:top w:val="single" w:color="000000" w:sz="4" w:space="0"/>
                    <w:left w:val="single" w:color="000000" w:sz="4" w:space="0"/>
                    <w:bottom w:val="single" w:color="000000" w:sz="4" w:space="0"/>
                    <w:right w:val="single" w:color="000000" w:sz="4" w:space="0"/>
                  </w:tcBorders>
                  <w:noWrap w:val="0"/>
                  <w:vAlign w:val="center"/>
                </w:tcPr>
                <w:p w14:paraId="0374CBC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位于</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4</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#厂房，为1层建筑，建筑面积5824.00</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w:t>
                  </w:r>
                  <w:r>
                    <w:rPr>
                      <w:rFonts w:hint="eastAsia" w:ascii="Times New Roman" w:hAnsi="Times New Roman" w:eastAsia="宋体"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，设置在项目</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中心处</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设置1条油粉共线，1条静电喷粉线。</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主要工序为：</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喷漆、喷粉、固化、</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组装</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工序</w:t>
                  </w:r>
                </w:p>
              </w:tc>
            </w:tr>
            <w:tr w14:paraId="27C65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379" w:type="pct"/>
                  <w:vMerge w:val="continue"/>
                  <w:tcBorders>
                    <w:left w:val="single" w:color="000000" w:sz="4" w:space="0"/>
                    <w:bottom w:val="single" w:color="000000" w:sz="4" w:space="0"/>
                    <w:right w:val="single" w:color="000000" w:sz="4" w:space="0"/>
                  </w:tcBorders>
                  <w:noWrap w:val="0"/>
                  <w:vAlign w:val="center"/>
                </w:tcPr>
                <w:p w14:paraId="4C91FF3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35" w:type="pct"/>
                  <w:vMerge w:val="continue"/>
                  <w:tcBorders>
                    <w:left w:val="single" w:color="000000" w:sz="4" w:space="0"/>
                    <w:bottom w:val="single" w:color="000000" w:sz="4" w:space="0"/>
                    <w:right w:val="single" w:color="000000" w:sz="4" w:space="0"/>
                  </w:tcBorders>
                  <w:noWrap w:val="0"/>
                  <w:vAlign w:val="center"/>
                </w:tcPr>
                <w:p w14:paraId="773F8A2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726" w:type="pct"/>
                  <w:tcBorders>
                    <w:top w:val="single" w:color="000000" w:sz="4" w:space="0"/>
                    <w:left w:val="single" w:color="000000" w:sz="4" w:space="0"/>
                    <w:bottom w:val="single" w:color="000000" w:sz="4" w:space="0"/>
                    <w:right w:val="single" w:color="000000" w:sz="4" w:space="0"/>
                  </w:tcBorders>
                  <w:noWrap w:val="0"/>
                  <w:vAlign w:val="center"/>
                </w:tcPr>
                <w:p w14:paraId="2EA9E6C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5#厂房</w:t>
                  </w:r>
                </w:p>
              </w:tc>
              <w:tc>
                <w:tcPr>
                  <w:tcW w:w="3259" w:type="pct"/>
                  <w:tcBorders>
                    <w:top w:val="single" w:color="000000" w:sz="4" w:space="0"/>
                    <w:left w:val="single" w:color="000000" w:sz="4" w:space="0"/>
                    <w:bottom w:val="single" w:color="000000" w:sz="4" w:space="0"/>
                    <w:right w:val="single" w:color="000000" w:sz="4" w:space="0"/>
                  </w:tcBorders>
                  <w:noWrap w:val="0"/>
                  <w:vAlign w:val="center"/>
                </w:tcPr>
                <w:p w14:paraId="7ADC16C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位于</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5</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#厂房，为</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层建筑，建筑面积6780.00</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w:t>
                  </w:r>
                  <w:r>
                    <w:rPr>
                      <w:rFonts w:hint="eastAsia" w:ascii="Times New Roman" w:hAnsi="Times New Roman" w:eastAsia="宋体"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，设置在项目</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北面</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。项目设有</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条</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工件</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表面预处理生产线，主要工序为：对铝卷原料进行</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脱脂</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除油、清水喷淋、钝化、烘干</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；设储存物料、产品</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仓库</w:t>
                  </w:r>
                </w:p>
              </w:tc>
            </w:tr>
            <w:tr w14:paraId="5FDED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379" w:type="pct"/>
                  <w:vMerge w:val="restart"/>
                  <w:tcBorders>
                    <w:top w:val="single" w:color="000000" w:sz="4" w:space="0"/>
                    <w:left w:val="single" w:color="000000" w:sz="4" w:space="0"/>
                    <w:bottom w:val="single" w:color="000000" w:sz="4" w:space="0"/>
                    <w:right w:val="single" w:color="000000" w:sz="4" w:space="0"/>
                  </w:tcBorders>
                  <w:noWrap w:val="0"/>
                  <w:vAlign w:val="center"/>
                </w:tcPr>
                <w:p w14:paraId="3B379D9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p>
              </w:tc>
              <w:tc>
                <w:tcPr>
                  <w:tcW w:w="635" w:type="pct"/>
                  <w:vMerge w:val="restart"/>
                  <w:tcBorders>
                    <w:top w:val="single" w:color="000000" w:sz="4" w:space="0"/>
                    <w:left w:val="single" w:color="000000" w:sz="4" w:space="0"/>
                    <w:bottom w:val="single" w:color="000000" w:sz="4" w:space="0"/>
                    <w:right w:val="single" w:color="000000" w:sz="4" w:space="0"/>
                  </w:tcBorders>
                  <w:noWrap w:val="0"/>
                  <w:vAlign w:val="center"/>
                </w:tcPr>
                <w:p w14:paraId="1066E4A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辅助工程</w:t>
                  </w:r>
                </w:p>
              </w:tc>
              <w:tc>
                <w:tcPr>
                  <w:tcW w:w="726" w:type="pct"/>
                  <w:tcBorders>
                    <w:top w:val="single" w:color="000000" w:sz="4" w:space="0"/>
                    <w:left w:val="single" w:color="000000" w:sz="4" w:space="0"/>
                    <w:bottom w:val="single" w:color="000000" w:sz="4" w:space="0"/>
                    <w:right w:val="single" w:color="000000" w:sz="4" w:space="0"/>
                  </w:tcBorders>
                  <w:noWrap w:val="0"/>
                  <w:vAlign w:val="center"/>
                </w:tcPr>
                <w:p w14:paraId="7551244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宿舍楼</w:t>
                  </w:r>
                </w:p>
              </w:tc>
              <w:tc>
                <w:tcPr>
                  <w:tcW w:w="3259" w:type="pct"/>
                  <w:tcBorders>
                    <w:top w:val="single" w:color="000000" w:sz="4" w:space="0"/>
                    <w:left w:val="single" w:color="000000" w:sz="4" w:space="0"/>
                    <w:bottom w:val="single" w:color="000000" w:sz="4" w:space="0"/>
                    <w:right w:val="single" w:color="000000" w:sz="4" w:space="0"/>
                  </w:tcBorders>
                  <w:noWrap w:val="0"/>
                  <w:vAlign w:val="center"/>
                </w:tcPr>
                <w:p w14:paraId="0AA7CA4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为</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层建筑，建筑面积</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为3734.40m</w:t>
                  </w:r>
                  <w:r>
                    <w:rPr>
                      <w:rFonts w:hint="eastAsia" w:ascii="Times New Roman" w:hAnsi="Times New Roman" w:eastAsia="宋体"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，设置在项目厂区</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东南面</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，为员工提供</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食</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宿</w:t>
                  </w:r>
                </w:p>
              </w:tc>
            </w:tr>
            <w:tr w14:paraId="2221C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37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F9F36A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71BE672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726" w:type="pct"/>
                  <w:tcBorders>
                    <w:top w:val="single" w:color="000000" w:sz="4" w:space="0"/>
                    <w:left w:val="single" w:color="000000" w:sz="4" w:space="0"/>
                    <w:bottom w:val="single" w:color="000000" w:sz="4" w:space="0"/>
                    <w:right w:val="single" w:color="000000" w:sz="4" w:space="0"/>
                  </w:tcBorders>
                  <w:noWrap w:val="0"/>
                  <w:vAlign w:val="center"/>
                </w:tcPr>
                <w:p w14:paraId="32CB534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综合楼</w:t>
                  </w:r>
                </w:p>
              </w:tc>
              <w:tc>
                <w:tcPr>
                  <w:tcW w:w="3259" w:type="pct"/>
                  <w:tcBorders>
                    <w:top w:val="single" w:color="000000" w:sz="4" w:space="0"/>
                    <w:left w:val="single" w:color="000000" w:sz="4" w:space="0"/>
                    <w:bottom w:val="single" w:color="000000" w:sz="4" w:space="0"/>
                    <w:right w:val="single" w:color="000000" w:sz="4" w:space="0"/>
                  </w:tcBorders>
                  <w:noWrap w:val="0"/>
                  <w:vAlign w:val="center"/>
                </w:tcPr>
                <w:p w14:paraId="0E49C40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为</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9</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层建筑，建筑面积为9376.38</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w:t>
                  </w:r>
                  <w:r>
                    <w:rPr>
                      <w:rFonts w:hint="eastAsia" w:ascii="Times New Roman" w:hAnsi="Times New Roman" w:eastAsia="宋体"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设置在</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项目厂区东</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北</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侧，主要用于</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产品研发及</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员工办公</w:t>
                  </w:r>
                </w:p>
              </w:tc>
            </w:tr>
            <w:tr w14:paraId="50F40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379" w:type="pct"/>
                  <w:tcBorders>
                    <w:top w:val="single" w:color="000000" w:sz="4" w:space="0"/>
                    <w:left w:val="single" w:color="000000" w:sz="4" w:space="0"/>
                    <w:bottom w:val="single" w:color="000000" w:sz="4" w:space="0"/>
                    <w:right w:val="single" w:color="000000" w:sz="4" w:space="0"/>
                  </w:tcBorders>
                  <w:noWrap w:val="0"/>
                  <w:vAlign w:val="center"/>
                </w:tcPr>
                <w:p w14:paraId="10164F1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w:t>
                  </w: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53CAFF2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储运工程</w:t>
                  </w:r>
                </w:p>
              </w:tc>
              <w:tc>
                <w:tcPr>
                  <w:tcW w:w="726" w:type="pct"/>
                  <w:tcBorders>
                    <w:top w:val="single" w:color="000000" w:sz="4" w:space="0"/>
                    <w:left w:val="single" w:color="000000" w:sz="4" w:space="0"/>
                    <w:bottom w:val="single" w:color="000000" w:sz="4" w:space="0"/>
                    <w:right w:val="single" w:color="000000" w:sz="4" w:space="0"/>
                  </w:tcBorders>
                  <w:noWrap w:val="0"/>
                  <w:vAlign w:val="center"/>
                </w:tcPr>
                <w:p w14:paraId="6989B88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仓库</w:t>
                  </w:r>
                </w:p>
              </w:tc>
              <w:tc>
                <w:tcPr>
                  <w:tcW w:w="3259" w:type="pct"/>
                  <w:tcBorders>
                    <w:top w:val="single" w:color="000000" w:sz="4" w:space="0"/>
                    <w:left w:val="single" w:color="000000" w:sz="4" w:space="0"/>
                    <w:bottom w:val="single" w:color="000000" w:sz="4" w:space="0"/>
                    <w:right w:val="single" w:color="000000" w:sz="4" w:space="0"/>
                  </w:tcBorders>
                  <w:noWrap w:val="0"/>
                  <w:vAlign w:val="center"/>
                </w:tcPr>
                <w:p w14:paraId="41D3643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依托</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5</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#厂房，</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位于5#厂房东南面</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，用于储存物料、产品</w:t>
                  </w:r>
                </w:p>
              </w:tc>
            </w:tr>
            <w:tr w14:paraId="02364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379" w:type="pct"/>
                  <w:vMerge w:val="restart"/>
                  <w:tcBorders>
                    <w:top w:val="single" w:color="000000" w:sz="4" w:space="0"/>
                    <w:left w:val="single" w:color="000000" w:sz="4" w:space="0"/>
                    <w:bottom w:val="single" w:color="000000" w:sz="4" w:space="0"/>
                    <w:right w:val="single" w:color="000000" w:sz="4" w:space="0"/>
                  </w:tcBorders>
                  <w:noWrap w:val="0"/>
                  <w:vAlign w:val="center"/>
                </w:tcPr>
                <w:p w14:paraId="4E216AB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w:t>
                  </w:r>
                </w:p>
              </w:tc>
              <w:tc>
                <w:tcPr>
                  <w:tcW w:w="635" w:type="pct"/>
                  <w:vMerge w:val="restart"/>
                  <w:tcBorders>
                    <w:top w:val="single" w:color="000000" w:sz="4" w:space="0"/>
                    <w:left w:val="single" w:color="000000" w:sz="4" w:space="0"/>
                    <w:bottom w:val="single" w:color="000000" w:sz="4" w:space="0"/>
                    <w:right w:val="single" w:color="000000" w:sz="4" w:space="0"/>
                  </w:tcBorders>
                  <w:noWrap w:val="0"/>
                  <w:vAlign w:val="center"/>
                </w:tcPr>
                <w:p w14:paraId="0012F82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公用工程</w:t>
                  </w:r>
                </w:p>
              </w:tc>
              <w:tc>
                <w:tcPr>
                  <w:tcW w:w="726" w:type="pct"/>
                  <w:tcBorders>
                    <w:top w:val="single" w:color="000000" w:sz="4" w:space="0"/>
                    <w:left w:val="single" w:color="000000" w:sz="4" w:space="0"/>
                    <w:bottom w:val="single" w:color="000000" w:sz="4" w:space="0"/>
                    <w:right w:val="single" w:color="000000" w:sz="4" w:space="0"/>
                  </w:tcBorders>
                  <w:noWrap w:val="0"/>
                  <w:vAlign w:val="center"/>
                </w:tcPr>
                <w:p w14:paraId="235A497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供电</w:t>
                  </w:r>
                </w:p>
              </w:tc>
              <w:tc>
                <w:tcPr>
                  <w:tcW w:w="3259" w:type="pct"/>
                  <w:tcBorders>
                    <w:top w:val="single" w:color="000000" w:sz="4" w:space="0"/>
                    <w:left w:val="single" w:color="000000" w:sz="4" w:space="0"/>
                    <w:bottom w:val="single" w:color="000000" w:sz="4" w:space="0"/>
                    <w:right w:val="single" w:color="000000" w:sz="4" w:space="0"/>
                  </w:tcBorders>
                  <w:noWrap w:val="0"/>
                  <w:vAlign w:val="center"/>
                </w:tcPr>
                <w:p w14:paraId="6A39292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由市政电网供给，不设备用发电机</w:t>
                  </w:r>
                </w:p>
              </w:tc>
            </w:tr>
            <w:tr w14:paraId="47FC5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37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20426C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77722D1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726" w:type="pct"/>
                  <w:tcBorders>
                    <w:top w:val="single" w:color="000000" w:sz="4" w:space="0"/>
                    <w:left w:val="single" w:color="000000" w:sz="4" w:space="0"/>
                    <w:bottom w:val="single" w:color="000000" w:sz="4" w:space="0"/>
                    <w:right w:val="single" w:color="000000" w:sz="4" w:space="0"/>
                  </w:tcBorders>
                  <w:noWrap w:val="0"/>
                  <w:vAlign w:val="center"/>
                </w:tcPr>
                <w:p w14:paraId="3D9F032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供水</w:t>
                  </w:r>
                </w:p>
              </w:tc>
              <w:tc>
                <w:tcPr>
                  <w:tcW w:w="3259" w:type="pct"/>
                  <w:tcBorders>
                    <w:top w:val="single" w:color="000000" w:sz="4" w:space="0"/>
                    <w:left w:val="single" w:color="000000" w:sz="4" w:space="0"/>
                    <w:bottom w:val="single" w:color="000000" w:sz="4" w:space="0"/>
                    <w:right w:val="single" w:color="000000" w:sz="4" w:space="0"/>
                  </w:tcBorders>
                  <w:noWrap w:val="0"/>
                  <w:vAlign w:val="center"/>
                </w:tcPr>
                <w:p w14:paraId="58C7EDB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由当地自来水管网供给</w:t>
                  </w:r>
                </w:p>
              </w:tc>
            </w:tr>
            <w:tr w14:paraId="26346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37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809E47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202D176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726" w:type="pct"/>
                  <w:tcBorders>
                    <w:top w:val="single" w:color="000000" w:sz="4" w:space="0"/>
                    <w:left w:val="single" w:color="000000" w:sz="4" w:space="0"/>
                    <w:bottom w:val="single" w:color="000000" w:sz="4" w:space="0"/>
                    <w:right w:val="single" w:color="000000" w:sz="4" w:space="0"/>
                  </w:tcBorders>
                  <w:noWrap w:val="0"/>
                  <w:vAlign w:val="center"/>
                </w:tcPr>
                <w:p w14:paraId="7A709FF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供气</w:t>
                  </w:r>
                </w:p>
              </w:tc>
              <w:tc>
                <w:tcPr>
                  <w:tcW w:w="3259" w:type="pct"/>
                  <w:tcBorders>
                    <w:top w:val="single" w:color="000000" w:sz="4" w:space="0"/>
                    <w:left w:val="single" w:color="000000" w:sz="4" w:space="0"/>
                    <w:bottom w:val="single" w:color="000000" w:sz="4" w:space="0"/>
                    <w:right w:val="single" w:color="000000" w:sz="4" w:space="0"/>
                  </w:tcBorders>
                  <w:noWrap w:val="0"/>
                  <w:vAlign w:val="center"/>
                </w:tcPr>
                <w:p w14:paraId="7886339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天然气为当地管道天然气供给</w:t>
                  </w:r>
                </w:p>
              </w:tc>
            </w:tr>
            <w:tr w14:paraId="2C750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379" w:type="pct"/>
                  <w:vMerge w:val="restart"/>
                  <w:tcBorders>
                    <w:top w:val="single" w:color="000000" w:sz="4" w:space="0"/>
                    <w:left w:val="single" w:color="000000" w:sz="4" w:space="0"/>
                    <w:right w:val="single" w:color="000000" w:sz="4" w:space="0"/>
                  </w:tcBorders>
                  <w:noWrap w:val="0"/>
                  <w:vAlign w:val="center"/>
                </w:tcPr>
                <w:p w14:paraId="44FAA49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w:t>
                  </w:r>
                </w:p>
              </w:tc>
              <w:tc>
                <w:tcPr>
                  <w:tcW w:w="635" w:type="pct"/>
                  <w:vMerge w:val="restart"/>
                  <w:tcBorders>
                    <w:top w:val="single" w:color="000000" w:sz="4" w:space="0"/>
                    <w:left w:val="single" w:color="000000" w:sz="4" w:space="0"/>
                    <w:right w:val="single" w:color="000000" w:sz="4" w:space="0"/>
                  </w:tcBorders>
                  <w:noWrap w:val="0"/>
                  <w:vAlign w:val="center"/>
                </w:tcPr>
                <w:p w14:paraId="36808F6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环保工程</w:t>
                  </w:r>
                </w:p>
              </w:tc>
              <w:tc>
                <w:tcPr>
                  <w:tcW w:w="726" w:type="pct"/>
                  <w:vMerge w:val="restart"/>
                  <w:tcBorders>
                    <w:top w:val="single" w:color="000000" w:sz="4" w:space="0"/>
                    <w:left w:val="single" w:color="000000" w:sz="4" w:space="0"/>
                    <w:right w:val="single" w:color="000000" w:sz="4" w:space="0"/>
                  </w:tcBorders>
                  <w:noWrap w:val="0"/>
                  <w:vAlign w:val="center"/>
                </w:tcPr>
                <w:p w14:paraId="5F78719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废气</w:t>
                  </w:r>
                </w:p>
              </w:tc>
              <w:tc>
                <w:tcPr>
                  <w:tcW w:w="3259" w:type="pct"/>
                  <w:tcBorders>
                    <w:top w:val="single" w:color="000000" w:sz="4" w:space="0"/>
                    <w:left w:val="single" w:color="000000" w:sz="4" w:space="0"/>
                    <w:bottom w:val="single" w:color="000000" w:sz="4" w:space="0"/>
                    <w:right w:val="single" w:color="000000" w:sz="4" w:space="0"/>
                  </w:tcBorders>
                  <w:noWrap w:val="0"/>
                  <w:vAlign w:val="center"/>
                </w:tcPr>
                <w:p w14:paraId="7845116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切割粉尘、</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焊接烟尘</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在车间无组织排放，经加强车间通风处理</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b w:val="0"/>
                      <w:color w:val="000000" w:themeColor="text1"/>
                      <w:szCs w:val="24"/>
                      <w:lang w:val="en-US" w:eastAsia="zh-CN"/>
                      <w14:textFill>
                        <w14:solidFill>
                          <w14:schemeClr w14:val="tx1"/>
                        </w14:solidFill>
                      </w14:textFill>
                    </w:rPr>
                    <w:t>喷粉线粉尘经“</w:t>
                  </w:r>
                  <w:r>
                    <w:rPr>
                      <w:b w:val="0"/>
                      <w:color w:val="000000" w:themeColor="text1"/>
                      <w:szCs w:val="24"/>
                      <w14:textFill>
                        <w14:solidFill>
                          <w14:schemeClr w14:val="tx1"/>
                        </w14:solidFill>
                      </w14:textFill>
                    </w:rPr>
                    <w:t>密闭车间负压收集+大旋风+滤芯式二级回收系统</w:t>
                  </w:r>
                  <w:r>
                    <w:rPr>
                      <w:rFonts w:hint="eastAsia"/>
                      <w:b w:val="0"/>
                      <w:color w:val="000000" w:themeColor="text1"/>
                      <w:szCs w:val="24"/>
                      <w:lang w:eastAsia="zh-CN"/>
                      <w14:textFill>
                        <w14:solidFill>
                          <w14:schemeClr w14:val="tx1"/>
                        </w14:solidFill>
                      </w14:textFill>
                    </w:rPr>
                    <w:t>”</w:t>
                  </w:r>
                  <w:r>
                    <w:rPr>
                      <w:rFonts w:hint="eastAsia"/>
                      <w:b w:val="0"/>
                      <w:color w:val="000000" w:themeColor="text1"/>
                      <w:szCs w:val="24"/>
                      <w:lang w:val="en-US" w:eastAsia="zh-CN"/>
                      <w14:textFill>
                        <w14:solidFill>
                          <w14:schemeClr w14:val="tx1"/>
                        </w14:solidFill>
                      </w14:textFill>
                    </w:rPr>
                    <w:t>处理后无组织排放</w:t>
                  </w:r>
                </w:p>
              </w:tc>
            </w:tr>
            <w:tr w14:paraId="34BEE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379" w:type="pct"/>
                  <w:vMerge w:val="continue"/>
                  <w:tcBorders>
                    <w:left w:val="single" w:color="000000" w:sz="4" w:space="0"/>
                    <w:right w:val="single" w:color="000000" w:sz="4" w:space="0"/>
                  </w:tcBorders>
                  <w:noWrap w:val="0"/>
                  <w:vAlign w:val="center"/>
                </w:tcPr>
                <w:p w14:paraId="5B91214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35" w:type="pct"/>
                  <w:vMerge w:val="continue"/>
                  <w:tcBorders>
                    <w:left w:val="single" w:color="000000" w:sz="4" w:space="0"/>
                    <w:right w:val="single" w:color="000000" w:sz="4" w:space="0"/>
                  </w:tcBorders>
                  <w:noWrap w:val="0"/>
                  <w:vAlign w:val="center"/>
                </w:tcPr>
                <w:p w14:paraId="0B4BDF8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726" w:type="pct"/>
                  <w:vMerge w:val="continue"/>
                  <w:tcBorders>
                    <w:left w:val="single" w:color="000000" w:sz="4" w:space="0"/>
                    <w:right w:val="single" w:color="000000" w:sz="4" w:space="0"/>
                  </w:tcBorders>
                  <w:noWrap w:val="0"/>
                  <w:vAlign w:val="center"/>
                </w:tcPr>
                <w:p w14:paraId="538BC8B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3259" w:type="pct"/>
                  <w:tcBorders>
                    <w:top w:val="single" w:color="000000" w:sz="4" w:space="0"/>
                    <w:left w:val="single" w:color="000000" w:sz="4" w:space="0"/>
                    <w:bottom w:val="single" w:color="000000" w:sz="4" w:space="0"/>
                    <w:right w:val="single" w:color="000000" w:sz="4" w:space="0"/>
                  </w:tcBorders>
                  <w:noWrap w:val="0"/>
                  <w:vAlign w:val="center"/>
                </w:tcPr>
                <w:p w14:paraId="6BE5EDE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抛光</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打磨</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粉尘</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经自然沉降后无组织排放于车间</w:t>
                  </w:r>
                </w:p>
              </w:tc>
            </w:tr>
            <w:tr w14:paraId="650C0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379" w:type="pct"/>
                  <w:vMerge w:val="continue"/>
                  <w:tcBorders>
                    <w:left w:val="single" w:color="000000" w:sz="4" w:space="0"/>
                    <w:right w:val="single" w:color="000000" w:sz="4" w:space="0"/>
                  </w:tcBorders>
                  <w:noWrap w:val="0"/>
                  <w:vAlign w:val="center"/>
                </w:tcPr>
                <w:p w14:paraId="5A42BB8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35" w:type="pct"/>
                  <w:vMerge w:val="continue"/>
                  <w:tcBorders>
                    <w:left w:val="single" w:color="000000" w:sz="4" w:space="0"/>
                    <w:right w:val="single" w:color="000000" w:sz="4" w:space="0"/>
                  </w:tcBorders>
                  <w:noWrap w:val="0"/>
                  <w:vAlign w:val="center"/>
                </w:tcPr>
                <w:p w14:paraId="2513BCF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726" w:type="pct"/>
                  <w:vMerge w:val="continue"/>
                  <w:tcBorders>
                    <w:left w:val="single" w:color="000000" w:sz="4" w:space="0"/>
                    <w:bottom w:val="single" w:color="000000" w:sz="4" w:space="0"/>
                    <w:right w:val="single" w:color="000000" w:sz="4" w:space="0"/>
                  </w:tcBorders>
                  <w:noWrap w:val="0"/>
                  <w:vAlign w:val="center"/>
                </w:tcPr>
                <w:p w14:paraId="5A3DB8C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3259" w:type="pct"/>
                  <w:tcBorders>
                    <w:top w:val="single" w:color="000000" w:sz="4" w:space="0"/>
                    <w:left w:val="single" w:color="000000" w:sz="4" w:space="0"/>
                    <w:bottom w:val="single" w:color="000000" w:sz="4" w:space="0"/>
                    <w:right w:val="single" w:color="000000" w:sz="4" w:space="0"/>
                  </w:tcBorders>
                  <w:noWrap w:val="0"/>
                  <w:vAlign w:val="center"/>
                </w:tcPr>
                <w:p w14:paraId="3551AD8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喷漆废气通过水帘柜+</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喷淋</w:t>
                  </w:r>
                  <w:r>
                    <w:rPr>
                      <w:rFonts w:hint="default" w:ascii="Times New Roman" w:hAnsi="Times New Roman" w:eastAsia="宋体" w:cs="Times New Roman"/>
                      <w:color w:val="000000" w:themeColor="text1"/>
                      <w:sz w:val="21"/>
                      <w:szCs w:val="21"/>
                      <w:highlight w:val="none"/>
                      <w14:textFill>
                        <w14:solidFill>
                          <w14:schemeClr w14:val="tx1"/>
                        </w14:solidFill>
                      </w14:textFill>
                    </w:rPr>
                    <w:t>+干式过滤器+</w:t>
                  </w:r>
                  <w:r>
                    <w:rPr>
                      <w:rFonts w:hint="eastAsia" w:cs="Times New Roman"/>
                      <w:color w:val="000000" w:themeColor="text1"/>
                      <w:sz w:val="21"/>
                      <w:szCs w:val="21"/>
                      <w:highlight w:val="none"/>
                      <w:lang w:eastAsia="zh-CN"/>
                      <w14:textFill>
                        <w14:solidFill>
                          <w14:schemeClr w14:val="tx1"/>
                        </w14:solidFill>
                      </w14:textFill>
                    </w:rPr>
                    <w:t>活性炭吸脱附+催化燃烧+活性炭吸附</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处理后，</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引至15</w:t>
                  </w:r>
                  <w:r>
                    <w:rPr>
                      <w:rFonts w:hint="default" w:ascii="Times New Roman" w:hAnsi="Times New Roman" w:eastAsia="宋体" w:cs="Times New Roman"/>
                      <w:color w:val="000000" w:themeColor="text1"/>
                      <w:sz w:val="21"/>
                      <w:szCs w:val="21"/>
                      <w:highlight w:val="none"/>
                      <w14:textFill>
                        <w14:solidFill>
                          <w14:schemeClr w14:val="tx1"/>
                        </w14:solidFill>
                      </w14:textFill>
                    </w:rPr>
                    <w:t>m高</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的</w:t>
                  </w:r>
                  <w:r>
                    <w:rPr>
                      <w:rFonts w:hint="default" w:ascii="Times New Roman" w:hAnsi="Times New Roman" w:eastAsia="宋体" w:cs="Times New Roman"/>
                      <w:color w:val="000000" w:themeColor="text1"/>
                      <w:sz w:val="21"/>
                      <w:szCs w:val="21"/>
                      <w:highlight w:val="none"/>
                      <w14:textFill>
                        <w14:solidFill>
                          <w14:schemeClr w14:val="tx1"/>
                        </w14:solidFill>
                      </w14:textFill>
                    </w:rPr>
                    <w:t>排气筒</w:t>
                  </w:r>
                  <w:r>
                    <w:rPr>
                      <w:rFonts w:hint="eastAsia" w:cs="Times New Roman"/>
                      <w:color w:val="000000" w:themeColor="text1"/>
                      <w:sz w:val="21"/>
                      <w:szCs w:val="21"/>
                      <w:highlight w:val="none"/>
                      <w:lang w:eastAsia="zh-CN"/>
                      <w14:textFill>
                        <w14:solidFill>
                          <w14:schemeClr w14:val="tx1"/>
                        </w14:solidFill>
                      </w14:textFill>
                    </w:rPr>
                    <w:t>DA00</w:t>
                  </w:r>
                  <w:r>
                    <w:rPr>
                      <w:rFonts w:hint="eastAsia"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highlight w:val="none"/>
                      <w14:textFill>
                        <w14:solidFill>
                          <w14:schemeClr w14:val="tx1"/>
                        </w14:solidFill>
                      </w14:textFill>
                    </w:rPr>
                    <w:t>排放</w:t>
                  </w:r>
                </w:p>
              </w:tc>
            </w:tr>
            <w:tr w14:paraId="2617B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379" w:type="pct"/>
                  <w:vMerge w:val="continue"/>
                  <w:tcBorders>
                    <w:left w:val="single" w:color="000000" w:sz="4" w:space="0"/>
                    <w:right w:val="single" w:color="000000" w:sz="4" w:space="0"/>
                  </w:tcBorders>
                  <w:noWrap w:val="0"/>
                  <w:vAlign w:val="center"/>
                </w:tcPr>
                <w:p w14:paraId="39DF6D5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35" w:type="pct"/>
                  <w:vMerge w:val="continue"/>
                  <w:tcBorders>
                    <w:left w:val="single" w:color="000000" w:sz="4" w:space="0"/>
                    <w:right w:val="single" w:color="000000" w:sz="4" w:space="0"/>
                  </w:tcBorders>
                  <w:noWrap w:val="0"/>
                  <w:vAlign w:val="center"/>
                </w:tcPr>
                <w:p w14:paraId="2B964E0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726" w:type="pct"/>
                  <w:vMerge w:val="continue"/>
                  <w:tcBorders>
                    <w:left w:val="single" w:color="000000" w:sz="4" w:space="0"/>
                    <w:bottom w:val="single" w:color="000000" w:sz="4" w:space="0"/>
                    <w:right w:val="single" w:color="000000" w:sz="4" w:space="0"/>
                  </w:tcBorders>
                  <w:noWrap w:val="0"/>
                  <w:vAlign w:val="center"/>
                </w:tcPr>
                <w:p w14:paraId="2B42936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3259" w:type="pct"/>
                  <w:tcBorders>
                    <w:top w:val="single" w:color="000000" w:sz="4" w:space="0"/>
                    <w:left w:val="single" w:color="000000" w:sz="4" w:space="0"/>
                    <w:bottom w:val="single" w:color="000000" w:sz="4" w:space="0"/>
                    <w:right w:val="single" w:color="000000" w:sz="4" w:space="0"/>
                  </w:tcBorders>
                  <w:noWrap w:val="0"/>
                  <w:vAlign w:val="center"/>
                </w:tcPr>
                <w:p w14:paraId="66674F9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固化废气</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经</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喷淋</w:t>
                  </w:r>
                  <w:r>
                    <w:rPr>
                      <w:rFonts w:hint="default" w:ascii="Times New Roman" w:hAnsi="Times New Roman" w:eastAsia="宋体" w:cs="Times New Roman"/>
                      <w:color w:val="000000" w:themeColor="text1"/>
                      <w:sz w:val="21"/>
                      <w:szCs w:val="21"/>
                      <w:highlight w:val="none"/>
                      <w14:textFill>
                        <w14:solidFill>
                          <w14:schemeClr w14:val="tx1"/>
                        </w14:solidFill>
                      </w14:textFill>
                    </w:rPr>
                    <w:t>+干式过滤器+</w:t>
                  </w:r>
                  <w:r>
                    <w:rPr>
                      <w:rFonts w:hint="eastAsia" w:cs="Times New Roman"/>
                      <w:color w:val="000000" w:themeColor="text1"/>
                      <w:sz w:val="21"/>
                      <w:szCs w:val="21"/>
                      <w:highlight w:val="none"/>
                      <w:lang w:val="en-US" w:eastAsia="zh-CN"/>
                      <w14:textFill>
                        <w14:solidFill>
                          <w14:schemeClr w14:val="tx1"/>
                        </w14:solidFill>
                      </w14:textFill>
                    </w:rPr>
                    <w:t>二级</w:t>
                  </w:r>
                  <w:r>
                    <w:rPr>
                      <w:rFonts w:hint="default" w:ascii="Times New Roman" w:hAnsi="Times New Roman" w:eastAsia="宋体" w:cs="Times New Roman"/>
                      <w:color w:val="000000" w:themeColor="text1"/>
                      <w:sz w:val="21"/>
                      <w:szCs w:val="21"/>
                      <w:highlight w:val="none"/>
                      <w14:textFill>
                        <w14:solidFill>
                          <w14:schemeClr w14:val="tx1"/>
                        </w14:solidFill>
                      </w14:textFill>
                    </w:rPr>
                    <w:t>活性炭</w:t>
                  </w:r>
                  <w:r>
                    <w:rPr>
                      <w:rFonts w:hint="eastAsia" w:cs="Times New Roman"/>
                      <w:color w:val="000000" w:themeColor="text1"/>
                      <w:sz w:val="21"/>
                      <w:szCs w:val="21"/>
                      <w:highlight w:val="none"/>
                      <w:lang w:val="en-US" w:eastAsia="zh-CN"/>
                      <w14:textFill>
                        <w14:solidFill>
                          <w14:schemeClr w14:val="tx1"/>
                        </w14:solidFill>
                      </w14:textFill>
                    </w:rPr>
                    <w:t>吸附</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处理后，</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引至15</w:t>
                  </w:r>
                  <w:r>
                    <w:rPr>
                      <w:rFonts w:hint="default" w:ascii="Times New Roman" w:hAnsi="Times New Roman" w:eastAsia="宋体" w:cs="Times New Roman"/>
                      <w:color w:val="000000" w:themeColor="text1"/>
                      <w:sz w:val="21"/>
                      <w:szCs w:val="21"/>
                      <w:highlight w:val="none"/>
                      <w14:textFill>
                        <w14:solidFill>
                          <w14:schemeClr w14:val="tx1"/>
                        </w14:solidFill>
                      </w14:textFill>
                    </w:rPr>
                    <w:t>m高</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的</w:t>
                  </w:r>
                  <w:r>
                    <w:rPr>
                      <w:rFonts w:hint="default" w:ascii="Times New Roman" w:hAnsi="Times New Roman" w:eastAsia="宋体" w:cs="Times New Roman"/>
                      <w:color w:val="000000" w:themeColor="text1"/>
                      <w:sz w:val="21"/>
                      <w:szCs w:val="21"/>
                      <w:highlight w:val="none"/>
                      <w14:textFill>
                        <w14:solidFill>
                          <w14:schemeClr w14:val="tx1"/>
                        </w14:solidFill>
                      </w14:textFill>
                    </w:rPr>
                    <w:t>排气筒</w:t>
                  </w:r>
                  <w:r>
                    <w:rPr>
                      <w:rFonts w:hint="eastAsia" w:cs="Times New Roman"/>
                      <w:color w:val="000000" w:themeColor="text1"/>
                      <w:sz w:val="21"/>
                      <w:szCs w:val="21"/>
                      <w:highlight w:val="none"/>
                      <w:lang w:eastAsia="zh-CN"/>
                      <w14:textFill>
                        <w14:solidFill>
                          <w14:schemeClr w14:val="tx1"/>
                        </w14:solidFill>
                      </w14:textFill>
                    </w:rPr>
                    <w:t>DA00</w:t>
                  </w:r>
                  <w:r>
                    <w:rPr>
                      <w:rFonts w:hint="eastAsia"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排放</w:t>
                  </w:r>
                </w:p>
              </w:tc>
            </w:tr>
            <w:tr w14:paraId="1E191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9" w:type="pct"/>
                  <w:vMerge w:val="continue"/>
                  <w:tcBorders>
                    <w:left w:val="single" w:color="000000" w:sz="4" w:space="0"/>
                    <w:right w:val="single" w:color="000000" w:sz="4" w:space="0"/>
                  </w:tcBorders>
                  <w:noWrap w:val="0"/>
                  <w:vAlign w:val="center"/>
                </w:tcPr>
                <w:p w14:paraId="2AE66B8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35" w:type="pct"/>
                  <w:vMerge w:val="continue"/>
                  <w:tcBorders>
                    <w:left w:val="single" w:color="000000" w:sz="4" w:space="0"/>
                    <w:right w:val="single" w:color="000000" w:sz="4" w:space="0"/>
                  </w:tcBorders>
                  <w:noWrap w:val="0"/>
                  <w:vAlign w:val="center"/>
                </w:tcPr>
                <w:p w14:paraId="4C41A75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726" w:type="pct"/>
                  <w:vMerge w:val="continue"/>
                  <w:tcBorders>
                    <w:left w:val="single" w:color="000000" w:sz="4" w:space="0"/>
                    <w:bottom w:val="single" w:color="000000" w:sz="4" w:space="0"/>
                    <w:right w:val="single" w:color="000000" w:sz="4" w:space="0"/>
                  </w:tcBorders>
                  <w:noWrap w:val="0"/>
                  <w:vAlign w:val="center"/>
                </w:tcPr>
                <w:p w14:paraId="2D4D87C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3259" w:type="pct"/>
                  <w:tcBorders>
                    <w:top w:val="single" w:color="000000" w:sz="4" w:space="0"/>
                    <w:left w:val="single" w:color="000000" w:sz="4" w:space="0"/>
                    <w:bottom w:val="single" w:color="000000" w:sz="4" w:space="0"/>
                    <w:right w:val="single" w:color="000000" w:sz="4" w:space="0"/>
                  </w:tcBorders>
                  <w:noWrap w:val="0"/>
                  <w:vAlign w:val="center"/>
                </w:tcPr>
                <w:p w14:paraId="4BB094C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食堂油烟</w:t>
                  </w:r>
                  <w:r>
                    <w:rPr>
                      <w:rFonts w:hint="eastAsia" w:cs="Times New Roman"/>
                      <w:color w:val="000000" w:themeColor="text1"/>
                      <w:sz w:val="21"/>
                      <w:szCs w:val="21"/>
                      <w:highlight w:val="none"/>
                      <w:vertAlign w:val="baseline"/>
                      <w:lang w:val="en-US" w:eastAsia="zh-CN"/>
                      <w14:textFill>
                        <w14:solidFill>
                          <w14:schemeClr w14:val="tx1"/>
                        </w14:solidFill>
                      </w14:textFill>
                    </w:rPr>
                    <w:t>收集后经1套“高效静电油烟净化器”处理后引至宿舍楼一层天面的专用排烟管DA003进行排放</w:t>
                  </w:r>
                </w:p>
              </w:tc>
            </w:tr>
            <w:tr w14:paraId="16E53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379" w:type="pct"/>
                  <w:vMerge w:val="continue"/>
                  <w:tcBorders>
                    <w:left w:val="single" w:color="000000" w:sz="4" w:space="0"/>
                    <w:right w:val="single" w:color="000000" w:sz="4" w:space="0"/>
                  </w:tcBorders>
                  <w:noWrap w:val="0"/>
                  <w:vAlign w:val="center"/>
                </w:tcPr>
                <w:p w14:paraId="580E134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35" w:type="pct"/>
                  <w:vMerge w:val="continue"/>
                  <w:tcBorders>
                    <w:left w:val="single" w:color="000000" w:sz="4" w:space="0"/>
                    <w:right w:val="single" w:color="000000" w:sz="4" w:space="0"/>
                  </w:tcBorders>
                  <w:noWrap w:val="0"/>
                  <w:vAlign w:val="center"/>
                </w:tcPr>
                <w:p w14:paraId="7B53D9C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726" w:type="pct"/>
                  <w:tcBorders>
                    <w:top w:val="single" w:color="000000" w:sz="4" w:space="0"/>
                    <w:left w:val="single" w:color="000000" w:sz="4" w:space="0"/>
                    <w:bottom w:val="single" w:color="000000" w:sz="4" w:space="0"/>
                    <w:right w:val="single" w:color="000000" w:sz="4" w:space="0"/>
                  </w:tcBorders>
                  <w:noWrap w:val="0"/>
                  <w:vAlign w:val="center"/>
                </w:tcPr>
                <w:p w14:paraId="01F7F5E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废水</w:t>
                  </w:r>
                </w:p>
              </w:tc>
              <w:tc>
                <w:tcPr>
                  <w:tcW w:w="3259" w:type="pct"/>
                  <w:tcBorders>
                    <w:top w:val="single" w:color="000000" w:sz="4" w:space="0"/>
                    <w:left w:val="single" w:color="000000" w:sz="4" w:space="0"/>
                    <w:bottom w:val="single" w:color="000000" w:sz="4" w:space="0"/>
                    <w:right w:val="single" w:color="000000" w:sz="4" w:space="0"/>
                  </w:tcBorders>
                  <w:noWrap w:val="0"/>
                  <w:vAlign w:val="center"/>
                </w:tcPr>
                <w:p w14:paraId="1799326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生产废水</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经</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自建污水处理站</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（处理工艺：中和调节+混凝沉淀+气浮+化学除氟）</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处理</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后、</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生活污水</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经</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“三级化粪池</w:t>
                  </w: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+隔油隔渣池</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”预处理后排入园区污水处理厂进一步处理，处理达标后通过出水管道输送尾水，经废水排放口（WS-LC005001）排放至榴村霜降坑河，最终流入武江</w:t>
                  </w:r>
                </w:p>
              </w:tc>
            </w:tr>
            <w:tr w14:paraId="7F012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379" w:type="pct"/>
                  <w:vMerge w:val="continue"/>
                  <w:tcBorders>
                    <w:left w:val="single" w:color="000000" w:sz="4" w:space="0"/>
                    <w:right w:val="single" w:color="000000" w:sz="4" w:space="0"/>
                  </w:tcBorders>
                  <w:noWrap w:val="0"/>
                  <w:vAlign w:val="center"/>
                </w:tcPr>
                <w:p w14:paraId="3D77A7A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35" w:type="pct"/>
                  <w:vMerge w:val="continue"/>
                  <w:tcBorders>
                    <w:left w:val="single" w:color="000000" w:sz="4" w:space="0"/>
                    <w:right w:val="single" w:color="000000" w:sz="4" w:space="0"/>
                  </w:tcBorders>
                  <w:noWrap w:val="0"/>
                  <w:vAlign w:val="center"/>
                </w:tcPr>
                <w:p w14:paraId="774EAFB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726" w:type="pct"/>
                  <w:vMerge w:val="restart"/>
                  <w:tcBorders>
                    <w:top w:val="single" w:color="000000" w:sz="4" w:space="0"/>
                    <w:left w:val="single" w:color="000000" w:sz="4" w:space="0"/>
                    <w:bottom w:val="single" w:color="000000" w:sz="4" w:space="0"/>
                    <w:right w:val="single" w:color="000000" w:sz="4" w:space="0"/>
                  </w:tcBorders>
                  <w:noWrap w:val="0"/>
                  <w:vAlign w:val="center"/>
                </w:tcPr>
                <w:p w14:paraId="03EC842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固废</w:t>
                  </w:r>
                </w:p>
              </w:tc>
              <w:tc>
                <w:tcPr>
                  <w:tcW w:w="3259" w:type="pct"/>
                  <w:tcBorders>
                    <w:top w:val="single" w:color="000000" w:sz="4" w:space="0"/>
                    <w:left w:val="single" w:color="000000" w:sz="4" w:space="0"/>
                    <w:bottom w:val="single" w:color="000000" w:sz="4" w:space="0"/>
                    <w:right w:val="single" w:color="000000" w:sz="4" w:space="0"/>
                  </w:tcBorders>
                  <w:noWrap w:val="0"/>
                  <w:vAlign w:val="center"/>
                </w:tcPr>
                <w:p w14:paraId="2206D8A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设一个</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一般固体废物暂存间</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，建筑</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面积20</w:t>
                  </w: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平方米</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，设置于</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5</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#厂房内部</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东北</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侧，用于一般固废暂存</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经收集暂存后交专业单位回收处理</w:t>
                  </w:r>
                </w:p>
              </w:tc>
            </w:tr>
            <w:tr w14:paraId="01419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379" w:type="pct"/>
                  <w:vMerge w:val="continue"/>
                  <w:tcBorders>
                    <w:left w:val="single" w:color="000000" w:sz="4" w:space="0"/>
                    <w:right w:val="single" w:color="000000" w:sz="4" w:space="0"/>
                  </w:tcBorders>
                  <w:noWrap w:val="0"/>
                  <w:vAlign w:val="center"/>
                </w:tcPr>
                <w:p w14:paraId="587AA51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35" w:type="pct"/>
                  <w:vMerge w:val="continue"/>
                  <w:tcBorders>
                    <w:left w:val="single" w:color="000000" w:sz="4" w:space="0"/>
                    <w:right w:val="single" w:color="000000" w:sz="4" w:space="0"/>
                  </w:tcBorders>
                  <w:noWrap w:val="0"/>
                  <w:vAlign w:val="center"/>
                </w:tcPr>
                <w:p w14:paraId="1D12EF7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7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019A958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3259" w:type="pct"/>
                  <w:tcBorders>
                    <w:top w:val="single" w:color="000000" w:sz="4" w:space="0"/>
                    <w:left w:val="single" w:color="000000" w:sz="4" w:space="0"/>
                    <w:bottom w:val="single" w:color="000000" w:sz="4" w:space="0"/>
                    <w:right w:val="single" w:color="000000" w:sz="4" w:space="0"/>
                  </w:tcBorders>
                  <w:noWrap w:val="0"/>
                  <w:vAlign w:val="center"/>
                </w:tcPr>
                <w:p w14:paraId="1C98B87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设一个</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危险废物贮存间</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，建筑</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面积</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50</w:t>
                  </w: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平方米</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，设置于</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5</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#厂房内部</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东北</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侧，用于危险废物存放</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危险废物</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经收集暂存后交由有</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危险废物</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处理资质的单位处理</w:t>
                  </w:r>
                </w:p>
              </w:tc>
            </w:tr>
            <w:tr w14:paraId="13039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379" w:type="pct"/>
                  <w:vMerge w:val="continue"/>
                  <w:tcBorders>
                    <w:left w:val="single" w:color="000000" w:sz="4" w:space="0"/>
                    <w:bottom w:val="single" w:color="000000" w:sz="4" w:space="0"/>
                    <w:right w:val="single" w:color="000000" w:sz="4" w:space="0"/>
                  </w:tcBorders>
                  <w:noWrap w:val="0"/>
                  <w:vAlign w:val="center"/>
                </w:tcPr>
                <w:p w14:paraId="3FA02A0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35" w:type="pct"/>
                  <w:vMerge w:val="continue"/>
                  <w:tcBorders>
                    <w:left w:val="single" w:color="000000" w:sz="4" w:space="0"/>
                    <w:bottom w:val="single" w:color="000000" w:sz="4" w:space="0"/>
                    <w:right w:val="single" w:color="000000" w:sz="4" w:space="0"/>
                  </w:tcBorders>
                  <w:noWrap w:val="0"/>
                  <w:vAlign w:val="center"/>
                </w:tcPr>
                <w:p w14:paraId="1FCB7D3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726" w:type="pct"/>
                  <w:tcBorders>
                    <w:top w:val="single" w:color="000000" w:sz="4" w:space="0"/>
                    <w:left w:val="single" w:color="000000" w:sz="4" w:space="0"/>
                    <w:bottom w:val="single" w:color="000000" w:sz="4" w:space="0"/>
                    <w:right w:val="single" w:color="000000" w:sz="4" w:space="0"/>
                  </w:tcBorders>
                  <w:noWrap w:val="0"/>
                  <w:vAlign w:val="center"/>
                </w:tcPr>
                <w:p w14:paraId="53FF0A0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leftChars="0" w:right="0" w:rightChars="0"/>
                    <w:jc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cs="Times New Roman"/>
                      <w:i w:val="0"/>
                      <w:iCs w:val="0"/>
                      <w:color w:val="000000" w:themeColor="text1"/>
                      <w:sz w:val="21"/>
                      <w:szCs w:val="21"/>
                      <w:highlight w:val="none"/>
                      <w:u w:val="none"/>
                      <w:lang w:val="en-US" w:eastAsia="zh-CN"/>
                      <w14:textFill>
                        <w14:solidFill>
                          <w14:schemeClr w14:val="tx1"/>
                        </w14:solidFill>
                      </w14:textFill>
                    </w:rPr>
                    <w:t>风险防范措施</w:t>
                  </w:r>
                </w:p>
              </w:tc>
              <w:tc>
                <w:tcPr>
                  <w:tcW w:w="3259" w:type="pct"/>
                  <w:tcBorders>
                    <w:top w:val="single" w:color="000000" w:sz="4" w:space="0"/>
                    <w:left w:val="single" w:color="000000" w:sz="4" w:space="0"/>
                    <w:bottom w:val="single" w:color="000000" w:sz="4" w:space="0"/>
                    <w:right w:val="single" w:color="000000" w:sz="4" w:space="0"/>
                  </w:tcBorders>
                  <w:noWrap w:val="0"/>
                  <w:vAlign w:val="center"/>
                </w:tcPr>
                <w:p w14:paraId="0C74A09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leftChars="0" w:right="0" w:rightChars="0"/>
                    <w:jc w:val="both"/>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本项目设置</w:t>
                  </w:r>
                  <w:r>
                    <w:rPr>
                      <w:rFonts w:hint="default" w:ascii="Times New Roman" w:hAnsi="Times New Roman" w:cs="Times New Roman"/>
                      <w:b w:val="0"/>
                      <w:bCs w:val="0"/>
                      <w:color w:val="000000" w:themeColor="text1"/>
                      <w:sz w:val="21"/>
                      <w:szCs w:val="21"/>
                      <w:highlight w:val="none"/>
                      <w14:textFill>
                        <w14:solidFill>
                          <w14:schemeClr w14:val="tx1"/>
                        </w14:solidFill>
                      </w14:textFill>
                    </w:rPr>
                    <w:t>1个有效容积为</w:t>
                  </w:r>
                  <w:r>
                    <w:rPr>
                      <w:rFonts w:hint="eastAsia" w:cs="Times New Roman"/>
                      <w:b w:val="0"/>
                      <w:bCs w:val="0"/>
                      <w:color w:val="000000" w:themeColor="text1"/>
                      <w:sz w:val="21"/>
                      <w:szCs w:val="21"/>
                      <w:highlight w:val="none"/>
                      <w:lang w:val="en-US" w:eastAsia="zh-CN"/>
                      <w14:textFill>
                        <w14:solidFill>
                          <w14:schemeClr w14:val="tx1"/>
                        </w14:solidFill>
                      </w14:textFill>
                    </w:rPr>
                    <w:t>15</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w:t>
                  </w:r>
                  <w:r>
                    <w:rPr>
                      <w:rFonts w:hint="default" w:ascii="Times New Roman" w:hAnsi="Times New Roman" w:cs="Times New Roman"/>
                      <w:b w:val="0"/>
                      <w:bCs w:val="0"/>
                      <w:color w:val="000000" w:themeColor="text1"/>
                      <w:sz w:val="21"/>
                      <w:szCs w:val="21"/>
                      <w:highlight w:val="none"/>
                      <w14:textFill>
                        <w14:solidFill>
                          <w14:schemeClr w14:val="tx1"/>
                        </w14:solidFill>
                      </w14:textFill>
                    </w:rPr>
                    <w:t>m</w:t>
                  </w:r>
                  <w:r>
                    <w:rPr>
                      <w:rFonts w:hint="default" w:ascii="Times New Roman" w:hAnsi="Times New Roman" w:cs="Times New Roman"/>
                      <w:b w:val="0"/>
                      <w:bCs w:val="0"/>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 w:val="0"/>
                      <w:bCs w:val="0"/>
                      <w:color w:val="000000" w:themeColor="text1"/>
                      <w:sz w:val="21"/>
                      <w:szCs w:val="21"/>
                      <w:highlight w:val="none"/>
                      <w14:textFill>
                        <w14:solidFill>
                          <w14:schemeClr w14:val="tx1"/>
                        </w14:solidFill>
                      </w14:textFill>
                    </w:rPr>
                    <w:t>的事故应急池</w:t>
                  </w: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用于满足消防或其他事故时废水收集需要</w:t>
                  </w:r>
                </w:p>
              </w:tc>
            </w:tr>
          </w:tbl>
          <w:p w14:paraId="4A4942F6">
            <w:pPr>
              <w:keepNext w:val="0"/>
              <w:keepLines w:val="0"/>
              <w:pageBreakBefore w:val="0"/>
              <w:widowControl/>
              <w:kinsoku/>
              <w:wordWrap/>
              <w:overflowPunct/>
              <w:topLinePunct w:val="0"/>
              <w:autoSpaceDE/>
              <w:autoSpaceDN/>
              <w:bidi w:val="0"/>
              <w:adjustRightInd/>
              <w:snapToGrid/>
              <w:spacing w:line="100" w:lineRule="exact"/>
              <w:ind w:firstLine="478" w:firstLineChars="200"/>
              <w:jc w:val="left"/>
              <w:textAlignment w:val="auto"/>
              <w:rPr>
                <w:rFonts w:hint="default" w:ascii="Times New Roman" w:hAnsi="Times New Roman" w:eastAsia="宋体" w:cs="Times New Roman"/>
                <w:b/>
                <w:bCs/>
                <w:color w:val="000000" w:themeColor="text1"/>
                <w:spacing w:val="-1"/>
                <w:sz w:val="24"/>
                <w:szCs w:val="24"/>
                <w:highlight w:val="none"/>
                <w14:textFill>
                  <w14:solidFill>
                    <w14:schemeClr w14:val="tx1"/>
                  </w14:solidFill>
                </w14:textFill>
              </w:rPr>
            </w:pPr>
          </w:p>
          <w:p w14:paraId="35C10F21">
            <w:pPr>
              <w:widowControl/>
              <w:kinsoku/>
              <w:autoSpaceDE/>
              <w:autoSpaceDN/>
              <w:adjustRightInd/>
              <w:snapToGrid/>
              <w:spacing w:line="360" w:lineRule="auto"/>
              <w:ind w:firstLine="466" w:firstLineChars="200"/>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pacing w:val="-4"/>
                <w:sz w:val="24"/>
                <w:szCs w:val="24"/>
                <w:highlight w:val="none"/>
                <w:lang w:val="en-US" w:eastAsia="zh-CN"/>
                <w14:textFill>
                  <w14:solidFill>
                    <w14:schemeClr w14:val="tx1"/>
                  </w14:solidFill>
                </w14:textFill>
              </w:rPr>
              <w:t>2</w:t>
            </w:r>
            <w:r>
              <w:rPr>
                <w:rFonts w:hint="default" w:ascii="Times New Roman" w:hAnsi="Times New Roman" w:cs="Times New Roman"/>
                <w:b/>
                <w:bCs/>
                <w:color w:val="000000" w:themeColor="text1"/>
                <w:spacing w:val="-4"/>
                <w:sz w:val="24"/>
                <w:szCs w:val="24"/>
                <w:highlight w:val="none"/>
                <w14:textFill>
                  <w14:solidFill>
                    <w14:schemeClr w14:val="tx1"/>
                  </w14:solidFill>
                </w14:textFill>
              </w:rPr>
              <w:t>、产品方案</w:t>
            </w:r>
          </w:p>
          <w:p w14:paraId="21DE8668">
            <w:pPr>
              <w:keepNext w:val="0"/>
              <w:keepLines w:val="0"/>
              <w:suppressLineNumbers w:val="0"/>
              <w:tabs>
                <w:tab w:val="left" w:pos="6960"/>
              </w:tabs>
              <w:spacing w:before="0" w:beforeAutospacing="0" w:after="0" w:afterAutospacing="0" w:line="360" w:lineRule="auto"/>
              <w:ind w:left="0" w:right="0" w:firstLine="482" w:firstLineChars="200"/>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bCs/>
                <w:color w:val="000000" w:themeColor="text1"/>
                <w:sz w:val="24"/>
                <w:szCs w:val="24"/>
                <w:highlight w:val="none"/>
                <w:lang w:eastAsia="zh-CN"/>
                <w14:textFill>
                  <w14:solidFill>
                    <w14:schemeClr w14:val="tx1"/>
                  </w14:solidFill>
                </w14:textFill>
              </w:rPr>
              <w:t>（</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1</w:t>
            </w:r>
            <w:r>
              <w:rPr>
                <w:rFonts w:hint="default" w:ascii="Times New Roman" w:hAnsi="Times New Roman" w:cs="Times New Roman"/>
                <w:b/>
                <w:bCs/>
                <w:color w:val="000000" w:themeColor="text1"/>
                <w:sz w:val="24"/>
                <w:szCs w:val="24"/>
                <w:highlight w:val="none"/>
                <w:lang w:eastAsia="zh-CN"/>
                <w14:textFill>
                  <w14:solidFill>
                    <w14:schemeClr w14:val="tx1"/>
                  </w14:solidFill>
                </w14:textFill>
              </w:rPr>
              <w:t>）</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产品方案</w:t>
            </w:r>
          </w:p>
          <w:p w14:paraId="75B26249">
            <w:pPr>
              <w:keepNext w:val="0"/>
              <w:keepLines w:val="0"/>
              <w:suppressLineNumbers w:val="0"/>
              <w:tabs>
                <w:tab w:val="left" w:pos="6960"/>
              </w:tabs>
              <w:spacing w:before="0" w:beforeAutospacing="0" w:after="0" w:afterAutospacing="0"/>
              <w:ind w:left="0" w:right="0"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本项目生产产品见下表。</w:t>
            </w:r>
          </w:p>
          <w:p w14:paraId="524ED81E">
            <w:pPr>
              <w:pageBreakBefore w:val="0"/>
              <w:widowControl w:val="0"/>
              <w:numPr>
                <w:ilvl w:val="0"/>
                <w:numId w:val="10"/>
              </w:numPr>
              <w:wordWrap w:val="0"/>
              <w:overflowPunct/>
              <w:bidi w:val="0"/>
              <w:spacing w:line="240" w:lineRule="auto"/>
              <w:ind w:left="0" w:leftChars="0" w:firstLine="40" w:firstLineChars="0"/>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产品产量一览表</w:t>
            </w:r>
          </w:p>
          <w:tbl>
            <w:tblPr>
              <w:tblStyle w:val="4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72"/>
              <w:gridCol w:w="894"/>
              <w:gridCol w:w="1455"/>
              <w:gridCol w:w="1455"/>
              <w:gridCol w:w="4003"/>
            </w:tblGrid>
            <w:tr w14:paraId="41C2E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69" w:hRule="atLeast"/>
                <w:jc w:val="center"/>
              </w:trPr>
              <w:tc>
                <w:tcPr>
                  <w:tcW w:w="341" w:type="pct"/>
                  <w:noWrap w:val="0"/>
                  <w:vAlign w:val="center"/>
                </w:tcPr>
                <w:p w14:paraId="15C9F7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序号</w:t>
                  </w:r>
                </w:p>
              </w:tc>
              <w:tc>
                <w:tcPr>
                  <w:tcW w:w="533" w:type="pct"/>
                  <w:noWrap w:val="0"/>
                  <w:vAlign w:val="center"/>
                </w:tcPr>
                <w:p w14:paraId="26B0DC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产品名称</w:t>
                  </w:r>
                </w:p>
              </w:tc>
              <w:tc>
                <w:tcPr>
                  <w:tcW w:w="868" w:type="pct"/>
                  <w:noWrap w:val="0"/>
                  <w:vAlign w:val="center"/>
                </w:tcPr>
                <w:p w14:paraId="4F9522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000000" w:themeColor="text1"/>
                      <w:sz w:val="21"/>
                      <w:szCs w:val="21"/>
                      <w:highlight w:val="none"/>
                      <w:lang w:val="en-US" w:eastAsia="zh-CN"/>
                      <w14:textFill>
                        <w14:solidFill>
                          <w14:schemeClr w14:val="tx1"/>
                        </w14:solidFill>
                      </w14:textFill>
                    </w:rPr>
                  </w:pPr>
                  <w:r>
                    <w:rPr>
                      <w:rFonts w:hint="eastAsia" w:cs="Times New Roman"/>
                      <w:b/>
                      <w:color w:val="000000" w:themeColor="text1"/>
                      <w:sz w:val="21"/>
                      <w:szCs w:val="21"/>
                      <w:highlight w:val="none"/>
                      <w:lang w:val="en-US" w:eastAsia="zh-CN"/>
                      <w14:textFill>
                        <w14:solidFill>
                          <w14:schemeClr w14:val="tx1"/>
                        </w14:solidFill>
                      </w14:textFill>
                    </w:rPr>
                    <w:t>单位</w:t>
                  </w:r>
                </w:p>
              </w:tc>
              <w:tc>
                <w:tcPr>
                  <w:tcW w:w="868" w:type="pct"/>
                  <w:noWrap w:val="0"/>
                  <w:vAlign w:val="center"/>
                </w:tcPr>
                <w:p w14:paraId="472FA7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color w:val="000000" w:themeColor="text1"/>
                      <w:sz w:val="21"/>
                      <w:szCs w:val="21"/>
                      <w:highlight w:val="none"/>
                      <w:lang w:val="en-US" w:eastAsia="zh-CN"/>
                      <w14:textFill>
                        <w14:solidFill>
                          <w14:schemeClr w14:val="tx1"/>
                        </w14:solidFill>
                      </w14:textFill>
                    </w:rPr>
                    <w:t>数量</w:t>
                  </w:r>
                </w:p>
              </w:tc>
              <w:tc>
                <w:tcPr>
                  <w:tcW w:w="2387" w:type="pct"/>
                  <w:noWrap w:val="0"/>
                  <w:vAlign w:val="center"/>
                </w:tcPr>
                <w:p w14:paraId="2DF218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备注说明</w:t>
                  </w:r>
                </w:p>
              </w:tc>
            </w:tr>
            <w:tr w14:paraId="22AD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69" w:hRule="atLeast"/>
                <w:jc w:val="center"/>
              </w:trPr>
              <w:tc>
                <w:tcPr>
                  <w:tcW w:w="341" w:type="pct"/>
                  <w:noWrap w:val="0"/>
                  <w:vAlign w:val="center"/>
                </w:tcPr>
                <w:p w14:paraId="22E7F0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w:t>
                  </w:r>
                </w:p>
              </w:tc>
              <w:tc>
                <w:tcPr>
                  <w:tcW w:w="533" w:type="pct"/>
                  <w:noWrap w:val="0"/>
                  <w:vAlign w:val="center"/>
                </w:tcPr>
                <w:p w14:paraId="237FD8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铝单板</w:t>
                  </w:r>
                </w:p>
              </w:tc>
              <w:tc>
                <w:tcPr>
                  <w:tcW w:w="868" w:type="pct"/>
                  <w:noWrap w:val="0"/>
                  <w:vAlign w:val="center"/>
                </w:tcPr>
                <w:p w14:paraId="3A436033">
                  <w:pPr>
                    <w:keepNext w:val="0"/>
                    <w:keepLines w:val="0"/>
                    <w:pageBreakBefore w:val="0"/>
                    <w:widowControl w:val="0"/>
                    <w:suppressLineNumbers w:val="0"/>
                    <w:tabs>
                      <w:tab w:val="left" w:pos="1305"/>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万m</w:t>
                  </w:r>
                  <w:r>
                    <w:rPr>
                      <w:rFonts w:hint="default" w:ascii="Times New Roman" w:hAnsi="Times New Roman" w:cs="Times New Roman"/>
                      <w:b w:val="0"/>
                      <w:bCs w:val="0"/>
                      <w:color w:val="000000" w:themeColor="text1"/>
                      <w:sz w:val="21"/>
                      <w:szCs w:val="21"/>
                      <w:highlight w:val="none"/>
                      <w:vertAlign w:val="superscript"/>
                      <w:lang w:val="en-US" w:eastAsia="zh-CN"/>
                      <w14:textFill>
                        <w14:solidFill>
                          <w14:schemeClr w14:val="tx1"/>
                        </w14:solidFill>
                      </w14:textFill>
                    </w:rPr>
                    <w:t>2</w:t>
                  </w:r>
                </w:p>
              </w:tc>
              <w:tc>
                <w:tcPr>
                  <w:tcW w:w="868" w:type="pct"/>
                  <w:noWrap w:val="0"/>
                  <w:vAlign w:val="center"/>
                </w:tcPr>
                <w:p w14:paraId="4D4C86C0">
                  <w:pPr>
                    <w:keepNext w:val="0"/>
                    <w:keepLines w:val="0"/>
                    <w:pageBreakBefore w:val="0"/>
                    <w:widowControl w:val="0"/>
                    <w:suppressLineNumbers w:val="0"/>
                    <w:tabs>
                      <w:tab w:val="left" w:pos="1305"/>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kern w:val="0"/>
                      <w:sz w:val="21"/>
                      <w:szCs w:val="21"/>
                      <w:highlight w:val="none"/>
                      <w:vertAlign w:val="baseline"/>
                      <w14:textFill>
                        <w14:solidFill>
                          <w14:schemeClr w14:val="tx1"/>
                        </w14:solidFill>
                      </w14:textFill>
                    </w:rPr>
                  </w:pPr>
                  <w:r>
                    <w:rPr>
                      <w:rFonts w:hint="eastAsia" w:cs="Times New Roman"/>
                      <w:b w:val="0"/>
                      <w:bCs w:val="0"/>
                      <w:color w:val="000000" w:themeColor="text1"/>
                      <w:kern w:val="0"/>
                      <w:sz w:val="21"/>
                      <w:szCs w:val="21"/>
                      <w:highlight w:val="none"/>
                      <w:lang w:val="en-US" w:eastAsia="zh-CN"/>
                      <w14:textFill>
                        <w14:solidFill>
                          <w14:schemeClr w14:val="tx1"/>
                        </w14:solidFill>
                      </w14:textFill>
                    </w:rPr>
                    <w:t>11</w:t>
                  </w: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0</w:t>
                  </w:r>
                </w:p>
              </w:tc>
              <w:tc>
                <w:tcPr>
                  <w:tcW w:w="2387" w:type="pct"/>
                  <w:noWrap w:val="0"/>
                  <w:vAlign w:val="center"/>
                </w:tcPr>
                <w:p w14:paraId="26BBBDDE">
                  <w:pPr>
                    <w:keepNext w:val="0"/>
                    <w:keepLines w:val="0"/>
                    <w:pageBreakBefore w:val="0"/>
                    <w:widowControl w:val="0"/>
                    <w:suppressLineNumbers w:val="0"/>
                    <w:tabs>
                      <w:tab w:val="left" w:pos="1305"/>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0"/>
                      <w:sz w:val="21"/>
                      <w:szCs w:val="21"/>
                      <w:highlight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外购铝卷经机加工、</w:t>
                  </w:r>
                  <w:r>
                    <w:rPr>
                      <w:rFonts w:hint="default" w:ascii="Times New Roman" w:hAnsi="Times New Roman" w:cs="Times New Roman"/>
                      <w:color w:val="000000" w:themeColor="text1"/>
                      <w:kern w:val="0"/>
                      <w:sz w:val="21"/>
                      <w:szCs w:val="21"/>
                      <w:highlight w:val="none"/>
                      <w:lang w:eastAsia="zh-CN"/>
                      <w14:textFill>
                        <w14:solidFill>
                          <w14:schemeClr w14:val="tx1"/>
                        </w14:solidFill>
                      </w14:textFill>
                    </w:rPr>
                    <w:t>表面处理</w:t>
                  </w:r>
                  <w:r>
                    <w:rPr>
                      <w:rFonts w:hint="default" w:ascii="Times New Roman" w:hAnsi="Times New Roman" w:cs="Times New Roman"/>
                      <w:color w:val="000000" w:themeColor="text1"/>
                      <w:kern w:val="0"/>
                      <w:sz w:val="21"/>
                      <w:szCs w:val="21"/>
                      <w:highlight w:val="none"/>
                      <w14:textFill>
                        <w14:solidFill>
                          <w14:schemeClr w14:val="tx1"/>
                        </w14:solidFill>
                      </w14:textFill>
                    </w:rPr>
                    <w:t>后为</w:t>
                  </w:r>
                  <w:r>
                    <w:rPr>
                      <w:rFonts w:hint="eastAsia" w:cs="Times New Roman"/>
                      <w:color w:val="000000" w:themeColor="text1"/>
                      <w:kern w:val="0"/>
                      <w:sz w:val="21"/>
                      <w:szCs w:val="21"/>
                      <w:highlight w:val="none"/>
                      <w:lang w:val="en-US" w:eastAsia="zh-CN"/>
                      <w14:textFill>
                        <w14:solidFill>
                          <w14:schemeClr w14:val="tx1"/>
                        </w14:solidFill>
                      </w14:textFill>
                    </w:rPr>
                    <w:t>成品</w:t>
                  </w:r>
                  <w:r>
                    <w:rPr>
                      <w:rFonts w:hint="default" w:ascii="Times New Roman" w:hAnsi="Times New Roman" w:cs="Times New Roman"/>
                      <w:color w:val="000000" w:themeColor="text1"/>
                      <w:kern w:val="0"/>
                      <w:sz w:val="21"/>
                      <w:szCs w:val="21"/>
                      <w:highlight w:val="none"/>
                      <w14:textFill>
                        <w14:solidFill>
                          <w14:schemeClr w14:val="tx1"/>
                        </w14:solidFill>
                      </w14:textFill>
                    </w:rPr>
                    <w:t>钣金件，厚度控制在3.0mm左右，</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铝</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卷</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的密度为按2.7×10</w:t>
                  </w:r>
                  <w:r>
                    <w:rPr>
                      <w:rFonts w:hint="default" w:ascii="Times New Roman" w:hAnsi="Times New Roman"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千克/m</w:t>
                  </w:r>
                  <w:r>
                    <w:rPr>
                      <w:rFonts w:hint="default" w:ascii="Times New Roman" w:hAnsi="Times New Roman"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计算</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cs="Times New Roman"/>
                      <w:color w:val="000000" w:themeColor="text1"/>
                      <w:kern w:val="0"/>
                      <w:sz w:val="21"/>
                      <w:szCs w:val="21"/>
                      <w:highlight w:val="none"/>
                      <w14:textFill>
                        <w14:solidFill>
                          <w14:schemeClr w14:val="tx1"/>
                        </w14:solidFill>
                      </w14:textFill>
                    </w:rPr>
                    <w:t>钣金件</w:t>
                  </w:r>
                  <w:r>
                    <w:rPr>
                      <w:rFonts w:hint="eastAsia" w:cs="Times New Roman"/>
                      <w:color w:val="000000" w:themeColor="text1"/>
                      <w:kern w:val="0"/>
                      <w:sz w:val="21"/>
                      <w:szCs w:val="21"/>
                      <w:highlight w:val="none"/>
                      <w:lang w:val="en-US" w:eastAsia="zh-CN"/>
                      <w14:textFill>
                        <w14:solidFill>
                          <w14:schemeClr w14:val="tx1"/>
                        </w14:solidFill>
                      </w14:textFill>
                    </w:rPr>
                    <w:t>经喷涂后固化成铝单板</w:t>
                  </w:r>
                  <w:r>
                    <w:rPr>
                      <w:rFonts w:hint="default" w:ascii="Times New Roman" w:hAnsi="Times New Roman" w:cs="Times New Roman"/>
                      <w:color w:val="000000" w:themeColor="text1"/>
                      <w:kern w:val="0"/>
                      <w:sz w:val="21"/>
                      <w:szCs w:val="21"/>
                      <w:highlight w:val="none"/>
                      <w:lang w:eastAsia="zh-CN"/>
                      <w14:textFill>
                        <w14:solidFill>
                          <w14:schemeClr w14:val="tx1"/>
                        </w14:solidFill>
                      </w14:textFill>
                    </w:rPr>
                    <w:t>。</w:t>
                  </w:r>
                </w:p>
              </w:tc>
            </w:tr>
          </w:tbl>
          <w:p w14:paraId="32742407">
            <w:pPr>
              <w:keepNext w:val="0"/>
              <w:keepLines w:val="0"/>
              <w:pageBreakBefore w:val="0"/>
              <w:widowControl/>
              <w:kinsoku/>
              <w:wordWrap/>
              <w:overflowPunct/>
              <w:topLinePunct w:val="0"/>
              <w:autoSpaceDE/>
              <w:autoSpaceDN/>
              <w:bidi w:val="0"/>
              <w:adjustRightInd/>
              <w:snapToGrid/>
              <w:spacing w:line="100" w:lineRule="exact"/>
              <w:ind w:firstLine="478" w:firstLineChars="200"/>
              <w:jc w:val="left"/>
              <w:textAlignment w:val="auto"/>
              <w:rPr>
                <w:rFonts w:hint="default" w:ascii="Times New Roman" w:hAnsi="Times New Roman" w:eastAsia="宋体" w:cs="Times New Roman"/>
                <w:b/>
                <w:bCs/>
                <w:color w:val="000000" w:themeColor="text1"/>
                <w:spacing w:val="-1"/>
                <w:sz w:val="24"/>
                <w:szCs w:val="24"/>
                <w:highlight w:val="none"/>
                <w14:textFill>
                  <w14:solidFill>
                    <w14:schemeClr w14:val="tx1"/>
                  </w14:solidFill>
                </w14:textFill>
              </w:rPr>
            </w:pPr>
          </w:p>
          <w:p w14:paraId="248D4343">
            <w:pPr>
              <w:pStyle w:val="10"/>
              <w:numPr>
                <w:ilvl w:val="3"/>
                <w:numId w:val="0"/>
              </w:numPr>
              <w:suppressLineNumbers w:val="0"/>
              <w:tabs>
                <w:tab w:val="left" w:pos="420"/>
              </w:tabs>
              <w:spacing w:before="0" w:beforeAutospacing="0" w:after="0" w:afterAutospacing="0" w:line="360" w:lineRule="auto"/>
              <w:ind w:right="0" w:firstLine="482" w:firstLineChars="200"/>
              <w:rPr>
                <w:rFonts w:hint="default" w:ascii="Times New Roman" w:hAnsi="Times New Roman" w:cs="Times New Roman"/>
                <w:color w:val="000000" w:themeColor="text1"/>
                <w:szCs w:val="24"/>
                <w:highlight w:val="none"/>
                <w:lang w:val="en-US" w:eastAsia="zh-CN"/>
                <w14:textFill>
                  <w14:solidFill>
                    <w14:schemeClr w14:val="tx1"/>
                  </w14:solidFill>
                </w14:textFill>
              </w:rPr>
            </w:pPr>
            <w:r>
              <w:rPr>
                <w:rFonts w:hint="default" w:ascii="Times New Roman" w:hAnsi="Times New Roman" w:cs="Times New Roman"/>
                <w:color w:val="000000" w:themeColor="text1"/>
                <w:szCs w:val="24"/>
                <w:highlight w:val="none"/>
                <w:lang w:eastAsia="zh-CN"/>
                <w14:textFill>
                  <w14:solidFill>
                    <w14:schemeClr w14:val="tx1"/>
                  </w14:solidFill>
                </w14:textFill>
              </w:rPr>
              <w:t>（</w:t>
            </w:r>
            <w:r>
              <w:rPr>
                <w:rFonts w:hint="default" w:ascii="Times New Roman" w:hAnsi="Times New Roman" w:cs="Times New Roman"/>
                <w:color w:val="000000" w:themeColor="text1"/>
                <w:szCs w:val="24"/>
                <w:highlight w:val="none"/>
                <w:lang w:val="en-US" w:eastAsia="zh-CN"/>
                <w14:textFill>
                  <w14:solidFill>
                    <w14:schemeClr w14:val="tx1"/>
                  </w14:solidFill>
                </w14:textFill>
              </w:rPr>
              <w:t>2</w:t>
            </w:r>
            <w:r>
              <w:rPr>
                <w:rFonts w:hint="default" w:ascii="Times New Roman" w:hAnsi="Times New Roman" w:cs="Times New Roman"/>
                <w:color w:val="000000" w:themeColor="text1"/>
                <w:szCs w:val="24"/>
                <w:highlight w:val="none"/>
                <w:lang w:eastAsia="zh-CN"/>
                <w14:textFill>
                  <w14:solidFill>
                    <w14:schemeClr w14:val="tx1"/>
                  </w14:solidFill>
                </w14:textFill>
              </w:rPr>
              <w:t>）</w:t>
            </w:r>
            <w:r>
              <w:rPr>
                <w:rFonts w:hint="default" w:ascii="Times New Roman" w:hAnsi="Times New Roman" w:cs="Times New Roman"/>
                <w:color w:val="000000" w:themeColor="text1"/>
                <w:szCs w:val="24"/>
                <w:highlight w:val="none"/>
                <w:lang w:val="en-US" w:eastAsia="zh-CN"/>
                <w14:textFill>
                  <w14:solidFill>
                    <w14:schemeClr w14:val="tx1"/>
                  </w14:solidFill>
                </w14:textFill>
              </w:rPr>
              <w:t>项目产品产能匹配性分析</w:t>
            </w:r>
          </w:p>
          <w:p w14:paraId="39F4324C">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bidi="ar-SA"/>
                <w14:textFill>
                  <w14:solidFill>
                    <w14:schemeClr w14:val="tx1"/>
                  </w14:solidFill>
                </w14:textFill>
              </w:rPr>
              <w:t>本项目的</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产品</w:t>
            </w:r>
            <w:r>
              <w:rPr>
                <w:rFonts w:hint="default" w:ascii="Times New Roman" w:hAnsi="Times New Roman" w:eastAsia="宋体" w:cs="Times New Roman"/>
                <w:color w:val="000000" w:themeColor="text1"/>
                <w:kern w:val="2"/>
                <w:sz w:val="24"/>
                <w:szCs w:val="24"/>
                <w:highlight w:val="none"/>
                <w:lang w:bidi="ar-SA"/>
                <w14:textFill>
                  <w14:solidFill>
                    <w14:schemeClr w14:val="tx1"/>
                  </w14:solidFill>
                </w14:textFill>
              </w:rPr>
              <w:t>生产主要受制于</w:t>
            </w:r>
            <w:r>
              <w:rPr>
                <w:rFonts w:hint="eastAsia" w:cs="Times New Roman"/>
                <w:color w:val="000000" w:themeColor="text1"/>
                <w:kern w:val="2"/>
                <w:sz w:val="24"/>
                <w:szCs w:val="24"/>
                <w:highlight w:val="none"/>
                <w:lang w:eastAsia="zh-CN" w:bidi="ar-SA"/>
                <w14:textFill>
                  <w14:solidFill>
                    <w14:schemeClr w14:val="tx1"/>
                  </w14:solidFill>
                </w14:textFill>
              </w:rPr>
              <w:t>工件表面预处理</w:t>
            </w:r>
            <w:r>
              <w:rPr>
                <w:rFonts w:hint="default" w:ascii="Times New Roman" w:hAnsi="Times New Roman" w:eastAsia="宋体" w:cs="Times New Roman"/>
                <w:color w:val="000000" w:themeColor="text1"/>
                <w:kern w:val="2"/>
                <w:sz w:val="24"/>
                <w:szCs w:val="24"/>
                <w:highlight w:val="none"/>
                <w:lang w:bidi="ar-SA"/>
                <w14:textFill>
                  <w14:solidFill>
                    <w14:schemeClr w14:val="tx1"/>
                  </w14:solidFill>
                </w14:textFill>
              </w:rPr>
              <w:t>生产线（以下简称“预处理线”）的产能。预处理线采用隧道式挂具输送系统，并</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全程</w:t>
            </w:r>
            <w:r>
              <w:rPr>
                <w:rFonts w:hint="default" w:ascii="Times New Roman" w:hAnsi="Times New Roman" w:eastAsia="宋体" w:cs="Times New Roman"/>
                <w:color w:val="000000" w:themeColor="text1"/>
                <w:kern w:val="2"/>
                <w:sz w:val="24"/>
                <w:szCs w:val="24"/>
                <w:highlight w:val="none"/>
                <w:lang w:bidi="ar-SA"/>
                <w14:textFill>
                  <w14:solidFill>
                    <w14:schemeClr w14:val="tx1"/>
                  </w14:solidFill>
                </w14:textFill>
              </w:rPr>
              <w:t>通过喷淋方式进行预处理作业。预处理线的长度为</w:t>
            </w:r>
            <w:r>
              <w:rPr>
                <w:rFonts w:hint="default" w:ascii="Times New Roman" w:hAnsi="Times New Roman" w:cs="Times New Roman"/>
                <w:color w:val="000000" w:themeColor="text1"/>
                <w:kern w:val="2"/>
                <w:sz w:val="24"/>
                <w:szCs w:val="24"/>
                <w:highlight w:val="none"/>
                <w:lang w:val="en-US" w:eastAsia="zh-CN" w:bidi="ar-SA"/>
                <w14:textFill>
                  <w14:solidFill>
                    <w14:schemeClr w14:val="tx1"/>
                  </w14:solidFill>
                </w14:textFill>
              </w:rPr>
              <w:t>7</w:t>
            </w:r>
            <w:r>
              <w:rPr>
                <w:rFonts w:hint="eastAsia" w:ascii="Times New Roman" w:hAnsi="Times New Roman" w:cs="Times New Roman"/>
                <w:color w:val="000000" w:themeColor="text1"/>
                <w:kern w:val="2"/>
                <w:sz w:val="24"/>
                <w:szCs w:val="24"/>
                <w:highlight w:val="none"/>
                <w:lang w:val="en-US" w:eastAsia="zh-CN" w:bidi="ar-SA"/>
                <w14:textFill>
                  <w14:solidFill>
                    <w14:schemeClr w14:val="tx1"/>
                  </w14:solidFill>
                </w14:textFill>
              </w:rPr>
              <w:t>9.5</w:t>
            </w:r>
            <w:r>
              <w:rPr>
                <w:rFonts w:hint="default" w:ascii="Times New Roman" w:hAnsi="Times New Roman" w:eastAsia="宋体" w:cs="Times New Roman"/>
                <w:color w:val="000000" w:themeColor="text1"/>
                <w:kern w:val="2"/>
                <w:sz w:val="24"/>
                <w:szCs w:val="24"/>
                <w:highlight w:val="none"/>
                <w:lang w:bidi="ar-SA"/>
                <w14:textFill>
                  <w14:solidFill>
                    <w14:schemeClr w14:val="tx1"/>
                  </w14:solidFill>
                </w14:textFill>
              </w:rPr>
              <w:t>米。</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本项目预处理线设计参数如下表所示。</w:t>
            </w:r>
          </w:p>
          <w:p w14:paraId="2AB7BA51">
            <w:pPr>
              <w:pageBreakBefore w:val="0"/>
              <w:widowControl w:val="0"/>
              <w:numPr>
                <w:ilvl w:val="0"/>
                <w:numId w:val="10"/>
              </w:numPr>
              <w:wordWrap w:val="0"/>
              <w:overflowPunct/>
              <w:bidi w:val="0"/>
              <w:spacing w:line="240" w:lineRule="auto"/>
              <w:ind w:left="0" w:leftChars="0" w:firstLine="40" w:firstLineChars="0"/>
              <w:jc w:val="cente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预处理线设计参数</w:t>
            </w:r>
          </w:p>
          <w:tbl>
            <w:tblPr>
              <w:tblStyle w:val="44"/>
              <w:tblW w:w="83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05"/>
              <w:gridCol w:w="1031"/>
              <w:gridCol w:w="1025"/>
              <w:gridCol w:w="1086"/>
              <w:gridCol w:w="926"/>
              <w:gridCol w:w="1086"/>
              <w:gridCol w:w="1045"/>
              <w:gridCol w:w="1053"/>
            </w:tblGrid>
            <w:tr w14:paraId="7026A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7" w:hRule="atLeast"/>
              </w:trPr>
              <w:tc>
                <w:tcPr>
                  <w:tcW w:w="661" w:type="pct"/>
                  <w:tcBorders>
                    <w:top w:val="single" w:color="000000" w:sz="4" w:space="0"/>
                    <w:left w:val="single" w:color="000000" w:sz="4" w:space="0"/>
                    <w:bottom w:val="single" w:color="000000" w:sz="4" w:space="0"/>
                    <w:right w:val="single" w:color="000000" w:sz="4" w:space="0"/>
                  </w:tcBorders>
                  <w:noWrap w:val="0"/>
                  <w:vAlign w:val="center"/>
                </w:tcPr>
                <w:p w14:paraId="7E226D87">
                  <w:pPr>
                    <w:adjustRightInd w:val="0"/>
                    <w:snapToGrid w:val="0"/>
                    <w:spacing w:line="240" w:lineRule="auto"/>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处理</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线长度（m）</w:t>
                  </w:r>
                </w:p>
              </w:tc>
              <w:tc>
                <w:tcPr>
                  <w:tcW w:w="617" w:type="pct"/>
                  <w:tcBorders>
                    <w:top w:val="single" w:color="000000" w:sz="4" w:space="0"/>
                    <w:left w:val="single" w:color="000000" w:sz="4" w:space="0"/>
                    <w:bottom w:val="single" w:color="000000" w:sz="4" w:space="0"/>
                    <w:right w:val="single" w:color="000000" w:sz="4" w:space="0"/>
                  </w:tcBorders>
                  <w:noWrap w:val="0"/>
                  <w:vAlign w:val="center"/>
                </w:tcPr>
                <w:p w14:paraId="045BABB6">
                  <w:pPr>
                    <w:adjustRightInd w:val="0"/>
                    <w:snapToGrid w:val="0"/>
                    <w:spacing w:line="240" w:lineRule="auto"/>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单个工件长度（m）</w:t>
                  </w:r>
                </w:p>
              </w:tc>
              <w:tc>
                <w:tcPr>
                  <w:tcW w:w="613" w:type="pct"/>
                  <w:tcBorders>
                    <w:top w:val="single" w:color="000000" w:sz="4" w:space="0"/>
                    <w:left w:val="single" w:color="000000" w:sz="4" w:space="0"/>
                    <w:bottom w:val="single" w:color="000000" w:sz="4" w:space="0"/>
                    <w:right w:val="single" w:color="000000" w:sz="4" w:space="0"/>
                  </w:tcBorders>
                  <w:noWrap w:val="0"/>
                  <w:vAlign w:val="center"/>
                </w:tcPr>
                <w:p w14:paraId="12F323F4">
                  <w:pPr>
                    <w:adjustRightInd w:val="0"/>
                    <w:snapToGrid w:val="0"/>
                    <w:spacing w:line="240" w:lineRule="auto"/>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移动速度（m/min）</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7FED2638">
                  <w:pPr>
                    <w:adjustRightInd w:val="0"/>
                    <w:snapToGrid w:val="0"/>
                    <w:spacing w:line="240" w:lineRule="auto"/>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每个工件间隔（mm）</w:t>
                  </w:r>
                </w:p>
              </w:tc>
              <w:tc>
                <w:tcPr>
                  <w:tcW w:w="554" w:type="pct"/>
                  <w:tcBorders>
                    <w:top w:val="single" w:color="000000" w:sz="4" w:space="0"/>
                    <w:left w:val="single" w:color="000000" w:sz="4" w:space="0"/>
                    <w:bottom w:val="single" w:color="000000" w:sz="4" w:space="0"/>
                    <w:right w:val="single" w:color="000000" w:sz="4" w:space="0"/>
                  </w:tcBorders>
                  <w:noWrap w:val="0"/>
                  <w:vAlign w:val="center"/>
                </w:tcPr>
                <w:p w14:paraId="51FE3AF4">
                  <w:pPr>
                    <w:adjustRightInd w:val="0"/>
                    <w:snapToGrid w:val="0"/>
                    <w:spacing w:line="240" w:lineRule="auto"/>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每批次处理时间（min）</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6B6020B8">
                  <w:pPr>
                    <w:adjustRightInd w:val="0"/>
                    <w:snapToGrid w:val="0"/>
                    <w:spacing w:line="240" w:lineRule="auto"/>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每批次可容纳挂具数（个）</w:t>
                  </w:r>
                </w:p>
              </w:tc>
              <w:tc>
                <w:tcPr>
                  <w:tcW w:w="625" w:type="pct"/>
                  <w:tcBorders>
                    <w:top w:val="single" w:color="000000" w:sz="4" w:space="0"/>
                    <w:left w:val="single" w:color="000000" w:sz="4" w:space="0"/>
                    <w:bottom w:val="single" w:color="000000" w:sz="4" w:space="0"/>
                    <w:right w:val="single" w:color="000000" w:sz="4" w:space="0"/>
                  </w:tcBorders>
                  <w:noWrap w:val="0"/>
                  <w:vAlign w:val="center"/>
                </w:tcPr>
                <w:p w14:paraId="51D17AF4">
                  <w:pPr>
                    <w:adjustRightInd w:val="0"/>
                    <w:snapToGrid w:val="0"/>
                    <w:spacing w:line="240" w:lineRule="auto"/>
                    <w:jc w:val="cente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每个挂具挂件数（件）</w:t>
                  </w:r>
                </w:p>
              </w:tc>
              <w:tc>
                <w:tcPr>
                  <w:tcW w:w="625" w:type="pct"/>
                  <w:tcBorders>
                    <w:top w:val="single" w:color="000000" w:sz="4" w:space="0"/>
                    <w:left w:val="single" w:color="000000" w:sz="4" w:space="0"/>
                    <w:bottom w:val="single" w:color="000000" w:sz="4" w:space="0"/>
                    <w:right w:val="single" w:color="000000" w:sz="4" w:space="0"/>
                  </w:tcBorders>
                  <w:noWrap w:val="0"/>
                  <w:vAlign w:val="center"/>
                </w:tcPr>
                <w:p w14:paraId="62970423">
                  <w:pPr>
                    <w:adjustRightInd w:val="0"/>
                    <w:snapToGrid w:val="0"/>
                    <w:spacing w:line="240" w:lineRule="auto"/>
                    <w:jc w:val="center"/>
                    <w:rPr>
                      <w:rFonts w:hint="default" w:ascii="Times New Roman" w:hAnsi="Times New Roman" w:eastAsia="宋体" w:cs="Times New Roman"/>
                      <w:b/>
                      <w:bCs/>
                      <w:i w:val="0"/>
                      <w:iCs w:val="0"/>
                      <w:color w:val="000000" w:themeColor="text1"/>
                      <w:sz w:val="21"/>
                      <w:szCs w:val="21"/>
                      <w:highlight w:val="none"/>
                      <w:u w:val="none"/>
                      <w:lang w:val="en-US" w:eastAsia="zh-CN"/>
                      <w14:textFill>
                        <w14:solidFill>
                          <w14:schemeClr w14:val="tx1"/>
                        </w14:solidFill>
                      </w14:textFill>
                    </w:rPr>
                  </w:pPr>
                  <w:r>
                    <w:rPr>
                      <w:rFonts w:hint="eastAsia" w:cs="Times New Roman"/>
                      <w:b/>
                      <w:bCs/>
                      <w:i w:val="0"/>
                      <w:iCs w:val="0"/>
                      <w:color w:val="000000" w:themeColor="text1"/>
                      <w:sz w:val="21"/>
                      <w:szCs w:val="21"/>
                      <w:highlight w:val="none"/>
                      <w:u w:val="none"/>
                      <w:lang w:val="en-US" w:eastAsia="zh-CN"/>
                      <w14:textFill>
                        <w14:solidFill>
                          <w14:schemeClr w14:val="tx1"/>
                        </w14:solidFill>
                      </w14:textFill>
                    </w:rPr>
                    <w:t>生产线条数</w:t>
                  </w:r>
                </w:p>
              </w:tc>
            </w:tr>
            <w:tr w14:paraId="02FD3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661" w:type="pct"/>
                  <w:tcBorders>
                    <w:top w:val="single" w:color="000000" w:sz="4" w:space="0"/>
                    <w:left w:val="single" w:color="000000" w:sz="4" w:space="0"/>
                    <w:bottom w:val="single" w:color="000000" w:sz="4" w:space="0"/>
                    <w:right w:val="single" w:color="000000" w:sz="4" w:space="0"/>
                  </w:tcBorders>
                  <w:noWrap/>
                  <w:vAlign w:val="center"/>
                </w:tcPr>
                <w:p w14:paraId="2EE069F8">
                  <w:pPr>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79.5</w:t>
                  </w: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6E758ABF">
                  <w:pPr>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0.6</w:t>
                  </w:r>
                </w:p>
              </w:tc>
              <w:tc>
                <w:tcPr>
                  <w:tcW w:w="613" w:type="pct"/>
                  <w:tcBorders>
                    <w:top w:val="single" w:color="000000" w:sz="4" w:space="0"/>
                    <w:left w:val="single" w:color="000000" w:sz="4" w:space="0"/>
                    <w:bottom w:val="single" w:color="000000" w:sz="4" w:space="0"/>
                    <w:right w:val="single" w:color="000000" w:sz="4" w:space="0"/>
                  </w:tcBorders>
                  <w:noWrap/>
                  <w:vAlign w:val="center"/>
                </w:tcPr>
                <w:p w14:paraId="0BEA5695">
                  <w:pPr>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5</w:t>
                  </w:r>
                </w:p>
              </w:tc>
              <w:tc>
                <w:tcPr>
                  <w:tcW w:w="650" w:type="pct"/>
                  <w:tcBorders>
                    <w:top w:val="single" w:color="000000" w:sz="4" w:space="0"/>
                    <w:left w:val="single" w:color="000000" w:sz="4" w:space="0"/>
                    <w:bottom w:val="single" w:color="000000" w:sz="4" w:space="0"/>
                    <w:right w:val="single" w:color="000000" w:sz="4" w:space="0"/>
                  </w:tcBorders>
                  <w:noWrap/>
                  <w:vAlign w:val="center"/>
                </w:tcPr>
                <w:p w14:paraId="6D1006A1">
                  <w:pPr>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150</w:t>
                  </w:r>
                </w:p>
              </w:tc>
              <w:tc>
                <w:tcPr>
                  <w:tcW w:w="554" w:type="pct"/>
                  <w:tcBorders>
                    <w:top w:val="single" w:color="000000" w:sz="4" w:space="0"/>
                    <w:left w:val="single" w:color="000000" w:sz="4" w:space="0"/>
                    <w:bottom w:val="single" w:color="000000" w:sz="4" w:space="0"/>
                    <w:right w:val="single" w:color="000000" w:sz="4" w:space="0"/>
                  </w:tcBorders>
                  <w:noWrap/>
                  <w:vAlign w:val="center"/>
                </w:tcPr>
                <w:p w14:paraId="2D1FADFD">
                  <w:pPr>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15</w:t>
                  </w:r>
                </w:p>
              </w:tc>
              <w:tc>
                <w:tcPr>
                  <w:tcW w:w="650" w:type="pct"/>
                  <w:tcBorders>
                    <w:top w:val="single" w:color="000000" w:sz="4" w:space="0"/>
                    <w:left w:val="single" w:color="000000" w:sz="4" w:space="0"/>
                    <w:bottom w:val="single" w:color="000000" w:sz="4" w:space="0"/>
                    <w:right w:val="single" w:color="000000" w:sz="4" w:space="0"/>
                  </w:tcBorders>
                  <w:noWrap/>
                  <w:vAlign w:val="center"/>
                </w:tcPr>
                <w:p w14:paraId="7CDC02CE">
                  <w:pPr>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106</w:t>
                  </w:r>
                </w:p>
              </w:tc>
              <w:tc>
                <w:tcPr>
                  <w:tcW w:w="625" w:type="pct"/>
                  <w:tcBorders>
                    <w:top w:val="single" w:color="000000" w:sz="4" w:space="0"/>
                    <w:left w:val="single" w:color="000000" w:sz="4" w:space="0"/>
                    <w:bottom w:val="single" w:color="000000" w:sz="4" w:space="0"/>
                    <w:right w:val="single" w:color="000000" w:sz="4" w:space="0"/>
                  </w:tcBorders>
                  <w:noWrap/>
                  <w:vAlign w:val="center"/>
                </w:tcPr>
                <w:p w14:paraId="5F72FCDE">
                  <w:pPr>
                    <w:adjustRightInd w:val="0"/>
                    <w:snapToGrid w:val="0"/>
                    <w:spacing w:line="240" w:lineRule="auto"/>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3</w:t>
                  </w:r>
                </w:p>
              </w:tc>
              <w:tc>
                <w:tcPr>
                  <w:tcW w:w="625" w:type="pct"/>
                  <w:tcBorders>
                    <w:top w:val="single" w:color="000000" w:sz="4" w:space="0"/>
                    <w:left w:val="single" w:color="000000" w:sz="4" w:space="0"/>
                    <w:bottom w:val="single" w:color="000000" w:sz="4" w:space="0"/>
                    <w:right w:val="single" w:color="000000" w:sz="4" w:space="0"/>
                  </w:tcBorders>
                  <w:noWrap/>
                  <w:vAlign w:val="center"/>
                </w:tcPr>
                <w:p w14:paraId="291EFDA9">
                  <w:pPr>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w:t>
                  </w:r>
                </w:p>
              </w:tc>
            </w:tr>
            <w:tr w14:paraId="50395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7" w:hRule="atLeast"/>
              </w:trPr>
              <w:tc>
                <w:tcPr>
                  <w:tcW w:w="5000" w:type="pct"/>
                  <w:gridSpan w:val="8"/>
                  <w:tcBorders>
                    <w:top w:val="single" w:color="000000" w:sz="4" w:space="0"/>
                    <w:left w:val="single" w:color="000000" w:sz="4" w:space="0"/>
                    <w:bottom w:val="single" w:color="000000" w:sz="4" w:space="0"/>
                    <w:right w:val="single" w:color="000000" w:sz="4" w:space="0"/>
                  </w:tcBorders>
                  <w:noWrap/>
                  <w:vAlign w:val="center"/>
                </w:tcPr>
                <w:p w14:paraId="563B1355">
                  <w:pPr>
                    <w:adjustRightInd w:val="0"/>
                    <w:snapToGrid w:val="0"/>
                    <w:spacing w:line="240" w:lineRule="auto"/>
                    <w:jc w:val="left"/>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备注：</w:t>
                  </w:r>
                </w:p>
                <w:p w14:paraId="6BF7E7FD">
                  <w:pPr>
                    <w:adjustRightInd w:val="0"/>
                    <w:snapToGrid w:val="0"/>
                    <w:spacing w:line="240" w:lineRule="auto"/>
                    <w:jc w:val="left"/>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①本环评取项目产量最大、最为常见的产品尺寸作为本项目产量核算，单个</w:t>
                  </w:r>
                  <w:r>
                    <w:rPr>
                      <w:rFonts w:hint="eastAsia" w:cs="Times New Roman"/>
                      <w:color w:val="000000" w:themeColor="text1"/>
                      <w:sz w:val="21"/>
                      <w:szCs w:val="21"/>
                      <w:highlight w:val="none"/>
                      <w:lang w:val="en-US" w:eastAsia="zh-CN"/>
                      <w14:textFill>
                        <w14:solidFill>
                          <w14:schemeClr w14:val="tx1"/>
                        </w14:solidFill>
                      </w14:textFill>
                    </w:rPr>
                    <w:t>工件</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尺寸为</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00mm×</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00mm，厚度为3mm；</w:t>
                  </w:r>
                </w:p>
                <w:p w14:paraId="26FA03BE">
                  <w:pPr>
                    <w:adjustRightInd w:val="0"/>
                    <w:snapToGrid w:val="0"/>
                    <w:spacing w:line="240" w:lineRule="auto"/>
                    <w:jc w:val="left"/>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②每批次处理时间=处理线长度÷移动速度；</w:t>
                  </w:r>
                </w:p>
                <w:p w14:paraId="696B609A">
                  <w:pPr>
                    <w:adjustRightInd w:val="0"/>
                    <w:snapToGrid w:val="0"/>
                    <w:spacing w:line="240" w:lineRule="auto"/>
                    <w:jc w:val="left"/>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③每批次可容纳挂具数=处理线长度÷（单个工件长度+每个工件间隔）</w:t>
                  </w:r>
                </w:p>
              </w:tc>
            </w:tr>
          </w:tbl>
          <w:p w14:paraId="07D6601F">
            <w:pPr>
              <w:keepNext w:val="0"/>
              <w:keepLines w:val="0"/>
              <w:pageBreakBefore w:val="0"/>
              <w:widowControl/>
              <w:kinsoku/>
              <w:wordWrap/>
              <w:overflowPunct/>
              <w:topLinePunct w:val="0"/>
              <w:autoSpaceDE/>
              <w:autoSpaceDN/>
              <w:bidi w:val="0"/>
              <w:adjustRightInd/>
              <w:snapToGrid/>
              <w:spacing w:line="100" w:lineRule="exact"/>
              <w:ind w:firstLine="478" w:firstLineChars="200"/>
              <w:jc w:val="left"/>
              <w:textAlignment w:val="auto"/>
              <w:rPr>
                <w:rFonts w:hint="default" w:ascii="Times New Roman" w:hAnsi="Times New Roman" w:eastAsia="宋体" w:cs="Times New Roman"/>
                <w:b/>
                <w:bCs/>
                <w:color w:val="000000" w:themeColor="text1"/>
                <w:spacing w:val="-1"/>
                <w:sz w:val="24"/>
                <w:szCs w:val="24"/>
                <w:highlight w:val="none"/>
                <w14:textFill>
                  <w14:solidFill>
                    <w14:schemeClr w14:val="tx1"/>
                  </w14:solidFill>
                </w14:textFill>
              </w:rPr>
            </w:pPr>
          </w:p>
          <w:p w14:paraId="5A7D6521">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4"/>
                <w:szCs w:val="24"/>
                <w:highlight w:val="none"/>
                <w:lang w:val="en-US" w:eastAsia="zh-CN" w:bidi="ar-SA"/>
                <w14:textFill>
                  <w14:solidFill>
                    <w14:schemeClr w14:val="tx1"/>
                  </w14:solidFill>
                </w14:textFill>
              </w:rPr>
              <w:t>本项目设置</w:t>
            </w:r>
            <w:r>
              <w:rPr>
                <w:rFonts w:hint="eastAsia" w:cs="Times New Roman"/>
                <w:color w:val="000000" w:themeColor="text1"/>
                <w:kern w:val="2"/>
                <w:sz w:val="24"/>
                <w:szCs w:val="24"/>
                <w:highlight w:val="none"/>
                <w:lang w:val="en-US" w:eastAsia="zh-CN" w:bidi="ar-SA"/>
                <w14:textFill>
                  <w14:solidFill>
                    <w14:schemeClr w14:val="tx1"/>
                  </w14:solidFill>
                </w14:textFill>
              </w:rPr>
              <w:t>2</w:t>
            </w:r>
            <w:r>
              <w:rPr>
                <w:rFonts w:hint="default" w:ascii="Times New Roman" w:hAnsi="Times New Roman" w:cs="Times New Roman"/>
                <w:color w:val="000000" w:themeColor="text1"/>
                <w:kern w:val="2"/>
                <w:sz w:val="24"/>
                <w:szCs w:val="24"/>
                <w:highlight w:val="none"/>
                <w:lang w:val="en-US" w:eastAsia="zh-CN" w:bidi="ar-SA"/>
                <w14:textFill>
                  <w14:solidFill>
                    <w14:schemeClr w14:val="tx1"/>
                  </w14:solidFill>
                </w14:textFill>
              </w:rPr>
              <w:t>条预处理线，年工作</w:t>
            </w:r>
            <w:r>
              <w:rPr>
                <w:rFonts w:hint="eastAsia" w:cs="Times New Roman"/>
                <w:color w:val="000000" w:themeColor="text1"/>
                <w:kern w:val="2"/>
                <w:sz w:val="24"/>
                <w:szCs w:val="24"/>
                <w:highlight w:val="none"/>
                <w:lang w:val="en-US" w:eastAsia="zh-CN" w:bidi="ar-SA"/>
                <w14:textFill>
                  <w14:solidFill>
                    <w14:schemeClr w14:val="tx1"/>
                  </w14:solidFill>
                </w14:textFill>
              </w:rPr>
              <w:t>1928</w:t>
            </w:r>
            <w:r>
              <w:rPr>
                <w:rFonts w:hint="default" w:ascii="Times New Roman" w:hAnsi="Times New Roman" w:cs="Times New Roman"/>
                <w:color w:val="000000" w:themeColor="text1"/>
                <w:kern w:val="2"/>
                <w:sz w:val="24"/>
                <w:szCs w:val="24"/>
                <w:highlight w:val="none"/>
                <w:lang w:val="en-US" w:eastAsia="zh-CN" w:bidi="ar-SA"/>
                <w14:textFill>
                  <w14:solidFill>
                    <w14:schemeClr w14:val="tx1"/>
                  </w14:solidFill>
                </w14:textFill>
              </w:rPr>
              <w:t>小时。本项目年铝卷最大可处理面积计算如下表所示。</w:t>
            </w:r>
          </w:p>
          <w:p w14:paraId="5A0A8047">
            <w:pPr>
              <w:pageBreakBefore w:val="0"/>
              <w:widowControl w:val="0"/>
              <w:numPr>
                <w:ilvl w:val="0"/>
                <w:numId w:val="10"/>
              </w:numPr>
              <w:wordWrap w:val="0"/>
              <w:overflowPunct/>
              <w:bidi w:val="0"/>
              <w:spacing w:line="240" w:lineRule="auto"/>
              <w:ind w:left="0" w:leftChars="0" w:firstLine="40" w:firstLineChars="0"/>
              <w:jc w:val="cente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本项目预处理线产能核算表</w:t>
            </w:r>
          </w:p>
          <w:tbl>
            <w:tblPr>
              <w:tblStyle w:val="44"/>
              <w:tblW w:w="838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77"/>
              <w:gridCol w:w="1225"/>
              <w:gridCol w:w="1490"/>
              <w:gridCol w:w="1130"/>
              <w:gridCol w:w="1590"/>
              <w:gridCol w:w="1777"/>
            </w:tblGrid>
            <w:tr w14:paraId="5CDCA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02" w:type="pct"/>
                  <w:tcBorders>
                    <w:top w:val="single" w:color="000000" w:sz="4" w:space="0"/>
                    <w:left w:val="single" w:color="000000" w:sz="4" w:space="0"/>
                    <w:bottom w:val="single" w:color="000000" w:sz="4" w:space="0"/>
                    <w:right w:val="single" w:color="000000" w:sz="4" w:space="0"/>
                  </w:tcBorders>
                  <w:noWrap w:val="0"/>
                  <w:vAlign w:val="center"/>
                </w:tcPr>
                <w:p w14:paraId="627EE0BE">
                  <w:pPr>
                    <w:adjustRightInd w:val="0"/>
                    <w:snapToGrid w:val="0"/>
                    <w:spacing w:line="240" w:lineRule="auto"/>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年工作时间（h）</w:t>
                  </w:r>
                </w:p>
              </w:tc>
              <w:tc>
                <w:tcPr>
                  <w:tcW w:w="731" w:type="pct"/>
                  <w:tcBorders>
                    <w:top w:val="single" w:color="000000" w:sz="4" w:space="0"/>
                    <w:left w:val="single" w:color="000000" w:sz="4" w:space="0"/>
                    <w:bottom w:val="single" w:color="000000" w:sz="4" w:space="0"/>
                    <w:right w:val="single" w:color="000000" w:sz="4" w:space="0"/>
                  </w:tcBorders>
                  <w:noWrap w:val="0"/>
                  <w:vAlign w:val="center"/>
                </w:tcPr>
                <w:p w14:paraId="5A265BE8">
                  <w:pPr>
                    <w:adjustRightInd w:val="0"/>
                    <w:snapToGrid w:val="0"/>
                    <w:spacing w:line="240" w:lineRule="auto"/>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年处理批次（次）</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75D23EB7">
                  <w:pPr>
                    <w:adjustRightInd w:val="0"/>
                    <w:snapToGrid w:val="0"/>
                    <w:spacing w:line="240" w:lineRule="auto"/>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年处理工件数（件）</w:t>
                  </w:r>
                </w:p>
              </w:tc>
              <w:tc>
                <w:tcPr>
                  <w:tcW w:w="673" w:type="pct"/>
                  <w:tcBorders>
                    <w:top w:val="single" w:color="000000" w:sz="4" w:space="0"/>
                    <w:left w:val="single" w:color="000000" w:sz="4" w:space="0"/>
                    <w:bottom w:val="single" w:color="000000" w:sz="4" w:space="0"/>
                    <w:right w:val="single" w:color="000000" w:sz="4" w:space="0"/>
                  </w:tcBorders>
                  <w:noWrap w:val="0"/>
                  <w:vAlign w:val="center"/>
                </w:tcPr>
                <w:p w14:paraId="1944445E">
                  <w:pPr>
                    <w:adjustRightInd w:val="0"/>
                    <w:snapToGrid w:val="0"/>
                    <w:spacing w:line="240" w:lineRule="auto"/>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单件</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工件面积（m</w:t>
                  </w:r>
                  <w:r>
                    <w:rPr>
                      <w:rFonts w:hint="default" w:ascii="Times New Roman" w:hAnsi="Times New Roman" w:eastAsia="宋体" w:cs="Times New Roman"/>
                      <w:b/>
                      <w:bCs/>
                      <w:i w:val="0"/>
                      <w:iCs w:val="0"/>
                      <w:color w:val="000000" w:themeColor="text1"/>
                      <w:kern w:val="0"/>
                      <w:sz w:val="21"/>
                      <w:szCs w:val="21"/>
                      <w:highlight w:val="none"/>
                      <w:u w:val="none"/>
                      <w:vertAlign w:val="superscript"/>
                      <w:lang w:val="en-US" w:eastAsia="zh-CN" w:bidi="ar"/>
                      <w14:textFill>
                        <w14:solidFill>
                          <w14:schemeClr w14:val="tx1"/>
                        </w14:solidFill>
                      </w14:textFill>
                    </w:rPr>
                    <w:t>2</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w:t>
                  </w:r>
                </w:p>
              </w:tc>
              <w:tc>
                <w:tcPr>
                  <w:tcW w:w="947" w:type="pct"/>
                  <w:tcBorders>
                    <w:top w:val="single" w:color="000000" w:sz="4" w:space="0"/>
                    <w:left w:val="single" w:color="auto" w:sz="4" w:space="0"/>
                    <w:bottom w:val="single" w:color="000000" w:sz="4" w:space="0"/>
                    <w:right w:val="single" w:color="000000" w:sz="4" w:space="0"/>
                  </w:tcBorders>
                  <w:noWrap w:val="0"/>
                  <w:vAlign w:val="center"/>
                </w:tcPr>
                <w:p w14:paraId="410689C1">
                  <w:pPr>
                    <w:adjustRightInd w:val="0"/>
                    <w:snapToGrid w:val="0"/>
                    <w:spacing w:line="240" w:lineRule="auto"/>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年最大处理</w:t>
                  </w:r>
                  <w:r>
                    <w:rPr>
                      <w:rFonts w:hint="eastAsia" w:cs="Times New Roman"/>
                      <w:b/>
                      <w:bCs/>
                      <w:i w:val="0"/>
                      <w:iCs w:val="0"/>
                      <w:color w:val="000000" w:themeColor="text1"/>
                      <w:kern w:val="0"/>
                      <w:sz w:val="21"/>
                      <w:szCs w:val="21"/>
                      <w:highlight w:val="none"/>
                      <w:u w:val="none"/>
                      <w:lang w:val="en-US" w:eastAsia="zh-CN" w:bidi="ar"/>
                      <w14:textFill>
                        <w14:solidFill>
                          <w14:schemeClr w14:val="tx1"/>
                        </w14:solidFill>
                      </w14:textFill>
                    </w:rPr>
                    <w:t>工件</w:t>
                  </w:r>
                  <w:r>
                    <w:rPr>
                      <w:rFonts w:hint="eastAsia" w:ascii="Times New Roman" w:hAnsi="Times New Roman" w:cs="Times New Roman"/>
                      <w:b/>
                      <w:bCs/>
                      <w:i w:val="0"/>
                      <w:iCs w:val="0"/>
                      <w:color w:val="000000" w:themeColor="text1"/>
                      <w:kern w:val="0"/>
                      <w:sz w:val="21"/>
                      <w:szCs w:val="21"/>
                      <w:highlight w:val="none"/>
                      <w:u w:val="none"/>
                      <w:lang w:val="en-US" w:eastAsia="zh-CN" w:bidi="ar"/>
                      <w14:textFill>
                        <w14:solidFill>
                          <w14:schemeClr w14:val="tx1"/>
                        </w14:solidFill>
                      </w14:textFill>
                    </w:rPr>
                    <w:t>面积</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（万m</w:t>
                  </w:r>
                  <w:r>
                    <w:rPr>
                      <w:rFonts w:hint="default" w:ascii="Times New Roman" w:hAnsi="Times New Roman" w:eastAsia="宋体" w:cs="Times New Roman"/>
                      <w:b/>
                      <w:bCs/>
                      <w:i w:val="0"/>
                      <w:iCs w:val="0"/>
                      <w:color w:val="000000" w:themeColor="text1"/>
                      <w:kern w:val="0"/>
                      <w:sz w:val="21"/>
                      <w:szCs w:val="21"/>
                      <w:highlight w:val="none"/>
                      <w:u w:val="none"/>
                      <w:vertAlign w:val="superscript"/>
                      <w:lang w:val="en-US" w:eastAsia="zh-CN" w:bidi="ar"/>
                      <w14:textFill>
                        <w14:solidFill>
                          <w14:schemeClr w14:val="tx1"/>
                        </w14:solidFill>
                      </w14:textFill>
                    </w:rPr>
                    <w:t>2</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w:t>
                  </w:r>
                </w:p>
              </w:tc>
              <w:tc>
                <w:tcPr>
                  <w:tcW w:w="1056" w:type="pct"/>
                  <w:tcBorders>
                    <w:top w:val="single" w:color="000000" w:sz="4" w:space="0"/>
                    <w:left w:val="single" w:color="000000" w:sz="4" w:space="0"/>
                    <w:bottom w:val="single" w:color="000000" w:sz="4" w:space="0"/>
                    <w:right w:val="single" w:color="000000" w:sz="4" w:space="0"/>
                  </w:tcBorders>
                  <w:noWrap w:val="0"/>
                  <w:vAlign w:val="center"/>
                </w:tcPr>
                <w:p w14:paraId="2A9261CB">
                  <w:pPr>
                    <w:adjustRightInd w:val="0"/>
                    <w:snapToGrid w:val="0"/>
                    <w:spacing w:line="240" w:lineRule="auto"/>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本项目设计处理</w:t>
                  </w:r>
                  <w:r>
                    <w:rPr>
                      <w:rFonts w:hint="eastAsia" w:cs="Times New Roman"/>
                      <w:b/>
                      <w:bCs/>
                      <w:i w:val="0"/>
                      <w:iCs w:val="0"/>
                      <w:color w:val="000000" w:themeColor="text1"/>
                      <w:kern w:val="0"/>
                      <w:sz w:val="21"/>
                      <w:szCs w:val="21"/>
                      <w:highlight w:val="none"/>
                      <w:u w:val="none"/>
                      <w:lang w:val="en-US" w:eastAsia="zh-CN" w:bidi="ar"/>
                      <w14:textFill>
                        <w14:solidFill>
                          <w14:schemeClr w14:val="tx1"/>
                        </w14:solidFill>
                      </w14:textFill>
                    </w:rPr>
                    <w:t>工件</w:t>
                  </w:r>
                  <w:r>
                    <w:rPr>
                      <w:rFonts w:hint="eastAsia" w:ascii="Times New Roman" w:hAnsi="Times New Roman" w:cs="Times New Roman"/>
                      <w:b/>
                      <w:bCs/>
                      <w:i w:val="0"/>
                      <w:iCs w:val="0"/>
                      <w:color w:val="000000" w:themeColor="text1"/>
                      <w:kern w:val="0"/>
                      <w:sz w:val="21"/>
                      <w:szCs w:val="21"/>
                      <w:highlight w:val="none"/>
                      <w:u w:val="none"/>
                      <w:lang w:val="en-US" w:eastAsia="zh-CN" w:bidi="ar"/>
                      <w14:textFill>
                        <w14:solidFill>
                          <w14:schemeClr w14:val="tx1"/>
                        </w14:solidFill>
                      </w14:textFill>
                    </w:rPr>
                    <w:t>面积</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（万m</w:t>
                  </w:r>
                  <w:r>
                    <w:rPr>
                      <w:rFonts w:hint="default" w:ascii="Times New Roman" w:hAnsi="Times New Roman" w:eastAsia="宋体" w:cs="Times New Roman"/>
                      <w:b/>
                      <w:bCs/>
                      <w:i w:val="0"/>
                      <w:iCs w:val="0"/>
                      <w:color w:val="000000" w:themeColor="text1"/>
                      <w:kern w:val="0"/>
                      <w:sz w:val="21"/>
                      <w:szCs w:val="21"/>
                      <w:highlight w:val="none"/>
                      <w:u w:val="none"/>
                      <w:vertAlign w:val="superscript"/>
                      <w:lang w:val="en-US" w:eastAsia="zh-CN" w:bidi="ar"/>
                      <w14:textFill>
                        <w14:solidFill>
                          <w14:schemeClr w14:val="tx1"/>
                        </w14:solidFill>
                      </w14:textFill>
                    </w:rPr>
                    <w:t>2</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w:t>
                  </w:r>
                </w:p>
              </w:tc>
            </w:tr>
            <w:tr w14:paraId="25DE4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02" w:type="pct"/>
                  <w:tcBorders>
                    <w:top w:val="single" w:color="000000" w:sz="4" w:space="0"/>
                    <w:left w:val="single" w:color="000000" w:sz="4" w:space="0"/>
                    <w:bottom w:val="single" w:color="000000" w:sz="4" w:space="0"/>
                    <w:right w:val="single" w:color="000000" w:sz="4" w:space="0"/>
                  </w:tcBorders>
                  <w:noWrap w:val="0"/>
                  <w:vAlign w:val="center"/>
                </w:tcPr>
                <w:p w14:paraId="4286CC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1928</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14:paraId="6BB6D40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7712</w:t>
                  </w:r>
                </w:p>
              </w:tc>
              <w:tc>
                <w:tcPr>
                  <w:tcW w:w="1490" w:type="dxa"/>
                  <w:tcBorders>
                    <w:top w:val="single" w:color="000000" w:sz="4" w:space="0"/>
                    <w:left w:val="single" w:color="000000" w:sz="4" w:space="0"/>
                    <w:bottom w:val="single" w:color="000000" w:sz="4" w:space="0"/>
                    <w:right w:val="single" w:color="000000" w:sz="4" w:space="0"/>
                  </w:tcBorders>
                  <w:noWrap/>
                  <w:vAlign w:val="center"/>
                </w:tcPr>
                <w:p w14:paraId="1D848AD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4904832</w:t>
                  </w:r>
                </w:p>
              </w:tc>
              <w:tc>
                <w:tcPr>
                  <w:tcW w:w="1130" w:type="dxa"/>
                  <w:tcBorders>
                    <w:top w:val="single" w:color="000000" w:sz="4" w:space="0"/>
                    <w:left w:val="single" w:color="000000" w:sz="4" w:space="0"/>
                    <w:bottom w:val="single" w:color="000000" w:sz="4" w:space="0"/>
                    <w:right w:val="single" w:color="auto" w:sz="4" w:space="0"/>
                  </w:tcBorders>
                  <w:noWrap/>
                  <w:vAlign w:val="center"/>
                </w:tcPr>
                <w:p w14:paraId="2BD4E32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0.24</w:t>
                  </w:r>
                </w:p>
              </w:tc>
              <w:tc>
                <w:tcPr>
                  <w:tcW w:w="1590" w:type="dxa"/>
                  <w:tcBorders>
                    <w:top w:val="single" w:color="000000" w:sz="4" w:space="0"/>
                    <w:left w:val="single" w:color="auto" w:sz="4" w:space="0"/>
                    <w:bottom w:val="single" w:color="000000" w:sz="4" w:space="0"/>
                    <w:right w:val="single" w:color="000000" w:sz="4" w:space="0"/>
                  </w:tcBorders>
                  <w:noWrap/>
                  <w:vAlign w:val="center"/>
                </w:tcPr>
                <w:p w14:paraId="53C9235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117.7</w:t>
                  </w:r>
                </w:p>
              </w:tc>
              <w:tc>
                <w:tcPr>
                  <w:tcW w:w="1773" w:type="dxa"/>
                  <w:tcBorders>
                    <w:top w:val="single" w:color="000000" w:sz="4" w:space="0"/>
                    <w:left w:val="single" w:color="000000" w:sz="4" w:space="0"/>
                    <w:bottom w:val="single" w:color="000000" w:sz="4" w:space="0"/>
                    <w:right w:val="single" w:color="000000" w:sz="4" w:space="0"/>
                  </w:tcBorders>
                  <w:noWrap/>
                  <w:vAlign w:val="center"/>
                </w:tcPr>
                <w:p w14:paraId="10E2D13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r>
            <w:tr w14:paraId="02E0F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14:paraId="2F4EF1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备注：</w:t>
                  </w:r>
                </w:p>
                <w:p w14:paraId="1DD1EC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both"/>
                    <w:textAlignment w:val="center"/>
                    <w:rPr>
                      <w:rFonts w:hint="default" w:ascii="Times New Roman" w:hAnsi="Times New Roman"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①</w:t>
                  </w:r>
                  <w:bookmarkStart w:id="9" w:name="OLE_LINK38"/>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单个工件尺寸为</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00mm×</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00mm</w:t>
                  </w:r>
                  <w:bookmarkEnd w:id="9"/>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，计得面积为</w:t>
                  </w: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0.24</w:t>
                  </w: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m</w:t>
                  </w:r>
                  <w:r>
                    <w:rPr>
                      <w:rFonts w:hint="default" w:ascii="Times New Roman" w:hAnsi="Times New Roman"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2</w:t>
                  </w:r>
                  <w:r>
                    <w:rPr>
                      <w:rFonts w:hint="default" w:ascii="Times New Roman" w:hAnsi="Times New Roman"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w:t>
                  </w:r>
                </w:p>
                <w:p w14:paraId="0E8CD2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both"/>
                    <w:textAlignment w:val="cente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②年处理批次=年工作时间÷每批次处理时间；</w:t>
                  </w:r>
                </w:p>
                <w:p w14:paraId="3C913D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both"/>
                    <w:textAlignment w:val="cente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③年处理工件数=年处理批次×每批次可容纳挂具数×每个挂具挂件数</w:t>
                  </w:r>
                  <w:r>
                    <w:rPr>
                      <w:rFonts w:hint="eastAsia"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生产线条数；</w:t>
                  </w:r>
                </w:p>
                <w:p w14:paraId="17A611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both"/>
                    <w:textAlignment w:val="center"/>
                    <w:rPr>
                      <w:rFonts w:hint="default" w:ascii="Times New Roman" w:hAnsi="Times New Roman"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④年最大处理铝卷</w:t>
                  </w:r>
                  <w:r>
                    <w:rPr>
                      <w:rFonts w:hint="default" w:ascii="Times New Roman" w:hAnsi="Times New Roman"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面积</w:t>
                  </w: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=单件工件面积×年处理工件数</w:t>
                  </w:r>
                  <w:r>
                    <w:rPr>
                      <w:rFonts w:hint="eastAsia" w:ascii="Times New Roman" w:hAnsi="Times New Roman"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w:t>
                  </w:r>
                </w:p>
                <w:p w14:paraId="3CF9E4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both"/>
                    <w:textAlignment w:val="center"/>
                    <w:rPr>
                      <w:rFonts w:hint="default" w:ascii="Times New Roman" w:hAnsi="Times New Roman"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⑤铝卷进入预处理线喷淋处理正反两面均可进行表面处理，表面处理面积按铝卷正反两面面积计算（忽略厚度面积），计算得项目表面处理面积为</w:t>
                  </w:r>
                  <w:r>
                    <w:rPr>
                      <w:rFonts w:hint="eastAsia" w:ascii="Times New Roman" w:hAnsi="Times New Roman"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11</w:t>
                  </w:r>
                  <w:r>
                    <w:rPr>
                      <w:rFonts w:hint="default" w:ascii="Times New Roman" w:hAnsi="Times New Roman"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0万m</w:t>
                  </w:r>
                  <w:r>
                    <w:rPr>
                      <w:rFonts w:hint="default" w:ascii="Times New Roman" w:hAnsi="Times New Roman"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2</w:t>
                  </w:r>
                  <w:r>
                    <w:rPr>
                      <w:rFonts w:hint="default" w:ascii="Times New Roman" w:hAnsi="Times New Roman"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×2=</w:t>
                  </w:r>
                  <w:r>
                    <w:rPr>
                      <w:rFonts w:hint="eastAsia" w:ascii="Times New Roman" w:hAnsi="Times New Roman"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22</w:t>
                  </w:r>
                  <w:r>
                    <w:rPr>
                      <w:rFonts w:hint="default" w:ascii="Times New Roman" w:hAnsi="Times New Roman"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0万m</w:t>
                  </w:r>
                  <w:r>
                    <w:rPr>
                      <w:rFonts w:hint="default" w:ascii="Times New Roman" w:hAnsi="Times New Roman"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2</w:t>
                  </w:r>
                </w:p>
              </w:tc>
            </w:tr>
          </w:tbl>
          <w:p w14:paraId="6BAF0006">
            <w:pPr>
              <w:keepNext w:val="0"/>
              <w:keepLines w:val="0"/>
              <w:pageBreakBefore w:val="0"/>
              <w:widowControl/>
              <w:kinsoku/>
              <w:wordWrap/>
              <w:overflowPunct/>
              <w:topLinePunct w:val="0"/>
              <w:autoSpaceDE/>
              <w:autoSpaceDN/>
              <w:bidi w:val="0"/>
              <w:adjustRightInd/>
              <w:snapToGrid/>
              <w:spacing w:line="100" w:lineRule="exact"/>
              <w:ind w:firstLine="478" w:firstLineChars="200"/>
              <w:jc w:val="left"/>
              <w:textAlignment w:val="auto"/>
              <w:rPr>
                <w:rFonts w:hint="default" w:ascii="Times New Roman" w:hAnsi="Times New Roman" w:eastAsia="宋体" w:cs="Times New Roman"/>
                <w:b/>
                <w:bCs/>
                <w:color w:val="000000" w:themeColor="text1"/>
                <w:spacing w:val="-1"/>
                <w:sz w:val="24"/>
                <w:szCs w:val="24"/>
                <w:highlight w:val="none"/>
                <w14:textFill>
                  <w14:solidFill>
                    <w14:schemeClr w14:val="tx1"/>
                  </w14:solidFill>
                </w14:textFill>
              </w:rPr>
            </w:pPr>
          </w:p>
          <w:p w14:paraId="01E4D3D0">
            <w:pPr>
              <w:widowControl/>
              <w:kinsoku/>
              <w:autoSpaceDE/>
              <w:autoSpaceDN/>
              <w:adjustRightInd/>
              <w:snapToGrid/>
              <w:spacing w:line="360" w:lineRule="auto"/>
              <w:ind w:firstLine="480" w:firstLineChars="200"/>
              <w:jc w:val="left"/>
              <w:textAlignment w:val="auto"/>
              <w:rPr>
                <w:rFonts w:hint="default" w:ascii="Times New Roman" w:hAnsi="Times New Roman" w:cs="Times New Roman"/>
                <w:color w:val="000000" w:themeColor="text1"/>
                <w:kern w:val="2"/>
                <w:sz w:val="24"/>
                <w:szCs w:val="24"/>
                <w:highlight w:val="none"/>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24"/>
                <w:szCs w:val="24"/>
                <w:highlight w:val="none"/>
                <w:lang w:val="en-US" w:eastAsia="zh-CN" w:bidi="ar-SA"/>
                <w14:textFill>
                  <w14:solidFill>
                    <w14:schemeClr w14:val="tx1"/>
                  </w14:solidFill>
                </w14:textFill>
              </w:rPr>
              <w:t>根据上表计算，本项目</w:t>
            </w:r>
            <w:r>
              <w:rPr>
                <w:rFonts w:hint="eastAsia" w:ascii="Times New Roman" w:hAnsi="Times New Roman" w:cs="Times New Roman"/>
                <w:color w:val="000000" w:themeColor="text1"/>
                <w:kern w:val="2"/>
                <w:sz w:val="24"/>
                <w:szCs w:val="24"/>
                <w:highlight w:val="none"/>
                <w:lang w:val="en-US" w:eastAsia="zh-CN" w:bidi="ar-SA"/>
                <w14:textFill>
                  <w14:solidFill>
                    <w14:schemeClr w14:val="tx1"/>
                  </w14:solidFill>
                </w14:textFill>
              </w:rPr>
              <w:t>预</w:t>
            </w:r>
            <w:r>
              <w:rPr>
                <w:rFonts w:hint="default" w:ascii="Times New Roman" w:hAnsi="Times New Roman" w:cs="Times New Roman"/>
                <w:color w:val="000000" w:themeColor="text1"/>
                <w:kern w:val="2"/>
                <w:sz w:val="24"/>
                <w:szCs w:val="24"/>
                <w:highlight w:val="none"/>
                <w:lang w:val="en-US" w:eastAsia="zh-CN" w:bidi="ar-SA"/>
                <w14:textFill>
                  <w14:solidFill>
                    <w14:schemeClr w14:val="tx1"/>
                  </w14:solidFill>
                </w14:textFill>
              </w:rPr>
              <w:t>处理线年最大可处理</w:t>
            </w:r>
            <w:r>
              <w:rPr>
                <w:rFonts w:hint="eastAsia" w:cs="Times New Roman"/>
                <w:color w:val="000000" w:themeColor="text1"/>
                <w:kern w:val="2"/>
                <w:sz w:val="24"/>
                <w:szCs w:val="24"/>
                <w:highlight w:val="none"/>
                <w:lang w:val="en-US" w:eastAsia="zh-CN" w:bidi="ar-SA"/>
                <w14:textFill>
                  <w14:solidFill>
                    <w14:schemeClr w14:val="tx1"/>
                  </w14:solidFill>
                </w14:textFill>
              </w:rPr>
              <w:t>工件面积</w:t>
            </w:r>
            <w:r>
              <w:rPr>
                <w:rFonts w:hint="default" w:ascii="Times New Roman" w:hAnsi="Times New Roman" w:cs="Times New Roman"/>
                <w:color w:val="000000" w:themeColor="text1"/>
                <w:kern w:val="2"/>
                <w:sz w:val="24"/>
                <w:szCs w:val="24"/>
                <w:highlight w:val="none"/>
                <w:lang w:val="en-US" w:eastAsia="zh-CN" w:bidi="ar-SA"/>
                <w14:textFill>
                  <w14:solidFill>
                    <w14:schemeClr w14:val="tx1"/>
                  </w14:solidFill>
                </w14:textFill>
              </w:rPr>
              <w:t>为</w:t>
            </w:r>
            <w:r>
              <w:rPr>
                <w:rFonts w:hint="eastAsia" w:ascii="Times New Roman" w:hAnsi="Times New Roman" w:cs="Times New Roman"/>
                <w:color w:val="000000" w:themeColor="text1"/>
                <w:kern w:val="2"/>
                <w:sz w:val="24"/>
                <w:szCs w:val="24"/>
                <w:highlight w:val="none"/>
                <w:lang w:val="en-US" w:eastAsia="zh-CN" w:bidi="ar-SA"/>
                <w14:textFill>
                  <w14:solidFill>
                    <w14:schemeClr w14:val="tx1"/>
                  </w14:solidFill>
                </w14:textFill>
              </w:rPr>
              <w:t>117.7</w:t>
            </w:r>
            <w:r>
              <w:rPr>
                <w:rFonts w:hint="default" w:ascii="Times New Roman" w:hAnsi="Times New Roman" w:cs="Times New Roman"/>
                <w:color w:val="000000" w:themeColor="text1"/>
                <w:kern w:val="2"/>
                <w:sz w:val="24"/>
                <w:szCs w:val="24"/>
                <w:highlight w:val="none"/>
                <w:vertAlign w:val="baseline"/>
                <w:lang w:val="en-US" w:eastAsia="zh-CN" w:bidi="ar-SA"/>
                <w14:textFill>
                  <w14:solidFill>
                    <w14:schemeClr w14:val="tx1"/>
                  </w14:solidFill>
                </w14:textFill>
              </w:rPr>
              <w:t>万</w:t>
            </w:r>
            <w:r>
              <w:rPr>
                <w:rFonts w:hint="default" w:ascii="Times New Roman" w:hAnsi="Times New Roman" w:cs="Times New Roman"/>
                <w:color w:val="000000" w:themeColor="text1"/>
                <w:kern w:val="2"/>
                <w:sz w:val="24"/>
                <w:szCs w:val="24"/>
                <w:highlight w:val="none"/>
                <w:lang w:val="en-US" w:eastAsia="zh-CN" w:bidi="ar-SA"/>
                <w14:textFill>
                  <w14:solidFill>
                    <w14:schemeClr w14:val="tx1"/>
                  </w14:solidFill>
                </w14:textFill>
              </w:rPr>
              <w:t>m</w:t>
            </w:r>
            <w:r>
              <w:rPr>
                <w:rFonts w:hint="default" w:ascii="Times New Roman" w:hAnsi="Times New Roman" w:cs="Times New Roman"/>
                <w:color w:val="000000" w:themeColor="text1"/>
                <w:kern w:val="2"/>
                <w:sz w:val="24"/>
                <w:szCs w:val="24"/>
                <w:highlight w:val="none"/>
                <w:vertAlign w:val="superscript"/>
                <w:lang w:val="en-US" w:eastAsia="zh-CN" w:bidi="ar-SA"/>
                <w14:textFill>
                  <w14:solidFill>
                    <w14:schemeClr w14:val="tx1"/>
                  </w14:solidFill>
                </w14:textFill>
              </w:rPr>
              <w:t>2</w:t>
            </w:r>
            <w:r>
              <w:rPr>
                <w:rFonts w:hint="eastAsia" w:cs="Times New Roman"/>
                <w:color w:val="000000" w:themeColor="text1"/>
                <w:kern w:val="2"/>
                <w:sz w:val="24"/>
                <w:szCs w:val="24"/>
                <w:highlight w:val="none"/>
                <w:vertAlign w:val="baseline"/>
                <w:lang w:val="en-US" w:eastAsia="zh-CN" w:bidi="ar-SA"/>
                <w14:textFill>
                  <w14:solidFill>
                    <w14:schemeClr w14:val="tx1"/>
                  </w14:solidFill>
                </w14:textFill>
              </w:rPr>
              <w:t>（单面计）</w:t>
            </w:r>
            <w:r>
              <w:rPr>
                <w:rFonts w:hint="default" w:ascii="Times New Roman" w:hAnsi="Times New Roman" w:cs="Times New Roman"/>
                <w:color w:val="000000" w:themeColor="text1"/>
                <w:kern w:val="2"/>
                <w:sz w:val="24"/>
                <w:szCs w:val="24"/>
                <w:highlight w:val="none"/>
                <w:vertAlign w:val="baseline"/>
                <w:lang w:val="en-US" w:eastAsia="zh-CN" w:bidi="ar-SA"/>
                <w14:textFill>
                  <w14:solidFill>
                    <w14:schemeClr w14:val="tx1"/>
                  </w14:solidFill>
                </w14:textFill>
              </w:rPr>
              <w:t>，可满足本项目设计</w:t>
            </w:r>
            <w:r>
              <w:rPr>
                <w:rFonts w:hint="eastAsia" w:cs="Times New Roman"/>
                <w:color w:val="000000" w:themeColor="text1"/>
                <w:kern w:val="2"/>
                <w:sz w:val="24"/>
                <w:szCs w:val="24"/>
                <w:highlight w:val="none"/>
                <w:vertAlign w:val="baseline"/>
                <w:lang w:val="en-US" w:eastAsia="zh-CN" w:bidi="ar-SA"/>
                <w14:textFill>
                  <w14:solidFill>
                    <w14:schemeClr w14:val="tx1"/>
                  </w14:solidFill>
                </w14:textFill>
              </w:rPr>
              <w:t>工件</w:t>
            </w:r>
            <w:r>
              <w:rPr>
                <w:rFonts w:hint="eastAsia" w:ascii="Times New Roman" w:hAnsi="Times New Roman" w:cs="Times New Roman"/>
                <w:color w:val="000000" w:themeColor="text1"/>
                <w:kern w:val="2"/>
                <w:sz w:val="24"/>
                <w:szCs w:val="24"/>
                <w:highlight w:val="none"/>
                <w:vertAlign w:val="baseline"/>
                <w:lang w:val="en-US" w:eastAsia="zh-CN" w:bidi="ar-SA"/>
                <w14:textFill>
                  <w14:solidFill>
                    <w14:schemeClr w14:val="tx1"/>
                  </w14:solidFill>
                </w14:textFill>
              </w:rPr>
              <w:t>11</w:t>
            </w:r>
            <w:r>
              <w:rPr>
                <w:rFonts w:hint="default" w:ascii="Times New Roman" w:hAnsi="Times New Roman" w:cs="Times New Roman"/>
                <w:color w:val="000000" w:themeColor="text1"/>
                <w:kern w:val="2"/>
                <w:sz w:val="24"/>
                <w:szCs w:val="24"/>
                <w:highlight w:val="none"/>
                <w:vertAlign w:val="baseline"/>
                <w:lang w:val="en-US" w:eastAsia="zh-CN" w:bidi="ar-SA"/>
                <w14:textFill>
                  <w14:solidFill>
                    <w14:schemeClr w14:val="tx1"/>
                  </w14:solidFill>
                </w14:textFill>
              </w:rPr>
              <w:t>0万m</w:t>
            </w:r>
            <w:r>
              <w:rPr>
                <w:rFonts w:hint="default" w:ascii="Times New Roman" w:hAnsi="Times New Roman" w:cs="Times New Roman"/>
                <w:color w:val="000000" w:themeColor="text1"/>
                <w:kern w:val="2"/>
                <w:sz w:val="24"/>
                <w:szCs w:val="24"/>
                <w:highlight w:val="none"/>
                <w:vertAlign w:val="superscript"/>
                <w:lang w:val="en-US" w:eastAsia="zh-CN" w:bidi="ar-SA"/>
                <w14:textFill>
                  <w14:solidFill>
                    <w14:schemeClr w14:val="tx1"/>
                  </w14:solidFill>
                </w14:textFill>
              </w:rPr>
              <w:t>2</w:t>
            </w:r>
            <w:r>
              <w:rPr>
                <w:rFonts w:hint="eastAsia" w:cs="Times New Roman"/>
                <w:color w:val="000000" w:themeColor="text1"/>
                <w:kern w:val="2"/>
                <w:sz w:val="24"/>
                <w:szCs w:val="24"/>
                <w:highlight w:val="none"/>
                <w:vertAlign w:val="baseline"/>
                <w:lang w:val="en-US" w:eastAsia="zh-CN" w:bidi="ar-SA"/>
                <w14:textFill>
                  <w14:solidFill>
                    <w14:schemeClr w14:val="tx1"/>
                  </w14:solidFill>
                </w14:textFill>
              </w:rPr>
              <w:t>（单面计）</w:t>
            </w:r>
            <w:r>
              <w:rPr>
                <w:rFonts w:hint="default" w:ascii="Times New Roman" w:hAnsi="Times New Roman" w:cs="Times New Roman"/>
                <w:color w:val="000000" w:themeColor="text1"/>
                <w:kern w:val="2"/>
                <w:sz w:val="24"/>
                <w:szCs w:val="24"/>
                <w:highlight w:val="none"/>
                <w:vertAlign w:val="baseline"/>
                <w:lang w:val="en-US" w:eastAsia="zh-CN" w:bidi="ar-SA"/>
                <w14:textFill>
                  <w14:solidFill>
                    <w14:schemeClr w14:val="tx1"/>
                  </w14:solidFill>
                </w14:textFill>
              </w:rPr>
              <w:t>的产能需求，设备产能与设计产能匹配。</w:t>
            </w:r>
          </w:p>
          <w:p w14:paraId="067B1724">
            <w:pPr>
              <w:widowControl/>
              <w:kinsoku/>
              <w:autoSpaceDE/>
              <w:autoSpaceDN/>
              <w:adjustRightInd/>
              <w:snapToGrid/>
              <w:spacing w:line="360" w:lineRule="auto"/>
              <w:ind w:firstLine="482" w:firstLineChars="200"/>
              <w:jc w:val="left"/>
              <w:textAlignment w:val="auto"/>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3、</w:t>
            </w:r>
            <w:r>
              <w:rPr>
                <w:rFonts w:hint="default" w:ascii="Times New Roman" w:hAnsi="Times New Roman" w:cs="Times New Roman"/>
                <w:b/>
                <w:bCs/>
                <w:color w:val="000000" w:themeColor="text1"/>
                <w:sz w:val="24"/>
                <w:szCs w:val="24"/>
                <w:highlight w:val="none"/>
                <w14:textFill>
                  <w14:solidFill>
                    <w14:schemeClr w14:val="tx1"/>
                  </w14:solidFill>
                </w14:textFill>
              </w:rPr>
              <w:t>原辅材料用量及</w:t>
            </w: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理化特性</w:t>
            </w:r>
          </w:p>
          <w:p w14:paraId="48162449">
            <w:pPr>
              <w:widowControl/>
              <w:kinsoku/>
              <w:autoSpaceDE/>
              <w:autoSpaceDN/>
              <w:adjustRightInd/>
              <w:snapToGrid/>
              <w:spacing w:line="360" w:lineRule="auto"/>
              <w:ind w:firstLine="478" w:firstLineChars="200"/>
              <w:jc w:val="left"/>
              <w:textAlignment w:val="auto"/>
              <w:rPr>
                <w:rFonts w:hint="default" w:ascii="Times New Roman" w:hAnsi="Times New Roman" w:eastAsia="宋体" w:cs="Times New Roman"/>
                <w:b/>
                <w:bCs/>
                <w:color w:val="000000" w:themeColor="text1"/>
                <w:spacing w:val="-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pacing w:val="-1"/>
                <w:sz w:val="24"/>
                <w:szCs w:val="24"/>
                <w:highlight w:val="none"/>
                <w14:textFill>
                  <w14:solidFill>
                    <w14:schemeClr w14:val="tx1"/>
                  </w14:solidFill>
                </w14:textFill>
              </w:rPr>
              <w:t>（1）原辅材料用量</w:t>
            </w:r>
          </w:p>
          <w:p w14:paraId="2439B5FD">
            <w:pPr>
              <w:widowControl/>
              <w:kinsoku/>
              <w:autoSpaceDE/>
              <w:autoSpaceDN/>
              <w:adjustRightInd/>
              <w:snapToGrid/>
              <w:spacing w:line="360" w:lineRule="auto"/>
              <w:ind w:firstLine="476" w:firstLineChars="200"/>
              <w:jc w:val="left"/>
              <w:textAlignment w:val="auto"/>
              <w:rPr>
                <w:rFonts w:hint="default" w:ascii="Times New Roman" w:hAnsi="Times New Roman" w:eastAsia="宋体" w:cs="Times New Roman"/>
                <w:color w:val="000000" w:themeColor="text1"/>
                <w:spacing w:val="-1"/>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本项目原辅材料种类及年用量见下表。</w:t>
            </w:r>
          </w:p>
          <w:p w14:paraId="441CFCD0">
            <w:pPr>
              <w:pageBreakBefore w:val="0"/>
              <w:widowControl w:val="0"/>
              <w:numPr>
                <w:ilvl w:val="0"/>
                <w:numId w:val="10"/>
              </w:numPr>
              <w:wordWrap w:val="0"/>
              <w:overflowPunct/>
              <w:bidi w:val="0"/>
              <w:spacing w:line="240" w:lineRule="auto"/>
              <w:ind w:left="0" w:leftChars="0" w:firstLine="40" w:firstLineChars="0"/>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原辅材料一览表</w:t>
            </w:r>
          </w:p>
          <w:tbl>
            <w:tblPr>
              <w:tblStyle w:val="44"/>
              <w:tblW w:w="497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4"/>
              <w:gridCol w:w="1324"/>
              <w:gridCol w:w="982"/>
              <w:gridCol w:w="871"/>
              <w:gridCol w:w="457"/>
              <w:gridCol w:w="694"/>
              <w:gridCol w:w="1374"/>
              <w:gridCol w:w="1050"/>
              <w:gridCol w:w="1161"/>
            </w:tblGrid>
            <w:tr w14:paraId="3C9D7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60" w:type="pct"/>
                  <w:tcBorders>
                    <w:top w:val="single" w:color="000000" w:sz="4" w:space="0"/>
                    <w:left w:val="single" w:color="000000" w:sz="4" w:space="0"/>
                    <w:bottom w:val="single" w:color="000000" w:sz="4" w:space="0"/>
                    <w:right w:val="single" w:color="000000" w:sz="4" w:space="0"/>
                  </w:tcBorders>
                  <w:noWrap w:val="0"/>
                  <w:vAlign w:val="center"/>
                </w:tcPr>
                <w:p w14:paraId="4A03240C">
                  <w:pPr>
                    <w:adjustRightInd w:val="0"/>
                    <w:snapToGrid w:val="0"/>
                    <w:spacing w:line="240" w:lineRule="auto"/>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序号</w:t>
                  </w:r>
                </w:p>
              </w:tc>
              <w:tc>
                <w:tcPr>
                  <w:tcW w:w="793" w:type="pct"/>
                  <w:tcBorders>
                    <w:top w:val="single" w:color="000000" w:sz="4" w:space="0"/>
                    <w:left w:val="single" w:color="000000" w:sz="4" w:space="0"/>
                    <w:bottom w:val="single" w:color="000000" w:sz="4" w:space="0"/>
                    <w:right w:val="single" w:color="000000" w:sz="4" w:space="0"/>
                  </w:tcBorders>
                  <w:noWrap w:val="0"/>
                  <w:vAlign w:val="center"/>
                </w:tcPr>
                <w:p w14:paraId="118740EE">
                  <w:pPr>
                    <w:adjustRightInd w:val="0"/>
                    <w:snapToGrid w:val="0"/>
                    <w:spacing w:line="240" w:lineRule="auto"/>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名称</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14:paraId="11D69386">
                  <w:pPr>
                    <w:adjustRightInd w:val="0"/>
                    <w:snapToGrid w:val="0"/>
                    <w:spacing w:line="240" w:lineRule="auto"/>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年用量</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5AD2ABC9">
                  <w:pPr>
                    <w:adjustRightInd w:val="0"/>
                    <w:snapToGrid w:val="0"/>
                    <w:spacing w:line="240" w:lineRule="auto"/>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最大贮存量</w:t>
                  </w:r>
                </w:p>
              </w:tc>
              <w:tc>
                <w:tcPr>
                  <w:tcW w:w="274" w:type="pct"/>
                  <w:tcBorders>
                    <w:top w:val="single" w:color="000000" w:sz="4" w:space="0"/>
                    <w:left w:val="single" w:color="000000" w:sz="4" w:space="0"/>
                    <w:bottom w:val="single" w:color="000000" w:sz="4" w:space="0"/>
                    <w:right w:val="single" w:color="000000" w:sz="4" w:space="0"/>
                  </w:tcBorders>
                  <w:noWrap w:val="0"/>
                  <w:vAlign w:val="center"/>
                </w:tcPr>
                <w:p w14:paraId="663E36A8">
                  <w:pPr>
                    <w:adjustRightInd w:val="0"/>
                    <w:snapToGrid w:val="0"/>
                    <w:spacing w:line="240" w:lineRule="auto"/>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单位</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14:paraId="4AEAB96A">
                  <w:pPr>
                    <w:adjustRightInd w:val="0"/>
                    <w:snapToGrid w:val="0"/>
                    <w:spacing w:line="240" w:lineRule="auto"/>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形态</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5E9028B8">
                  <w:pPr>
                    <w:adjustRightInd w:val="0"/>
                    <w:snapToGrid w:val="0"/>
                    <w:spacing w:line="240" w:lineRule="auto"/>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型号/规格</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17ACBCB1">
                  <w:pPr>
                    <w:adjustRightInd w:val="0"/>
                    <w:snapToGrid w:val="0"/>
                    <w:spacing w:line="240" w:lineRule="auto"/>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使用环节</w:t>
                  </w:r>
                </w:p>
              </w:tc>
              <w:tc>
                <w:tcPr>
                  <w:tcW w:w="690" w:type="pct"/>
                  <w:tcBorders>
                    <w:top w:val="single" w:color="000000" w:sz="4" w:space="0"/>
                    <w:left w:val="single" w:color="000000" w:sz="4" w:space="0"/>
                    <w:bottom w:val="single" w:color="000000" w:sz="4" w:space="0"/>
                    <w:right w:val="single" w:color="000000" w:sz="4" w:space="0"/>
                  </w:tcBorders>
                  <w:noWrap w:val="0"/>
                  <w:vAlign w:val="center"/>
                </w:tcPr>
                <w:p w14:paraId="50C2A817">
                  <w:pPr>
                    <w:adjustRightInd w:val="0"/>
                    <w:snapToGrid w:val="0"/>
                    <w:spacing w:line="240" w:lineRule="auto"/>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贮存位置</w:t>
                  </w:r>
                </w:p>
              </w:tc>
            </w:tr>
            <w:tr w14:paraId="3FE8C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60" w:type="pct"/>
                  <w:tcBorders>
                    <w:top w:val="single" w:color="000000" w:sz="4" w:space="0"/>
                    <w:left w:val="single" w:color="000000" w:sz="4" w:space="0"/>
                    <w:bottom w:val="single" w:color="000000" w:sz="4" w:space="0"/>
                    <w:right w:val="single" w:color="000000" w:sz="4" w:space="0"/>
                  </w:tcBorders>
                  <w:noWrap w:val="0"/>
                  <w:vAlign w:val="center"/>
                </w:tcPr>
                <w:p w14:paraId="19081D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793" w:type="pct"/>
                  <w:tcBorders>
                    <w:top w:val="single" w:color="000000" w:sz="4" w:space="0"/>
                    <w:left w:val="single" w:color="000000" w:sz="4" w:space="0"/>
                    <w:bottom w:val="single" w:color="000000" w:sz="4" w:space="0"/>
                    <w:right w:val="single" w:color="000000" w:sz="4" w:space="0"/>
                  </w:tcBorders>
                  <w:noWrap w:val="0"/>
                  <w:vAlign w:val="center"/>
                </w:tcPr>
                <w:p w14:paraId="4D4518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铝卷</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14:paraId="1F99D72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8910</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38BAE7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1350</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3D4D60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14:paraId="270FF0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固态</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58FE508B">
                  <w:pPr>
                    <w:keepNext w:val="0"/>
                    <w:keepLines w:val="0"/>
                    <w:pageBreakBefore w:val="0"/>
                    <w:widowControl/>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1001</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3003型3mm（厚）×1</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00mm（宽）</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48C87F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工件表面预处理</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机加工</w:t>
                  </w:r>
                </w:p>
              </w:tc>
              <w:tc>
                <w:tcPr>
                  <w:tcW w:w="690" w:type="pct"/>
                  <w:tcBorders>
                    <w:top w:val="single" w:color="000000" w:sz="4" w:space="0"/>
                    <w:left w:val="single" w:color="000000" w:sz="4" w:space="0"/>
                    <w:bottom w:val="single" w:color="000000" w:sz="4" w:space="0"/>
                    <w:right w:val="single" w:color="000000" w:sz="4" w:space="0"/>
                  </w:tcBorders>
                  <w:noWrap w:val="0"/>
                  <w:vAlign w:val="center"/>
                </w:tcPr>
                <w:p w14:paraId="444DC6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物料仓库（</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#厂房）</w:t>
                  </w:r>
                </w:p>
              </w:tc>
            </w:tr>
            <w:tr w14:paraId="3FB8B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60" w:type="pct"/>
                  <w:tcBorders>
                    <w:top w:val="single" w:color="000000" w:sz="4" w:space="0"/>
                    <w:left w:val="single" w:color="000000" w:sz="4" w:space="0"/>
                    <w:bottom w:val="single" w:color="000000" w:sz="4" w:space="0"/>
                    <w:right w:val="single" w:color="000000" w:sz="4" w:space="0"/>
                  </w:tcBorders>
                  <w:noWrap w:val="0"/>
                  <w:vAlign w:val="center"/>
                </w:tcPr>
                <w:p w14:paraId="39C688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p>
              </w:tc>
              <w:tc>
                <w:tcPr>
                  <w:tcW w:w="793" w:type="pct"/>
                  <w:tcBorders>
                    <w:top w:val="single" w:color="000000" w:sz="4" w:space="0"/>
                    <w:left w:val="single" w:color="000000" w:sz="4" w:space="0"/>
                    <w:bottom w:val="single" w:color="000000" w:sz="4" w:space="0"/>
                    <w:right w:val="single" w:color="000000" w:sz="4" w:space="0"/>
                  </w:tcBorders>
                  <w:noWrap w:val="0"/>
                  <w:vAlign w:val="center"/>
                </w:tcPr>
                <w:p w14:paraId="57B64F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天然气</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14:paraId="09AB26F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18.2248</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4161DB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0.00032t</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22B6D9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w:t>
                  </w:r>
                  <w:r>
                    <w:rPr>
                      <w:rFonts w:hint="default" w:ascii="Times New Roman" w:hAnsi="Times New Roman" w:eastAsia="宋体"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3</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14:paraId="1C3F5C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气态</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3F0979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0.7174kg/m</w:t>
                  </w:r>
                  <w:r>
                    <w:rPr>
                      <w:rFonts w:hint="default" w:ascii="Times New Roman" w:hAnsi="Times New Roman" w:eastAsia="宋体"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3</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657FF8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固化</w:t>
                  </w:r>
                </w:p>
              </w:tc>
              <w:tc>
                <w:tcPr>
                  <w:tcW w:w="690" w:type="pct"/>
                  <w:tcBorders>
                    <w:top w:val="single" w:color="000000" w:sz="4" w:space="0"/>
                    <w:left w:val="single" w:color="000000" w:sz="4" w:space="0"/>
                    <w:bottom w:val="single" w:color="000000" w:sz="4" w:space="0"/>
                    <w:right w:val="single" w:color="000000" w:sz="4" w:space="0"/>
                  </w:tcBorders>
                  <w:noWrap w:val="0"/>
                  <w:vAlign w:val="center"/>
                </w:tcPr>
                <w:p w14:paraId="58054A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管道内</w:t>
                  </w:r>
                </w:p>
              </w:tc>
            </w:tr>
            <w:tr w14:paraId="7AD2D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60" w:type="pct"/>
                  <w:tcBorders>
                    <w:top w:val="single" w:color="000000" w:sz="4" w:space="0"/>
                    <w:left w:val="single" w:color="000000" w:sz="4" w:space="0"/>
                    <w:bottom w:val="single" w:color="000000" w:sz="4" w:space="0"/>
                    <w:right w:val="single" w:color="000000" w:sz="4" w:space="0"/>
                  </w:tcBorders>
                  <w:noWrap w:val="0"/>
                  <w:vAlign w:val="center"/>
                </w:tcPr>
                <w:p w14:paraId="32BD55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w:t>
                  </w:r>
                </w:p>
              </w:tc>
              <w:tc>
                <w:tcPr>
                  <w:tcW w:w="793" w:type="pct"/>
                  <w:tcBorders>
                    <w:top w:val="single" w:color="000000" w:sz="4" w:space="0"/>
                    <w:left w:val="single" w:color="000000" w:sz="4" w:space="0"/>
                    <w:bottom w:val="single" w:color="000000" w:sz="4" w:space="0"/>
                    <w:right w:val="single" w:color="000000" w:sz="4" w:space="0"/>
                  </w:tcBorders>
                  <w:noWrap w:val="0"/>
                  <w:vAlign w:val="center"/>
                </w:tcPr>
                <w:p w14:paraId="6CF882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除油剂</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14:paraId="3C3F8BC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17.82</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69035E5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6BC7EF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14:paraId="536A11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液态</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03A97F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25kg/桶</w:t>
                  </w:r>
                </w:p>
              </w:tc>
              <w:tc>
                <w:tcPr>
                  <w:tcW w:w="629" w:type="pct"/>
                  <w:vMerge w:val="restart"/>
                  <w:tcBorders>
                    <w:top w:val="single" w:color="000000" w:sz="4" w:space="0"/>
                    <w:left w:val="single" w:color="000000" w:sz="4" w:space="0"/>
                    <w:right w:val="single" w:color="000000" w:sz="4" w:space="0"/>
                  </w:tcBorders>
                  <w:noWrap w:val="0"/>
                  <w:vAlign w:val="center"/>
                </w:tcPr>
                <w:p w14:paraId="078343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工件表面预处理</w:t>
                  </w:r>
                </w:p>
              </w:tc>
              <w:tc>
                <w:tcPr>
                  <w:tcW w:w="690" w:type="pct"/>
                  <w:vMerge w:val="restart"/>
                  <w:tcBorders>
                    <w:top w:val="single" w:color="000000" w:sz="4" w:space="0"/>
                    <w:left w:val="single" w:color="000000" w:sz="4" w:space="0"/>
                    <w:right w:val="single" w:color="000000" w:sz="4" w:space="0"/>
                  </w:tcBorders>
                  <w:noWrap w:val="0"/>
                  <w:vAlign w:val="center"/>
                </w:tcPr>
                <w:p w14:paraId="62D86E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1#厂房</w:t>
                  </w: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化学品仓</w:t>
                  </w:r>
                </w:p>
              </w:tc>
            </w:tr>
            <w:tr w14:paraId="3BABB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60" w:type="pct"/>
                  <w:tcBorders>
                    <w:top w:val="single" w:color="000000" w:sz="4" w:space="0"/>
                    <w:left w:val="single" w:color="000000" w:sz="4" w:space="0"/>
                    <w:bottom w:val="single" w:color="000000" w:sz="4" w:space="0"/>
                    <w:right w:val="single" w:color="000000" w:sz="4" w:space="0"/>
                  </w:tcBorders>
                  <w:noWrap w:val="0"/>
                  <w:vAlign w:val="center"/>
                </w:tcPr>
                <w:p w14:paraId="56F0FD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w:t>
                  </w:r>
                </w:p>
              </w:tc>
              <w:tc>
                <w:tcPr>
                  <w:tcW w:w="793" w:type="pct"/>
                  <w:tcBorders>
                    <w:top w:val="single" w:color="000000" w:sz="4" w:space="0"/>
                    <w:left w:val="single" w:color="000000" w:sz="4" w:space="0"/>
                    <w:bottom w:val="single" w:color="000000" w:sz="4" w:space="0"/>
                    <w:right w:val="single" w:color="000000" w:sz="4" w:space="0"/>
                  </w:tcBorders>
                  <w:noWrap w:val="0"/>
                  <w:vAlign w:val="center"/>
                </w:tcPr>
                <w:p w14:paraId="6DA798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无铬钝化剂</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14:paraId="7E19773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3.2</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6E42949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3A5CF8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14:paraId="11D95B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液态</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390118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25kg/桶</w:t>
                  </w:r>
                </w:p>
              </w:tc>
              <w:tc>
                <w:tcPr>
                  <w:tcW w:w="629" w:type="pct"/>
                  <w:vMerge w:val="continue"/>
                  <w:tcBorders>
                    <w:left w:val="single" w:color="000000" w:sz="4" w:space="0"/>
                    <w:bottom w:val="single" w:color="000000" w:sz="4" w:space="0"/>
                    <w:right w:val="single" w:color="000000" w:sz="4" w:space="0"/>
                  </w:tcBorders>
                  <w:noWrap w:val="0"/>
                  <w:vAlign w:val="center"/>
                </w:tcPr>
                <w:p w14:paraId="327BA1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90" w:type="pct"/>
                  <w:vMerge w:val="continue"/>
                  <w:tcBorders>
                    <w:left w:val="single" w:color="000000" w:sz="4" w:space="0"/>
                    <w:right w:val="single" w:color="000000" w:sz="4" w:space="0"/>
                  </w:tcBorders>
                  <w:noWrap w:val="0"/>
                  <w:vAlign w:val="center"/>
                </w:tcPr>
                <w:p w14:paraId="5B1054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60F9A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60" w:type="pct"/>
                  <w:tcBorders>
                    <w:top w:val="single" w:color="000000" w:sz="4" w:space="0"/>
                    <w:left w:val="single" w:color="000000" w:sz="4" w:space="0"/>
                    <w:bottom w:val="single" w:color="000000" w:sz="4" w:space="0"/>
                    <w:right w:val="single" w:color="000000" w:sz="4" w:space="0"/>
                  </w:tcBorders>
                  <w:noWrap w:val="0"/>
                  <w:vAlign w:val="center"/>
                </w:tcPr>
                <w:p w14:paraId="5A8AD2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w:t>
                  </w:r>
                </w:p>
              </w:tc>
              <w:tc>
                <w:tcPr>
                  <w:tcW w:w="793" w:type="pct"/>
                  <w:tcBorders>
                    <w:top w:val="single" w:color="000000" w:sz="4" w:space="0"/>
                    <w:left w:val="single" w:color="000000" w:sz="4" w:space="0"/>
                    <w:bottom w:val="single" w:color="000000" w:sz="4" w:space="0"/>
                    <w:right w:val="single" w:color="000000" w:sz="4" w:space="0"/>
                  </w:tcBorders>
                  <w:noWrap w:val="0"/>
                  <w:vAlign w:val="center"/>
                </w:tcPr>
                <w:p w14:paraId="671328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稀释剂</w:t>
                  </w:r>
                </w:p>
              </w:tc>
              <w:tc>
                <w:tcPr>
                  <w:tcW w:w="983" w:type="dxa"/>
                  <w:tcBorders>
                    <w:top w:val="single" w:color="000000" w:sz="4" w:space="0"/>
                    <w:left w:val="single" w:color="000000" w:sz="4" w:space="0"/>
                    <w:bottom w:val="single" w:color="000000" w:sz="4" w:space="0"/>
                    <w:right w:val="single" w:color="000000" w:sz="4" w:space="0"/>
                  </w:tcBorders>
                  <w:noWrap w:val="0"/>
                  <w:vAlign w:val="center"/>
                </w:tcPr>
                <w:p w14:paraId="425CF42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1.299 </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557B06F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0.11 </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0CE7CD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14:paraId="29EE58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液态</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5C67DE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25kg/桶</w:t>
                  </w:r>
                </w:p>
              </w:tc>
              <w:tc>
                <w:tcPr>
                  <w:tcW w:w="629" w:type="pct"/>
                  <w:vMerge w:val="restart"/>
                  <w:tcBorders>
                    <w:top w:val="single" w:color="000000" w:sz="4" w:space="0"/>
                    <w:left w:val="single" w:color="000000" w:sz="4" w:space="0"/>
                    <w:right w:val="single" w:color="000000" w:sz="4" w:space="0"/>
                  </w:tcBorders>
                  <w:noWrap w:val="0"/>
                  <w:vAlign w:val="center"/>
                </w:tcPr>
                <w:p w14:paraId="53C436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喷涂、固化</w:t>
                  </w:r>
                </w:p>
              </w:tc>
              <w:tc>
                <w:tcPr>
                  <w:tcW w:w="690" w:type="pct"/>
                  <w:vMerge w:val="continue"/>
                  <w:tcBorders>
                    <w:left w:val="single" w:color="000000" w:sz="4" w:space="0"/>
                    <w:right w:val="single" w:color="000000" w:sz="4" w:space="0"/>
                  </w:tcBorders>
                  <w:noWrap w:val="0"/>
                  <w:vAlign w:val="center"/>
                </w:tcPr>
                <w:p w14:paraId="775C7F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5A3BC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60" w:type="pct"/>
                  <w:tcBorders>
                    <w:top w:val="single" w:color="000000" w:sz="4" w:space="0"/>
                    <w:left w:val="single" w:color="000000" w:sz="4" w:space="0"/>
                    <w:bottom w:val="single" w:color="000000" w:sz="4" w:space="0"/>
                    <w:right w:val="single" w:color="000000" w:sz="4" w:space="0"/>
                  </w:tcBorders>
                  <w:noWrap w:val="0"/>
                  <w:vAlign w:val="center"/>
                </w:tcPr>
                <w:p w14:paraId="1826C4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w:t>
                  </w:r>
                </w:p>
              </w:tc>
              <w:tc>
                <w:tcPr>
                  <w:tcW w:w="793" w:type="pct"/>
                  <w:tcBorders>
                    <w:top w:val="single" w:color="000000" w:sz="4" w:space="0"/>
                    <w:left w:val="single" w:color="000000" w:sz="4" w:space="0"/>
                    <w:bottom w:val="single" w:color="000000" w:sz="4" w:space="0"/>
                    <w:right w:val="single" w:color="000000" w:sz="4" w:space="0"/>
                  </w:tcBorders>
                  <w:noWrap w:val="0"/>
                  <w:vAlign w:val="center"/>
                </w:tcPr>
                <w:p w14:paraId="75A879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底漆</w:t>
                  </w:r>
                </w:p>
              </w:tc>
              <w:tc>
                <w:tcPr>
                  <w:tcW w:w="983" w:type="dxa"/>
                  <w:tcBorders>
                    <w:top w:val="single" w:color="000000" w:sz="4" w:space="0"/>
                    <w:left w:val="single" w:color="000000" w:sz="4" w:space="0"/>
                    <w:bottom w:val="single" w:color="000000" w:sz="4" w:space="0"/>
                    <w:right w:val="single" w:color="000000" w:sz="4" w:space="0"/>
                  </w:tcBorders>
                  <w:noWrap w:val="0"/>
                  <w:vAlign w:val="center"/>
                </w:tcPr>
                <w:p w14:paraId="12FC08C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2.309 </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219073D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0.18 </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6A8795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14:paraId="0CDD25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液态</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18F181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25kg/桶</w:t>
                  </w:r>
                </w:p>
              </w:tc>
              <w:tc>
                <w:tcPr>
                  <w:tcW w:w="629" w:type="pct"/>
                  <w:vMerge w:val="continue"/>
                  <w:tcBorders>
                    <w:left w:val="single" w:color="000000" w:sz="4" w:space="0"/>
                    <w:right w:val="single" w:color="000000" w:sz="4" w:space="0"/>
                  </w:tcBorders>
                  <w:noWrap w:val="0"/>
                  <w:vAlign w:val="center"/>
                </w:tcPr>
                <w:p w14:paraId="4C9E6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90" w:type="pct"/>
                  <w:vMerge w:val="continue"/>
                  <w:tcBorders>
                    <w:left w:val="single" w:color="000000" w:sz="4" w:space="0"/>
                    <w:right w:val="single" w:color="000000" w:sz="4" w:space="0"/>
                  </w:tcBorders>
                  <w:noWrap w:val="0"/>
                  <w:vAlign w:val="center"/>
                </w:tcPr>
                <w:p w14:paraId="72CD1B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4C9A6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60" w:type="pct"/>
                  <w:tcBorders>
                    <w:top w:val="single" w:color="000000" w:sz="4" w:space="0"/>
                    <w:left w:val="single" w:color="000000" w:sz="4" w:space="0"/>
                    <w:bottom w:val="single" w:color="000000" w:sz="4" w:space="0"/>
                    <w:right w:val="single" w:color="000000" w:sz="4" w:space="0"/>
                  </w:tcBorders>
                  <w:noWrap w:val="0"/>
                  <w:vAlign w:val="center"/>
                </w:tcPr>
                <w:p w14:paraId="345B9D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w:t>
                  </w:r>
                </w:p>
              </w:tc>
              <w:tc>
                <w:tcPr>
                  <w:tcW w:w="793" w:type="pct"/>
                  <w:tcBorders>
                    <w:top w:val="single" w:color="000000" w:sz="4" w:space="0"/>
                    <w:left w:val="single" w:color="000000" w:sz="4" w:space="0"/>
                    <w:bottom w:val="single" w:color="000000" w:sz="4" w:space="0"/>
                    <w:right w:val="single" w:color="000000" w:sz="4" w:space="0"/>
                  </w:tcBorders>
                  <w:noWrap w:val="0"/>
                  <w:vAlign w:val="center"/>
                </w:tcPr>
                <w:p w14:paraId="6DD3DA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面漆</w:t>
                  </w:r>
                </w:p>
              </w:tc>
              <w:tc>
                <w:tcPr>
                  <w:tcW w:w="983" w:type="dxa"/>
                  <w:tcBorders>
                    <w:top w:val="single" w:color="000000" w:sz="4" w:space="0"/>
                    <w:left w:val="single" w:color="000000" w:sz="4" w:space="0"/>
                    <w:bottom w:val="single" w:color="000000" w:sz="4" w:space="0"/>
                    <w:right w:val="single" w:color="000000" w:sz="4" w:space="0"/>
                  </w:tcBorders>
                  <w:noWrap w:val="0"/>
                  <w:vAlign w:val="center"/>
                </w:tcPr>
                <w:p w14:paraId="77FD42E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3.242 </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3039A77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0.35 </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79C97F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14:paraId="13683F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液态</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638975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25kg/桶</w:t>
                  </w:r>
                </w:p>
              </w:tc>
              <w:tc>
                <w:tcPr>
                  <w:tcW w:w="629" w:type="pct"/>
                  <w:vMerge w:val="continue"/>
                  <w:tcBorders>
                    <w:left w:val="single" w:color="000000" w:sz="4" w:space="0"/>
                    <w:right w:val="single" w:color="000000" w:sz="4" w:space="0"/>
                  </w:tcBorders>
                  <w:noWrap w:val="0"/>
                  <w:vAlign w:val="center"/>
                </w:tcPr>
                <w:p w14:paraId="0494FF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90" w:type="pct"/>
                  <w:vMerge w:val="continue"/>
                  <w:tcBorders>
                    <w:left w:val="single" w:color="000000" w:sz="4" w:space="0"/>
                    <w:right w:val="single" w:color="000000" w:sz="4" w:space="0"/>
                  </w:tcBorders>
                  <w:noWrap w:val="0"/>
                  <w:vAlign w:val="center"/>
                </w:tcPr>
                <w:p w14:paraId="5298E8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59062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60" w:type="pct"/>
                  <w:tcBorders>
                    <w:top w:val="single" w:color="000000" w:sz="4" w:space="0"/>
                    <w:left w:val="single" w:color="000000" w:sz="4" w:space="0"/>
                    <w:bottom w:val="single" w:color="000000" w:sz="4" w:space="0"/>
                    <w:right w:val="single" w:color="000000" w:sz="4" w:space="0"/>
                  </w:tcBorders>
                  <w:noWrap w:val="0"/>
                  <w:vAlign w:val="center"/>
                </w:tcPr>
                <w:p w14:paraId="4492A0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8</w:t>
                  </w:r>
                </w:p>
              </w:tc>
              <w:tc>
                <w:tcPr>
                  <w:tcW w:w="793" w:type="pct"/>
                  <w:tcBorders>
                    <w:top w:val="single" w:color="000000" w:sz="4" w:space="0"/>
                    <w:left w:val="single" w:color="000000" w:sz="4" w:space="0"/>
                    <w:bottom w:val="single" w:color="000000" w:sz="4" w:space="0"/>
                    <w:right w:val="single" w:color="000000" w:sz="4" w:space="0"/>
                  </w:tcBorders>
                  <w:noWrap w:val="0"/>
                  <w:vAlign w:val="center"/>
                </w:tcPr>
                <w:p w14:paraId="2F1D7E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清漆</w:t>
                  </w:r>
                </w:p>
              </w:tc>
              <w:tc>
                <w:tcPr>
                  <w:tcW w:w="983" w:type="dxa"/>
                  <w:tcBorders>
                    <w:top w:val="single" w:color="000000" w:sz="4" w:space="0"/>
                    <w:left w:val="single" w:color="000000" w:sz="4" w:space="0"/>
                    <w:bottom w:val="single" w:color="000000" w:sz="4" w:space="0"/>
                    <w:right w:val="single" w:color="000000" w:sz="4" w:space="0"/>
                  </w:tcBorders>
                  <w:noWrap w:val="0"/>
                  <w:vAlign w:val="center"/>
                </w:tcPr>
                <w:p w14:paraId="5073AFD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2.798 </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332C58F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0.13 </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66D2B3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14:paraId="03B204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液态</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2F5DC3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25kg/桶</w:t>
                  </w:r>
                </w:p>
              </w:tc>
              <w:tc>
                <w:tcPr>
                  <w:tcW w:w="629" w:type="pct"/>
                  <w:vMerge w:val="continue"/>
                  <w:tcBorders>
                    <w:left w:val="single" w:color="000000" w:sz="4" w:space="0"/>
                    <w:right w:val="single" w:color="000000" w:sz="4" w:space="0"/>
                  </w:tcBorders>
                  <w:noWrap w:val="0"/>
                  <w:vAlign w:val="center"/>
                </w:tcPr>
                <w:p w14:paraId="2D3E61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90" w:type="pct"/>
                  <w:vMerge w:val="continue"/>
                  <w:tcBorders>
                    <w:left w:val="single" w:color="000000" w:sz="4" w:space="0"/>
                    <w:right w:val="single" w:color="000000" w:sz="4" w:space="0"/>
                  </w:tcBorders>
                  <w:noWrap w:val="0"/>
                  <w:vAlign w:val="center"/>
                </w:tcPr>
                <w:p w14:paraId="19DD9F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45838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60" w:type="pct"/>
                  <w:tcBorders>
                    <w:top w:val="single" w:color="000000" w:sz="4" w:space="0"/>
                    <w:left w:val="single" w:color="000000" w:sz="4" w:space="0"/>
                    <w:bottom w:val="single" w:color="000000" w:sz="4" w:space="0"/>
                    <w:right w:val="single" w:color="000000" w:sz="4" w:space="0"/>
                  </w:tcBorders>
                  <w:noWrap w:val="0"/>
                  <w:vAlign w:val="center"/>
                </w:tcPr>
                <w:p w14:paraId="31E2D9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9</w:t>
                  </w:r>
                </w:p>
              </w:tc>
              <w:tc>
                <w:tcPr>
                  <w:tcW w:w="793" w:type="pct"/>
                  <w:tcBorders>
                    <w:top w:val="single" w:color="000000" w:sz="4" w:space="0"/>
                    <w:left w:val="single" w:color="000000" w:sz="4" w:space="0"/>
                    <w:bottom w:val="single" w:color="000000" w:sz="4" w:space="0"/>
                    <w:right w:val="single" w:color="000000" w:sz="4" w:space="0"/>
                  </w:tcBorders>
                  <w:noWrap w:val="0"/>
                  <w:vAlign w:val="center"/>
                </w:tcPr>
                <w:p w14:paraId="6A9309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粉末涂料</w:t>
                  </w:r>
                </w:p>
              </w:tc>
              <w:tc>
                <w:tcPr>
                  <w:tcW w:w="983" w:type="dxa"/>
                  <w:tcBorders>
                    <w:top w:val="single" w:color="000000" w:sz="4" w:space="0"/>
                    <w:left w:val="single" w:color="000000" w:sz="4" w:space="0"/>
                    <w:bottom w:val="single" w:color="000000" w:sz="4" w:space="0"/>
                    <w:right w:val="single" w:color="000000" w:sz="4" w:space="0"/>
                  </w:tcBorders>
                  <w:noWrap w:val="0"/>
                  <w:vAlign w:val="center"/>
                </w:tcPr>
                <w:p w14:paraId="4784315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109.755 </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023A1B8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7.79 </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70C4D5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14:paraId="7DEEE1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固态</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4D60A0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25kg/</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箱</w:t>
                  </w:r>
                </w:p>
              </w:tc>
              <w:tc>
                <w:tcPr>
                  <w:tcW w:w="629" w:type="pct"/>
                  <w:vMerge w:val="continue"/>
                  <w:tcBorders>
                    <w:left w:val="single" w:color="000000" w:sz="4" w:space="0"/>
                    <w:right w:val="single" w:color="000000" w:sz="4" w:space="0"/>
                  </w:tcBorders>
                  <w:noWrap w:val="0"/>
                  <w:vAlign w:val="center"/>
                </w:tcPr>
                <w:p w14:paraId="525580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90" w:type="pct"/>
                  <w:vMerge w:val="continue"/>
                  <w:tcBorders>
                    <w:left w:val="single" w:color="000000" w:sz="4" w:space="0"/>
                    <w:right w:val="single" w:color="000000" w:sz="4" w:space="0"/>
                  </w:tcBorders>
                  <w:noWrap w:val="0"/>
                  <w:vAlign w:val="center"/>
                </w:tcPr>
                <w:p w14:paraId="1A78AC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1573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6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730F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10</w:t>
                  </w:r>
                </w:p>
              </w:tc>
              <w:tc>
                <w:tcPr>
                  <w:tcW w:w="793" w:type="pct"/>
                  <w:tcBorders>
                    <w:top w:val="single" w:color="000000" w:sz="4" w:space="0"/>
                    <w:left w:val="single" w:color="000000" w:sz="4" w:space="0"/>
                    <w:bottom w:val="single" w:color="000000" w:sz="4" w:space="0"/>
                    <w:right w:val="single" w:color="000000" w:sz="4" w:space="0"/>
                  </w:tcBorders>
                  <w:noWrap w:val="0"/>
                  <w:vAlign w:val="center"/>
                </w:tcPr>
                <w:p w14:paraId="323241C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清洗剂</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14:paraId="19BD6D3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0.084 </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612092D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0.05</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08280E7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t</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14:paraId="553687A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液态</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1D810E4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w:t>
                  </w:r>
                  <w:r>
                    <w:rPr>
                      <w:rFonts w:hint="eastAsia" w:cs="Times New Roman"/>
                      <w:i w:val="0"/>
                      <w:iCs w:val="0"/>
                      <w:color w:val="000000" w:themeColor="text1"/>
                      <w:kern w:val="0"/>
                      <w:sz w:val="21"/>
                      <w:szCs w:val="21"/>
                      <w:u w:val="none"/>
                      <w:lang w:val="en-US" w:eastAsia="zh-CN" w:bidi="ar"/>
                      <w14:textFill>
                        <w14:solidFill>
                          <w14:schemeClr w14:val="tx1"/>
                        </w14:solidFill>
                      </w14:textFill>
                    </w:rPr>
                    <w:t>k</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桶</w:t>
                  </w:r>
                </w:p>
              </w:tc>
              <w:tc>
                <w:tcPr>
                  <w:tcW w:w="629" w:type="pct"/>
                  <w:vMerge w:val="continue"/>
                  <w:tcBorders>
                    <w:left w:val="single" w:color="000000" w:sz="4" w:space="0"/>
                    <w:right w:val="single" w:color="000000" w:sz="4" w:space="0"/>
                  </w:tcBorders>
                  <w:noWrap w:val="0"/>
                  <w:vAlign w:val="center"/>
                </w:tcPr>
                <w:p w14:paraId="35742E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90" w:type="pct"/>
                  <w:vMerge w:val="continue"/>
                  <w:tcBorders>
                    <w:left w:val="single" w:color="000000" w:sz="4" w:space="0"/>
                    <w:right w:val="single" w:color="000000" w:sz="4" w:space="0"/>
                  </w:tcBorders>
                  <w:noWrap w:val="0"/>
                  <w:vAlign w:val="center"/>
                </w:tcPr>
                <w:p w14:paraId="024631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07D80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6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C2D6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11</w:t>
                  </w:r>
                </w:p>
              </w:tc>
              <w:tc>
                <w:tcPr>
                  <w:tcW w:w="793" w:type="pct"/>
                  <w:tcBorders>
                    <w:top w:val="single" w:color="000000" w:sz="4" w:space="0"/>
                    <w:left w:val="single" w:color="000000" w:sz="4" w:space="0"/>
                    <w:bottom w:val="single" w:color="000000" w:sz="4" w:space="0"/>
                    <w:right w:val="single" w:color="000000" w:sz="4" w:space="0"/>
                  </w:tcBorders>
                  <w:noWrap w:val="0"/>
                  <w:vAlign w:val="center"/>
                </w:tcPr>
                <w:p w14:paraId="02F00C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焊丝</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14:paraId="4F7C515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16.9</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63288F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742E56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14:paraId="3EBC8A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固态</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1C2B2F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25kg/</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箱</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5E5589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焊接</w:t>
                  </w:r>
                </w:p>
              </w:tc>
              <w:tc>
                <w:tcPr>
                  <w:tcW w:w="690" w:type="pct"/>
                  <w:vMerge w:val="continue"/>
                  <w:tcBorders>
                    <w:left w:val="single" w:color="000000" w:sz="4" w:space="0"/>
                    <w:bottom w:val="single" w:color="000000" w:sz="4" w:space="0"/>
                    <w:right w:val="single" w:color="000000" w:sz="4" w:space="0"/>
                  </w:tcBorders>
                  <w:noWrap w:val="0"/>
                  <w:vAlign w:val="center"/>
                </w:tcPr>
                <w:p w14:paraId="1405B3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71568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6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9F8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12</w:t>
                  </w:r>
                </w:p>
              </w:tc>
              <w:tc>
                <w:tcPr>
                  <w:tcW w:w="793" w:type="pct"/>
                  <w:tcBorders>
                    <w:top w:val="single" w:color="000000" w:sz="4" w:space="0"/>
                    <w:left w:val="single" w:color="000000" w:sz="4" w:space="0"/>
                    <w:bottom w:val="single" w:color="000000" w:sz="4" w:space="0"/>
                    <w:right w:val="single" w:color="000000" w:sz="4" w:space="0"/>
                  </w:tcBorders>
                  <w:noWrap w:val="0"/>
                  <w:vAlign w:val="center"/>
                </w:tcPr>
                <w:p w14:paraId="442E27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pH调整剂（硫酸70%）</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14:paraId="4436388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416DC5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0.2</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2C0585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14:paraId="050073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液态</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397391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25kg/桶</w:t>
                  </w:r>
                </w:p>
              </w:tc>
              <w:tc>
                <w:tcPr>
                  <w:tcW w:w="629" w:type="pct"/>
                  <w:vMerge w:val="restart"/>
                  <w:tcBorders>
                    <w:top w:val="single" w:color="000000" w:sz="4" w:space="0"/>
                    <w:left w:val="single" w:color="000000" w:sz="4" w:space="0"/>
                    <w:right w:val="single" w:color="000000" w:sz="4" w:space="0"/>
                  </w:tcBorders>
                  <w:noWrap w:val="0"/>
                  <w:vAlign w:val="center"/>
                </w:tcPr>
                <w:p w14:paraId="6FA79C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自建污水处理站</w:t>
                  </w:r>
                </w:p>
              </w:tc>
              <w:tc>
                <w:tcPr>
                  <w:tcW w:w="690" w:type="pct"/>
                  <w:vMerge w:val="restart"/>
                  <w:tcBorders>
                    <w:top w:val="single" w:color="000000" w:sz="4" w:space="0"/>
                    <w:left w:val="single" w:color="000000" w:sz="4" w:space="0"/>
                    <w:right w:val="single" w:color="000000" w:sz="4" w:space="0"/>
                  </w:tcBorders>
                  <w:noWrap w:val="0"/>
                  <w:vAlign w:val="center"/>
                </w:tcPr>
                <w:p w14:paraId="4899C6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自建污水处理站</w:t>
                  </w:r>
                </w:p>
              </w:tc>
            </w:tr>
            <w:tr w14:paraId="2EDC1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6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6BF3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13</w:t>
                  </w:r>
                </w:p>
              </w:tc>
              <w:tc>
                <w:tcPr>
                  <w:tcW w:w="793" w:type="pct"/>
                  <w:tcBorders>
                    <w:top w:val="single" w:color="000000" w:sz="4" w:space="0"/>
                    <w:left w:val="single" w:color="000000" w:sz="4" w:space="0"/>
                    <w:bottom w:val="single" w:color="000000" w:sz="4" w:space="0"/>
                    <w:right w:val="single" w:color="000000" w:sz="4" w:space="0"/>
                  </w:tcBorders>
                  <w:noWrap w:val="0"/>
                  <w:vAlign w:val="center"/>
                </w:tcPr>
                <w:p w14:paraId="27C79F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PAC</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14:paraId="662D51C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689E8E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0.5</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5FD469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14:paraId="01B5FD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固态</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354046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25kg/袋</w:t>
                  </w:r>
                </w:p>
              </w:tc>
              <w:tc>
                <w:tcPr>
                  <w:tcW w:w="629" w:type="pct"/>
                  <w:vMerge w:val="continue"/>
                  <w:tcBorders>
                    <w:left w:val="single" w:color="000000" w:sz="4" w:space="0"/>
                    <w:right w:val="single" w:color="000000" w:sz="4" w:space="0"/>
                  </w:tcBorders>
                  <w:noWrap w:val="0"/>
                  <w:vAlign w:val="center"/>
                </w:tcPr>
                <w:p w14:paraId="2FFC55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90" w:type="pct"/>
                  <w:vMerge w:val="continue"/>
                  <w:tcBorders>
                    <w:left w:val="single" w:color="000000" w:sz="4" w:space="0"/>
                    <w:right w:val="single" w:color="000000" w:sz="4" w:space="0"/>
                  </w:tcBorders>
                  <w:noWrap w:val="0"/>
                  <w:vAlign w:val="center"/>
                </w:tcPr>
                <w:p w14:paraId="797E3D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012D8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6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8C9D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14</w:t>
                  </w:r>
                </w:p>
              </w:tc>
              <w:tc>
                <w:tcPr>
                  <w:tcW w:w="793" w:type="pct"/>
                  <w:tcBorders>
                    <w:top w:val="single" w:color="000000" w:sz="4" w:space="0"/>
                    <w:left w:val="single" w:color="000000" w:sz="4" w:space="0"/>
                    <w:bottom w:val="single" w:color="000000" w:sz="4" w:space="0"/>
                    <w:right w:val="single" w:color="000000" w:sz="4" w:space="0"/>
                  </w:tcBorders>
                  <w:noWrap w:val="0"/>
                  <w:vAlign w:val="center"/>
                </w:tcPr>
                <w:p w14:paraId="41C857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PAM</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14:paraId="681A73E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5D0C64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0.1</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75FC5C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14:paraId="588513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固态</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46BABB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25kg/袋</w:t>
                  </w:r>
                </w:p>
              </w:tc>
              <w:tc>
                <w:tcPr>
                  <w:tcW w:w="629" w:type="pct"/>
                  <w:vMerge w:val="continue"/>
                  <w:tcBorders>
                    <w:left w:val="single" w:color="000000" w:sz="4" w:space="0"/>
                    <w:right w:val="single" w:color="000000" w:sz="4" w:space="0"/>
                  </w:tcBorders>
                  <w:noWrap w:val="0"/>
                  <w:vAlign w:val="center"/>
                </w:tcPr>
                <w:p w14:paraId="46C368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90" w:type="pct"/>
                  <w:vMerge w:val="continue"/>
                  <w:tcBorders>
                    <w:left w:val="single" w:color="000000" w:sz="4" w:space="0"/>
                    <w:right w:val="single" w:color="000000" w:sz="4" w:space="0"/>
                  </w:tcBorders>
                  <w:noWrap w:val="0"/>
                  <w:vAlign w:val="center"/>
                </w:tcPr>
                <w:p w14:paraId="6B8E1E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794D4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6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50C2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793" w:type="pct"/>
                  <w:tcBorders>
                    <w:top w:val="single" w:color="000000" w:sz="4" w:space="0"/>
                    <w:left w:val="single" w:color="000000" w:sz="4" w:space="0"/>
                    <w:bottom w:val="single" w:color="000000" w:sz="4" w:space="0"/>
                    <w:right w:val="single" w:color="000000" w:sz="4" w:space="0"/>
                  </w:tcBorders>
                  <w:noWrap w:val="0"/>
                  <w:vAlign w:val="center"/>
                </w:tcPr>
                <w:p w14:paraId="482DBA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氢氧化钙</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14:paraId="4D9DFE0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2DDE16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0.1</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02CC0B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t</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14:paraId="75542E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固态</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3A26AD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25kg/袋</w:t>
                  </w:r>
                </w:p>
              </w:tc>
              <w:tc>
                <w:tcPr>
                  <w:tcW w:w="629" w:type="pct"/>
                  <w:vMerge w:val="continue"/>
                  <w:tcBorders>
                    <w:left w:val="single" w:color="000000" w:sz="4" w:space="0"/>
                    <w:right w:val="single" w:color="000000" w:sz="4" w:space="0"/>
                  </w:tcBorders>
                  <w:noWrap w:val="0"/>
                  <w:vAlign w:val="center"/>
                </w:tcPr>
                <w:p w14:paraId="07D900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690" w:type="pct"/>
                  <w:vMerge w:val="continue"/>
                  <w:tcBorders>
                    <w:left w:val="single" w:color="000000" w:sz="4" w:space="0"/>
                    <w:right w:val="single" w:color="000000" w:sz="4" w:space="0"/>
                  </w:tcBorders>
                  <w:noWrap w:val="0"/>
                  <w:vAlign w:val="center"/>
                </w:tcPr>
                <w:p w14:paraId="51F4DE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166C7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6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372A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16</w:t>
                  </w:r>
                </w:p>
              </w:tc>
              <w:tc>
                <w:tcPr>
                  <w:tcW w:w="793" w:type="pct"/>
                  <w:tcBorders>
                    <w:top w:val="single" w:color="000000" w:sz="4" w:space="0"/>
                    <w:left w:val="single" w:color="000000" w:sz="4" w:space="0"/>
                    <w:bottom w:val="single" w:color="000000" w:sz="4" w:space="0"/>
                    <w:right w:val="single" w:color="000000" w:sz="4" w:space="0"/>
                  </w:tcBorders>
                  <w:noWrap w:val="0"/>
                  <w:vAlign w:val="center"/>
                </w:tcPr>
                <w:p w14:paraId="63B558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氯化钙</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14:paraId="1F6BCC6B">
                  <w:pPr>
                    <w:keepNext w:val="0"/>
                    <w:keepLines w:val="0"/>
                    <w:widowControl/>
                    <w:suppressLineNumbers w:val="0"/>
                    <w:jc w:val="center"/>
                    <w:textAlignment w:val="center"/>
                    <w:rPr>
                      <w:rFonts w:hint="default"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56B30E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0.1</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085264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t</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14:paraId="5A9FB7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固态</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418E00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25kg/袋</w:t>
                  </w:r>
                </w:p>
              </w:tc>
              <w:tc>
                <w:tcPr>
                  <w:tcW w:w="629" w:type="pct"/>
                  <w:vMerge w:val="continue"/>
                  <w:tcBorders>
                    <w:left w:val="single" w:color="000000" w:sz="4" w:space="0"/>
                    <w:bottom w:val="single" w:color="000000" w:sz="4" w:space="0"/>
                    <w:right w:val="single" w:color="000000" w:sz="4" w:space="0"/>
                  </w:tcBorders>
                  <w:noWrap w:val="0"/>
                  <w:vAlign w:val="center"/>
                </w:tcPr>
                <w:p w14:paraId="25C261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690" w:type="pct"/>
                  <w:vMerge w:val="continue"/>
                  <w:tcBorders>
                    <w:left w:val="single" w:color="000000" w:sz="4" w:space="0"/>
                    <w:bottom w:val="single" w:color="000000" w:sz="4" w:space="0"/>
                    <w:right w:val="single" w:color="000000" w:sz="4" w:space="0"/>
                  </w:tcBorders>
                  <w:noWrap w:val="0"/>
                  <w:vAlign w:val="center"/>
                </w:tcPr>
                <w:p w14:paraId="768A73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39F12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6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BE0F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17</w:t>
                  </w:r>
                </w:p>
              </w:tc>
              <w:tc>
                <w:tcPr>
                  <w:tcW w:w="793" w:type="pct"/>
                  <w:tcBorders>
                    <w:top w:val="single" w:color="000000" w:sz="4" w:space="0"/>
                    <w:left w:val="single" w:color="000000" w:sz="4" w:space="0"/>
                    <w:bottom w:val="single" w:color="000000" w:sz="4" w:space="0"/>
                    <w:right w:val="single" w:color="000000" w:sz="4" w:space="0"/>
                  </w:tcBorders>
                  <w:noWrap w:val="0"/>
                  <w:vAlign w:val="center"/>
                </w:tcPr>
                <w:p w14:paraId="20A2AE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机油</w:t>
                  </w:r>
                </w:p>
                <w:p w14:paraId="69672A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（润滑油）</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14:paraId="6D23B89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5EEFD9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0.1</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3B064E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14:paraId="754815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液态</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79521B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200L/桶</w:t>
                  </w:r>
                </w:p>
              </w:tc>
              <w:tc>
                <w:tcPr>
                  <w:tcW w:w="629" w:type="pct"/>
                  <w:vMerge w:val="restart"/>
                  <w:tcBorders>
                    <w:top w:val="single" w:color="000000" w:sz="4" w:space="0"/>
                    <w:left w:val="single" w:color="000000" w:sz="4" w:space="0"/>
                    <w:bottom w:val="single" w:color="000000" w:sz="4" w:space="0"/>
                    <w:right w:val="single" w:color="000000" w:sz="4" w:space="0"/>
                  </w:tcBorders>
                  <w:noWrap w:val="0"/>
                  <w:vAlign w:val="center"/>
                </w:tcPr>
                <w:p w14:paraId="3BACDA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设备运行维护</w:t>
                  </w:r>
                </w:p>
              </w:tc>
              <w:tc>
                <w:tcPr>
                  <w:tcW w:w="690" w:type="pct"/>
                  <w:vMerge w:val="restart"/>
                  <w:tcBorders>
                    <w:top w:val="single" w:color="000000" w:sz="4" w:space="0"/>
                    <w:left w:val="single" w:color="000000" w:sz="4" w:space="0"/>
                    <w:bottom w:val="single" w:color="000000" w:sz="4" w:space="0"/>
                    <w:right w:val="single" w:color="000000" w:sz="4" w:space="0"/>
                  </w:tcBorders>
                  <w:noWrap w:val="0"/>
                  <w:vAlign w:val="center"/>
                </w:tcPr>
                <w:p w14:paraId="4603FD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5</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厂房</w:t>
                  </w: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化学品仓</w:t>
                  </w:r>
                </w:p>
              </w:tc>
            </w:tr>
            <w:tr w14:paraId="6E15D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60" w:type="pct"/>
                  <w:tcBorders>
                    <w:top w:val="single" w:color="000000" w:sz="4" w:space="0"/>
                    <w:left w:val="single" w:color="000000" w:sz="4" w:space="0"/>
                    <w:bottom w:val="single" w:color="000000" w:sz="4" w:space="0"/>
                    <w:right w:val="single" w:color="000000" w:sz="4" w:space="0"/>
                  </w:tcBorders>
                  <w:noWrap w:val="0"/>
                  <w:vAlign w:val="center"/>
                </w:tcPr>
                <w:p w14:paraId="36FEB0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793" w:type="pct"/>
                  <w:tcBorders>
                    <w:top w:val="single" w:color="000000" w:sz="4" w:space="0"/>
                    <w:left w:val="single" w:color="000000" w:sz="4" w:space="0"/>
                    <w:bottom w:val="single" w:color="000000" w:sz="4" w:space="0"/>
                    <w:right w:val="single" w:color="000000" w:sz="4" w:space="0"/>
                  </w:tcBorders>
                  <w:noWrap w:val="0"/>
                  <w:vAlign w:val="center"/>
                </w:tcPr>
                <w:p w14:paraId="2A1A0A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液压油</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14:paraId="7ABF2C9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64D3CE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0.1</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2DD474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14:paraId="7CBAE5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液态</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55CE04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200L/桶</w:t>
                  </w:r>
                </w:p>
              </w:tc>
              <w:tc>
                <w:tcPr>
                  <w:tcW w:w="6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56ACE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6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7A962A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31E6B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5000" w:type="pct"/>
                  <w:gridSpan w:val="9"/>
                  <w:vMerge w:val="restart"/>
                  <w:tcBorders>
                    <w:top w:val="single" w:color="000000" w:sz="4" w:space="0"/>
                    <w:left w:val="single" w:color="000000" w:sz="4" w:space="0"/>
                    <w:bottom w:val="single" w:color="000000" w:sz="4" w:space="0"/>
                    <w:right w:val="single" w:color="000000" w:sz="4" w:space="0"/>
                  </w:tcBorders>
                  <w:noWrap w:val="0"/>
                  <w:vAlign w:val="center"/>
                </w:tcPr>
                <w:p w14:paraId="39958D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注：</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①铝的密度为按2.7×10</w:t>
                  </w:r>
                  <w:r>
                    <w:rPr>
                      <w:rFonts w:hint="eastAsia"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千克/m³计算，项目年处理铝卷</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0万m</w:t>
                  </w:r>
                  <w:r>
                    <w:rPr>
                      <w:rFonts w:hint="default" w:ascii="Times New Roman" w:hAnsi="Times New Roman" w:eastAsia="宋体"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，铝卷厚度为3mm，计算铝卷重量为</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91</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0t/a。</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②</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工件表面预处理</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生产线：</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根据建设单位提供资料，固化炉年用天然气182248 m³。</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③厂区内不设天然气储存装置，故本项目按管道中的天然气量计算最大储存量，厂区内天然气管道长度约</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18</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0m，管径40mm，密度0.7174kg/m</w:t>
                  </w:r>
                  <w:r>
                    <w:rPr>
                      <w:rFonts w:hint="default" w:ascii="Times New Roman" w:hAnsi="Times New Roman" w:eastAsia="宋体"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固化区</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配备</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根燃气管道。则本项目厂区内最大储存量=天然气管道截面积×厂区内长度×密度×管数，约为</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0.00032</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w:t>
                  </w:r>
                </w:p>
                <w:p w14:paraId="59300A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both"/>
                    <w:textAlignment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④除油剂用量：除油</w:t>
                  </w:r>
                  <w:r>
                    <w:rPr>
                      <w:rFonts w:hint="eastAsia"/>
                      <w:color w:val="000000" w:themeColor="text1"/>
                      <w:sz w:val="21"/>
                      <w:szCs w:val="21"/>
                      <w14:textFill>
                        <w14:solidFill>
                          <w14:schemeClr w14:val="tx1"/>
                        </w14:solidFill>
                      </w14:textFill>
                    </w:rPr>
                    <w:t>工艺浓度</w:t>
                  </w:r>
                  <w:r>
                    <w:rPr>
                      <w:rFonts w:hint="eastAsia"/>
                      <w:color w:val="000000" w:themeColor="text1"/>
                      <w:sz w:val="21"/>
                      <w:szCs w:val="21"/>
                      <w:lang w:val="en-US" w:eastAsia="zh-CN"/>
                      <w14:textFill>
                        <w14:solidFill>
                          <w14:schemeClr w14:val="tx1"/>
                        </w14:solidFill>
                      </w14:textFill>
                    </w:rPr>
                    <w:t>1~3%（本项目取3%，质量分数），</w:t>
                  </w:r>
                  <w:r>
                    <w:rPr>
                      <w:rFonts w:hint="eastAsia" w:cs="Times New Roman"/>
                      <w:b w:val="0"/>
                      <w:bCs w:val="0"/>
                      <w:color w:val="000000" w:themeColor="text1"/>
                      <w:sz w:val="21"/>
                      <w:szCs w:val="21"/>
                      <w:vertAlign w:val="baseline"/>
                      <w:lang w:val="en-US" w:eastAsia="zh-CN"/>
                      <w14:textFill>
                        <w14:solidFill>
                          <w14:schemeClr w14:val="tx1"/>
                        </w14:solidFill>
                      </w14:textFill>
                    </w:rPr>
                    <w:t>工作槽液密度约 1.002kg/L（t/m</w:t>
                  </w:r>
                  <w:r>
                    <w:rPr>
                      <w:rFonts w:hint="eastAsia" w:cs="Times New Roman"/>
                      <w:b w:val="0"/>
                      <w:bCs w:val="0"/>
                      <w:color w:val="000000" w:themeColor="text1"/>
                      <w:sz w:val="21"/>
                      <w:szCs w:val="21"/>
                      <w:vertAlign w:val="superscript"/>
                      <w:lang w:val="en-US" w:eastAsia="zh-CN"/>
                      <w14:textFill>
                        <w14:solidFill>
                          <w14:schemeClr w14:val="tx1"/>
                        </w14:solidFill>
                      </w14:textFill>
                    </w:rPr>
                    <w:t>3</w:t>
                  </w:r>
                  <w:r>
                    <w:rPr>
                      <w:rFonts w:hint="eastAsia" w:cs="Times New Roman"/>
                      <w:b w:val="0"/>
                      <w:bCs w:val="0"/>
                      <w:color w:val="000000" w:themeColor="text1"/>
                      <w:sz w:val="21"/>
                      <w:szCs w:val="21"/>
                      <w:vertAlign w:val="baseline"/>
                      <w:lang w:val="en-US" w:eastAsia="zh-CN"/>
                      <w14:textFill>
                        <w14:solidFill>
                          <w14:schemeClr w14:val="tx1"/>
                        </w14:solidFill>
                      </w14:textFill>
                    </w:rPr>
                    <w:t>）</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预脱脂池、脱脂</w:t>
                  </w:r>
                  <w:r>
                    <w:rPr>
                      <w:rFonts w:hint="eastAsia"/>
                      <w:color w:val="000000" w:themeColor="text1"/>
                      <w:sz w:val="21"/>
                      <w:szCs w:val="21"/>
                      <w14:textFill>
                        <w14:solidFill>
                          <w14:schemeClr w14:val="tx1"/>
                        </w14:solidFill>
                      </w14:textFill>
                    </w:rPr>
                    <w:t>池</w:t>
                  </w:r>
                  <w:r>
                    <w:rPr>
                      <w:rFonts w:hint="eastAsia"/>
                      <w:color w:val="000000" w:themeColor="text1"/>
                      <w:sz w:val="21"/>
                      <w:szCs w:val="21"/>
                      <w:lang w:val="en-US" w:eastAsia="zh-CN"/>
                      <w14:textFill>
                        <w14:solidFill>
                          <w14:schemeClr w14:val="tx1"/>
                        </w14:solidFill>
                      </w14:textFill>
                    </w:rPr>
                    <w:t>定期更换槽液量179.2m</w:t>
                  </w:r>
                  <w:r>
                    <w:rPr>
                      <w:rFonts w:hint="eastAsia"/>
                      <w:color w:val="000000" w:themeColor="text1"/>
                      <w:sz w:val="21"/>
                      <w:szCs w:val="21"/>
                      <w:vertAlign w:val="superscript"/>
                      <w:lang w:val="en-US" w:eastAsia="zh-CN"/>
                      <w14:textFill>
                        <w14:solidFill>
                          <w14:schemeClr w14:val="tx1"/>
                        </w14:solidFill>
                      </w14:textFill>
                    </w:rPr>
                    <w:t>3</w:t>
                  </w:r>
                  <w:r>
                    <w:rPr>
                      <w:rFonts w:hint="eastAsia"/>
                      <w:color w:val="000000" w:themeColor="text1"/>
                      <w:sz w:val="21"/>
                      <w:szCs w:val="21"/>
                      <w:lang w:val="en-US" w:eastAsia="zh-CN"/>
                      <w14:textFill>
                        <w14:solidFill>
                          <w14:schemeClr w14:val="tx1"/>
                        </w14:solidFill>
                      </w14:textFill>
                    </w:rPr>
                    <w:t>，对应除油剂</w:t>
                  </w:r>
                  <w:r>
                    <w:rPr>
                      <w:rFonts w:hint="eastAsia"/>
                      <w:color w:val="000000" w:themeColor="text1"/>
                      <w:sz w:val="21"/>
                      <w:szCs w:val="21"/>
                      <w14:textFill>
                        <w14:solidFill>
                          <w14:schemeClr w14:val="tx1"/>
                        </w14:solidFill>
                      </w14:textFill>
                    </w:rPr>
                    <w:t>用量为</w:t>
                  </w:r>
                  <w:r>
                    <w:rPr>
                      <w:rFonts w:hint="eastAsia"/>
                      <w:color w:val="000000" w:themeColor="text1"/>
                      <w:sz w:val="21"/>
                      <w:szCs w:val="21"/>
                      <w:lang w:val="en-US" w:eastAsia="zh-CN"/>
                      <w14:textFill>
                        <w14:solidFill>
                          <w14:schemeClr w14:val="tx1"/>
                        </w14:solidFill>
                      </w14:textFill>
                    </w:rPr>
                    <w:t>=槽液</w:t>
                  </w:r>
                  <w:r>
                    <w:rPr>
                      <w:rFonts w:hint="eastAsia"/>
                      <w:color w:val="000000" w:themeColor="text1"/>
                      <w:sz w:val="21"/>
                      <w:szCs w:val="21"/>
                      <w14:textFill>
                        <w14:solidFill>
                          <w14:schemeClr w14:val="tx1"/>
                        </w14:solidFill>
                      </w14:textFill>
                    </w:rPr>
                    <w:t>年更换量×工艺浓度=</w:t>
                  </w:r>
                  <w:r>
                    <w:rPr>
                      <w:rFonts w:hint="eastAsia"/>
                      <w:color w:val="000000" w:themeColor="text1"/>
                      <w:sz w:val="21"/>
                      <w:szCs w:val="21"/>
                      <w:lang w:val="en-US" w:eastAsia="zh-CN"/>
                      <w14:textFill>
                        <w14:solidFill>
                          <w14:schemeClr w14:val="tx1"/>
                        </w14:solidFill>
                      </w14:textFill>
                    </w:rPr>
                    <w:t>179.2m</w:t>
                  </w:r>
                  <w:r>
                    <w:rPr>
                      <w:rFonts w:hint="eastAsia"/>
                      <w:color w:val="000000" w:themeColor="text1"/>
                      <w:sz w:val="21"/>
                      <w:szCs w:val="21"/>
                      <w:vertAlign w:val="superscript"/>
                      <w:lang w:val="en-US" w:eastAsia="zh-CN"/>
                      <w14:textFill>
                        <w14:solidFill>
                          <w14:schemeClr w14:val="tx1"/>
                        </w14:solidFill>
                      </w14:textFill>
                    </w:rPr>
                    <w:t>3</w:t>
                  </w:r>
                  <w:r>
                    <w:rPr>
                      <w:rFonts w:hint="eastAsia"/>
                      <w:color w:val="000000" w:themeColor="text1"/>
                      <w:sz w:val="21"/>
                      <w:szCs w:val="21"/>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a×3%×1.002kg/L</w:t>
                  </w:r>
                  <w:r>
                    <w:rPr>
                      <w:rFonts w:hint="eastAsia"/>
                      <w:color w:val="000000" w:themeColor="text1"/>
                      <w:sz w:val="21"/>
                      <w:szCs w:val="21"/>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5.387</w:t>
                  </w:r>
                  <w:r>
                    <w:rPr>
                      <w:rFonts w:hint="eastAsia"/>
                      <w:color w:val="000000" w:themeColor="text1"/>
                      <w:sz w:val="21"/>
                      <w:szCs w:val="21"/>
                      <w14:textFill>
                        <w14:solidFill>
                          <w14:schemeClr w14:val="tx1"/>
                        </w14:solidFill>
                      </w14:textFill>
                    </w:rPr>
                    <w:t>t/</w:t>
                  </w:r>
                  <w:r>
                    <w:rPr>
                      <w:rFonts w:hint="eastAsia"/>
                      <w:color w:val="000000" w:themeColor="text1"/>
                      <w:sz w:val="21"/>
                      <w:szCs w:val="21"/>
                      <w:lang w:val="en-US" w:eastAsia="zh-CN"/>
                      <w14:textFill>
                        <w14:solidFill>
                          <w14:schemeClr w14:val="tx1"/>
                        </w14:solidFill>
                      </w14:textFill>
                    </w:rPr>
                    <w:t>a。参考《污染源源强核算技术指南 电镀》（HJ984-2018）中附录 D 不同形状镀件镀液带出量参考值一览表中简单镀件形状的自动线挂镀的镀液带出量＜0.1L/m</w:t>
                  </w:r>
                  <w:r>
                    <w:rPr>
                      <w:rFonts w:hint="eastAsia"/>
                      <w:color w:val="000000" w:themeColor="text1"/>
                      <w:sz w:val="21"/>
                      <w:szCs w:val="21"/>
                      <w:vertAlign w:val="superscript"/>
                      <w:lang w:val="en-US" w:eastAsia="zh-CN"/>
                      <w14:textFill>
                        <w14:solidFill>
                          <w14:schemeClr w14:val="tx1"/>
                        </w14:solidFill>
                      </w14:textFill>
                    </w:rPr>
                    <w:t>2</w:t>
                  </w:r>
                  <w:r>
                    <w:rPr>
                      <w:rFonts w:hint="eastAsia"/>
                      <w:color w:val="000000" w:themeColor="text1"/>
                      <w:sz w:val="21"/>
                      <w:szCs w:val="21"/>
                      <w:lang w:val="en-US" w:eastAsia="zh-CN"/>
                      <w14:textFill>
                        <w14:solidFill>
                          <w14:schemeClr w14:val="tx1"/>
                        </w14:solidFill>
                      </w14:textFill>
                    </w:rPr>
                    <w:t xml:space="preserve"> ， 取 值 0.1L/m</w:t>
                  </w:r>
                  <w:r>
                    <w:rPr>
                      <w:rFonts w:hint="eastAsia"/>
                      <w:color w:val="000000" w:themeColor="text1"/>
                      <w:sz w:val="21"/>
                      <w:szCs w:val="21"/>
                      <w:vertAlign w:val="superscript"/>
                      <w:lang w:val="en-US" w:eastAsia="zh-CN"/>
                      <w14:textFill>
                        <w14:solidFill>
                          <w14:schemeClr w14:val="tx1"/>
                        </w14:solidFill>
                      </w14:textFill>
                    </w:rPr>
                    <w:t>2</w:t>
                  </w:r>
                  <w:r>
                    <w:rPr>
                      <w:rFonts w:hint="eastAsia"/>
                      <w:color w:val="000000" w:themeColor="text1"/>
                      <w:sz w:val="21"/>
                      <w:szCs w:val="21"/>
                      <w:lang w:val="en-US" w:eastAsia="zh-CN"/>
                      <w14:textFill>
                        <w14:solidFill>
                          <w14:schemeClr w14:val="tx1"/>
                        </w14:solidFill>
                      </w14:textFill>
                    </w:rPr>
                    <w:t xml:space="preserve"> 。工件带出量为0.1L/m</w:t>
                  </w:r>
                  <w:r>
                    <w:rPr>
                      <w:rFonts w:hint="eastAsia"/>
                      <w:color w:val="000000" w:themeColor="text1"/>
                      <w:sz w:val="21"/>
                      <w:szCs w:val="21"/>
                      <w:vertAlign w:val="superscript"/>
                      <w:lang w:val="en-US" w:eastAsia="zh-CN"/>
                      <w14:textFill>
                        <w14:solidFill>
                          <w14:schemeClr w14:val="tx1"/>
                        </w14:solidFill>
                      </w14:textFill>
                    </w:rPr>
                    <w:t>2</w:t>
                  </w:r>
                  <w:r>
                    <w:rPr>
                      <w:rFonts w:hint="eastAsia"/>
                      <w:color w:val="000000" w:themeColor="text1"/>
                      <w:sz w:val="21"/>
                      <w:szCs w:val="21"/>
                      <w:lang w:val="en-US" w:eastAsia="zh-CN"/>
                      <w14:textFill>
                        <w14:solidFill>
                          <w14:schemeClr w14:val="tx1"/>
                        </w14:solidFill>
                      </w14:textFill>
                    </w:rPr>
                    <w:t xml:space="preserve"> × 1100000m</w:t>
                  </w:r>
                  <w:r>
                    <w:rPr>
                      <w:rFonts w:hint="eastAsia"/>
                      <w:color w:val="000000" w:themeColor="text1"/>
                      <w:sz w:val="21"/>
                      <w:szCs w:val="21"/>
                      <w:vertAlign w:val="superscript"/>
                      <w:lang w:val="en-US" w:eastAsia="zh-CN"/>
                      <w14:textFill>
                        <w14:solidFill>
                          <w14:schemeClr w14:val="tx1"/>
                        </w14:solidFill>
                      </w14:textFill>
                    </w:rPr>
                    <w:t>2</w:t>
                  </w:r>
                  <w:r>
                    <w:rPr>
                      <w:rFonts w:hint="eastAsia"/>
                      <w:color w:val="000000" w:themeColor="text1"/>
                      <w:sz w:val="21"/>
                      <w:szCs w:val="21"/>
                      <w:lang w:val="en-US" w:eastAsia="zh-CN"/>
                      <w14:textFill>
                        <w14:solidFill>
                          <w14:schemeClr w14:val="tx1"/>
                        </w14:solidFill>
                      </w14:textFill>
                    </w:rPr>
                    <w:t xml:space="preserve"> ×1.002k</w:t>
                  </w:r>
                  <w:r>
                    <w:rPr>
                      <w:rFonts w:hint="eastAsia" w:cs="Times New Roman"/>
                      <w:b w:val="0"/>
                      <w:bCs w:val="0"/>
                      <w:color w:val="000000" w:themeColor="text1"/>
                      <w:sz w:val="21"/>
                      <w:szCs w:val="21"/>
                      <w:vertAlign w:val="baseline"/>
                      <w:lang w:val="en-US" w:eastAsia="zh-CN"/>
                      <w14:textFill>
                        <w14:solidFill>
                          <w14:schemeClr w14:val="tx1"/>
                        </w14:solidFill>
                      </w14:textFill>
                    </w:rPr>
                    <w:t>g/L</w:t>
                  </w:r>
                  <w:r>
                    <w:rPr>
                      <w:rFonts w:hint="eastAsia"/>
                      <w:color w:val="000000" w:themeColor="text1"/>
                      <w:sz w:val="21"/>
                      <w:szCs w:val="21"/>
                      <w:vertAlign w:val="baseline"/>
                      <w:lang w:val="en-US" w:eastAsia="zh-CN"/>
                      <w14:textFill>
                        <w14:solidFill>
                          <w14:schemeClr w14:val="tx1"/>
                        </w14:solidFill>
                      </w14:textFill>
                    </w:rPr>
                    <w:t>×3%</w:t>
                  </w:r>
                  <w:r>
                    <w:rPr>
                      <w:rFonts w:hint="eastAsia"/>
                      <w:color w:val="000000" w:themeColor="text1"/>
                      <w:sz w:val="21"/>
                      <w:szCs w:val="21"/>
                      <w:lang w:val="en-US" w:eastAsia="zh-CN"/>
                      <w14:textFill>
                        <w14:solidFill>
                          <w14:schemeClr w14:val="tx1"/>
                        </w14:solidFill>
                      </w14:textFill>
                    </w:rPr>
                    <w:t>× 10</w:t>
                  </w:r>
                  <w:r>
                    <w:rPr>
                      <w:rFonts w:hint="eastAsia"/>
                      <w:color w:val="000000" w:themeColor="text1"/>
                      <w:sz w:val="21"/>
                      <w:szCs w:val="21"/>
                      <w:vertAlign w:val="superscript"/>
                      <w:lang w:val="en-US" w:eastAsia="zh-CN"/>
                      <w14:textFill>
                        <w14:solidFill>
                          <w14:schemeClr w14:val="tx1"/>
                        </w14:solidFill>
                      </w14:textFill>
                    </w:rPr>
                    <w:t>-3</w:t>
                  </w:r>
                  <w:r>
                    <w:rPr>
                      <w:rFonts w:hint="eastAsia"/>
                      <w:color w:val="000000" w:themeColor="text1"/>
                      <w:sz w:val="21"/>
                      <w:szCs w:val="21"/>
                      <w:lang w:val="en-US" w:eastAsia="zh-CN"/>
                      <w14:textFill>
                        <w14:solidFill>
                          <w14:schemeClr w14:val="tx1"/>
                        </w14:solidFill>
                      </w14:textFill>
                    </w:rPr>
                    <w:t>= 3.307t/a。根据建设单位提供数据，单位面积工件除油剂消耗量为0.0083kg/m</w:t>
                  </w:r>
                  <w:r>
                    <w:rPr>
                      <w:rFonts w:hint="eastAsia"/>
                      <w:color w:val="000000" w:themeColor="text1"/>
                      <w:sz w:val="21"/>
                      <w:szCs w:val="21"/>
                      <w:vertAlign w:val="superscript"/>
                      <w:lang w:val="en-US" w:eastAsia="zh-CN"/>
                      <w14:textFill>
                        <w14:solidFill>
                          <w14:schemeClr w14:val="tx1"/>
                        </w14:solidFill>
                      </w14:textFill>
                    </w:rPr>
                    <w:t>2</w:t>
                  </w:r>
                  <w:r>
                    <w:rPr>
                      <w:rFonts w:hint="eastAsia"/>
                      <w:color w:val="000000" w:themeColor="text1"/>
                      <w:sz w:val="21"/>
                      <w:szCs w:val="21"/>
                      <w:vertAlign w:val="baseline"/>
                      <w:lang w:val="en-US" w:eastAsia="zh-CN"/>
                      <w14:textFill>
                        <w14:solidFill>
                          <w14:schemeClr w14:val="tx1"/>
                        </w14:solidFill>
                      </w14:textFill>
                    </w:rPr>
                    <w:t>，则</w:t>
                  </w:r>
                  <w:r>
                    <w:rPr>
                      <w:rFonts w:hint="eastAsia"/>
                      <w:color w:val="000000" w:themeColor="text1"/>
                      <w:sz w:val="21"/>
                      <w:szCs w:val="21"/>
                      <w:lang w:val="en-US" w:eastAsia="zh-CN"/>
                      <w14:textFill>
                        <w14:solidFill>
                          <w14:schemeClr w14:val="tx1"/>
                        </w14:solidFill>
                      </w14:textFill>
                    </w:rPr>
                    <w:t>生产消耗量为0.0083kg/m</w:t>
                  </w:r>
                  <w:r>
                    <w:rPr>
                      <w:rFonts w:hint="eastAsia"/>
                      <w:color w:val="000000" w:themeColor="text1"/>
                      <w:sz w:val="21"/>
                      <w:szCs w:val="21"/>
                      <w:vertAlign w:val="superscript"/>
                      <w:lang w:val="en-US" w:eastAsia="zh-CN"/>
                      <w14:textFill>
                        <w14:solidFill>
                          <w14:schemeClr w14:val="tx1"/>
                        </w14:solidFill>
                      </w14:textFill>
                    </w:rPr>
                    <w:t>2</w:t>
                  </w:r>
                  <w:r>
                    <w:rPr>
                      <w:rFonts w:hint="eastAsia"/>
                      <w:color w:val="000000" w:themeColor="text1"/>
                      <w:sz w:val="21"/>
                      <w:szCs w:val="21"/>
                      <w:lang w:val="en-US" w:eastAsia="zh-CN"/>
                      <w14:textFill>
                        <w14:solidFill>
                          <w14:schemeClr w14:val="tx1"/>
                        </w14:solidFill>
                      </w14:textFill>
                    </w:rPr>
                    <w:t>×1100000m</w:t>
                  </w:r>
                  <w:r>
                    <w:rPr>
                      <w:rFonts w:hint="eastAsia"/>
                      <w:color w:val="000000" w:themeColor="text1"/>
                      <w:sz w:val="21"/>
                      <w:szCs w:val="21"/>
                      <w:vertAlign w:val="superscript"/>
                      <w:lang w:val="en-US" w:eastAsia="zh-CN"/>
                      <w14:textFill>
                        <w14:solidFill>
                          <w14:schemeClr w14:val="tx1"/>
                        </w14:solidFill>
                      </w14:textFill>
                    </w:rPr>
                    <w:t>2</w:t>
                  </w:r>
                  <w:r>
                    <w:rPr>
                      <w:rFonts w:hint="eastAsia"/>
                      <w:color w:val="000000" w:themeColor="text1"/>
                      <w:sz w:val="21"/>
                      <w:szCs w:val="21"/>
                      <w:lang w:val="en-US" w:eastAsia="zh-CN"/>
                      <w14:textFill>
                        <w14:solidFill>
                          <w14:schemeClr w14:val="tx1"/>
                        </w14:solidFill>
                      </w14:textFill>
                    </w:rPr>
                    <w:t xml:space="preserve"> × 10</w:t>
                  </w:r>
                  <w:r>
                    <w:rPr>
                      <w:rFonts w:hint="eastAsia"/>
                      <w:color w:val="000000" w:themeColor="text1"/>
                      <w:sz w:val="21"/>
                      <w:szCs w:val="21"/>
                      <w:vertAlign w:val="superscript"/>
                      <w:lang w:val="en-US" w:eastAsia="zh-CN"/>
                      <w14:textFill>
                        <w14:solidFill>
                          <w14:schemeClr w14:val="tx1"/>
                        </w14:solidFill>
                      </w14:textFill>
                    </w:rPr>
                    <w:t>-3</w:t>
                  </w:r>
                  <w:r>
                    <w:rPr>
                      <w:rFonts w:hint="eastAsia"/>
                      <w:color w:val="000000" w:themeColor="text1"/>
                      <w:sz w:val="21"/>
                      <w:szCs w:val="21"/>
                      <w:vertAlign w:val="baseline"/>
                      <w:lang w:val="en-US" w:eastAsia="zh-CN"/>
                      <w14:textFill>
                        <w14:solidFill>
                          <w14:schemeClr w14:val="tx1"/>
                        </w14:solidFill>
                      </w14:textFill>
                    </w:rPr>
                    <w:t>=9.13t/a。</w:t>
                  </w:r>
                  <w:r>
                    <w:rPr>
                      <w:rFonts w:hint="eastAsia"/>
                      <w:color w:val="000000" w:themeColor="text1"/>
                      <w:sz w:val="21"/>
                      <w:szCs w:val="21"/>
                      <w:lang w:val="en-US" w:eastAsia="zh-CN"/>
                      <w14:textFill>
                        <w14:solidFill>
                          <w14:schemeClr w14:val="tx1"/>
                        </w14:solidFill>
                      </w14:textFill>
                    </w:rPr>
                    <w:t>以上</w:t>
                  </w:r>
                  <w:r>
                    <w:rPr>
                      <w:rFonts w:hint="eastAsia"/>
                      <w:color w:val="000000" w:themeColor="text1"/>
                      <w:sz w:val="21"/>
                      <w:szCs w:val="21"/>
                      <w14:textFill>
                        <w14:solidFill>
                          <w14:schemeClr w14:val="tx1"/>
                        </w14:solidFill>
                      </w14:textFill>
                    </w:rPr>
                    <w:t>合计</w:t>
                  </w:r>
                  <w:r>
                    <w:rPr>
                      <w:rFonts w:hint="eastAsia"/>
                      <w:color w:val="000000" w:themeColor="text1"/>
                      <w:sz w:val="21"/>
                      <w:szCs w:val="21"/>
                      <w:lang w:val="en-US" w:eastAsia="zh-CN"/>
                      <w14:textFill>
                        <w14:solidFill>
                          <w14:schemeClr w14:val="tx1"/>
                        </w14:solidFill>
                      </w14:textFill>
                    </w:rPr>
                    <w:t>除油剂用量为=5.387+3.307+9.13=17.824</w:t>
                  </w:r>
                  <w:r>
                    <w:rPr>
                      <w:rFonts w:hint="eastAsia"/>
                      <w:color w:val="000000" w:themeColor="text1"/>
                      <w:sz w:val="21"/>
                      <w:szCs w:val="21"/>
                      <w14:textFill>
                        <w14:solidFill>
                          <w14:schemeClr w14:val="tx1"/>
                        </w14:solidFill>
                      </w14:textFill>
                    </w:rPr>
                    <w:t>t/a</w:t>
                  </w:r>
                  <w:r>
                    <w:rPr>
                      <w:rFonts w:hint="eastAsia"/>
                      <w:color w:val="000000" w:themeColor="text1"/>
                      <w:sz w:val="21"/>
                      <w:szCs w:val="21"/>
                      <w:lang w:eastAsia="zh-CN"/>
                      <w14:textFill>
                        <w14:solidFill>
                          <w14:schemeClr w14:val="tx1"/>
                        </w14:solidFill>
                      </w14:textFill>
                    </w:rPr>
                    <w:t>。</w:t>
                  </w:r>
                </w:p>
                <w:p w14:paraId="5E499B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⑤无铬钝化剂用量：</w:t>
                  </w:r>
                  <w:r>
                    <w:rPr>
                      <w:rFonts w:hint="eastAsia"/>
                      <w:color w:val="000000" w:themeColor="text1"/>
                      <w:sz w:val="21"/>
                      <w:szCs w:val="21"/>
                      <w14:textFill>
                        <w14:solidFill>
                          <w14:schemeClr w14:val="tx1"/>
                        </w14:solidFill>
                      </w14:textFill>
                    </w:rPr>
                    <w:t>钝化工艺浓度</w:t>
                  </w:r>
                  <w:r>
                    <w:rPr>
                      <w:rFonts w:hint="eastAsia"/>
                      <w:color w:val="000000" w:themeColor="text1"/>
                      <w:sz w:val="21"/>
                      <w:szCs w:val="21"/>
                      <w:lang w:val="en-US" w:eastAsia="zh-CN"/>
                      <w14:textFill>
                        <w14:solidFill>
                          <w14:schemeClr w14:val="tx1"/>
                        </w14:solidFill>
                      </w14:textFill>
                    </w:rPr>
                    <w:t>为1%</w:t>
                  </w:r>
                  <w:r>
                    <w:rPr>
                      <w:rFonts w:hint="eastAsia"/>
                      <w:color w:val="000000" w:themeColor="text1"/>
                      <w:sz w:val="21"/>
                      <w:szCs w:val="21"/>
                      <w14:textFill>
                        <w14:solidFill>
                          <w14:schemeClr w14:val="tx1"/>
                        </w14:solidFill>
                      </w14:textFill>
                    </w:rPr>
                    <w:t>，</w:t>
                  </w:r>
                  <w:r>
                    <w:rPr>
                      <w:rFonts w:hint="eastAsia" w:cs="Times New Roman"/>
                      <w:b w:val="0"/>
                      <w:bCs w:val="0"/>
                      <w:color w:val="000000" w:themeColor="text1"/>
                      <w:sz w:val="21"/>
                      <w:szCs w:val="21"/>
                      <w:lang w:val="en-US" w:eastAsia="zh-CN"/>
                      <w14:textFill>
                        <w14:solidFill>
                          <w14:schemeClr w14:val="tx1"/>
                        </w14:solidFill>
                      </w14:textFill>
                    </w:rPr>
                    <w:t>密</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度:1.32~1.43g/cm</w:t>
                  </w:r>
                  <w:r>
                    <w:rPr>
                      <w:rFonts w:hint="default" w:ascii="Times New Roman" w:hAnsi="Times New Roman" w:cs="Times New Roman"/>
                      <w:b w:val="0"/>
                      <w:bCs w:val="0"/>
                      <w:color w:val="000000" w:themeColor="text1"/>
                      <w:sz w:val="21"/>
                      <w:szCs w:val="21"/>
                      <w:vertAlign w:val="superscript"/>
                      <w:lang w:val="en-US" w:eastAsia="zh-CN"/>
                      <w14:textFill>
                        <w14:solidFill>
                          <w14:schemeClr w14:val="tx1"/>
                        </w14:solidFill>
                      </w14:textFill>
                    </w:rPr>
                    <w:t>3</w:t>
                  </w:r>
                  <w:r>
                    <w:rPr>
                      <w:rFonts w:hint="eastAsia" w:cs="Times New Roman"/>
                      <w:b w:val="0"/>
                      <w:bCs w:val="0"/>
                      <w:color w:val="000000" w:themeColor="text1"/>
                      <w:sz w:val="21"/>
                      <w:szCs w:val="21"/>
                      <w:vertAlign w:val="baseline"/>
                      <w:lang w:val="en-US" w:eastAsia="zh-CN"/>
                      <w14:textFill>
                        <w14:solidFill>
                          <w14:schemeClr w14:val="tx1"/>
                        </w14:solidFill>
                      </w14:textFill>
                    </w:rPr>
                    <w:t>，工作槽液密度约 1.003kg/L。</w:t>
                  </w:r>
                  <w:r>
                    <w:rPr>
                      <w:rFonts w:hint="eastAsia"/>
                      <w:color w:val="000000" w:themeColor="text1"/>
                      <w:sz w:val="21"/>
                      <w:szCs w:val="21"/>
                      <w:lang w:val="en-US" w:eastAsia="zh-CN"/>
                      <w14:textFill>
                        <w14:solidFill>
                          <w14:schemeClr w14:val="tx1"/>
                        </w14:solidFill>
                      </w14:textFill>
                    </w:rPr>
                    <w:t>无铬钝化定期更换槽液44.8m</w:t>
                  </w:r>
                  <w:r>
                    <w:rPr>
                      <w:rFonts w:hint="eastAsia"/>
                      <w:color w:val="000000" w:themeColor="text1"/>
                      <w:sz w:val="21"/>
                      <w:szCs w:val="21"/>
                      <w:vertAlign w:val="superscript"/>
                      <w:lang w:val="en-US" w:eastAsia="zh-CN"/>
                      <w14:textFill>
                        <w14:solidFill>
                          <w14:schemeClr w14:val="tx1"/>
                        </w14:solidFill>
                      </w14:textFill>
                    </w:rPr>
                    <w:t>3</w:t>
                  </w:r>
                  <w:r>
                    <w:rPr>
                      <w:rFonts w:hint="eastAsia"/>
                      <w:color w:val="000000" w:themeColor="text1"/>
                      <w:sz w:val="21"/>
                      <w:szCs w:val="21"/>
                      <w:lang w:val="en-US" w:eastAsia="zh-CN"/>
                      <w14:textFill>
                        <w14:solidFill>
                          <w14:schemeClr w14:val="tx1"/>
                        </w14:solidFill>
                      </w14:textFill>
                    </w:rPr>
                    <w:t>，对应无铬钝化剂</w:t>
                  </w:r>
                  <w:r>
                    <w:rPr>
                      <w:rFonts w:hint="eastAsia"/>
                      <w:color w:val="000000" w:themeColor="text1"/>
                      <w:sz w:val="21"/>
                      <w:szCs w:val="21"/>
                      <w14:textFill>
                        <w14:solidFill>
                          <w14:schemeClr w14:val="tx1"/>
                        </w14:solidFill>
                      </w14:textFill>
                    </w:rPr>
                    <w:t>用量为</w:t>
                  </w:r>
                  <w:r>
                    <w:rPr>
                      <w:rFonts w:hint="eastAsia"/>
                      <w:color w:val="000000" w:themeColor="text1"/>
                      <w:sz w:val="21"/>
                      <w:szCs w:val="21"/>
                      <w:lang w:val="en-US" w:eastAsia="zh-CN"/>
                      <w14:textFill>
                        <w14:solidFill>
                          <w14:schemeClr w14:val="tx1"/>
                        </w14:solidFill>
                      </w14:textFill>
                    </w:rPr>
                    <w:t>=槽液</w:t>
                  </w:r>
                  <w:r>
                    <w:rPr>
                      <w:rFonts w:hint="eastAsia"/>
                      <w:color w:val="000000" w:themeColor="text1"/>
                      <w:sz w:val="21"/>
                      <w:szCs w:val="21"/>
                      <w14:textFill>
                        <w14:solidFill>
                          <w14:schemeClr w14:val="tx1"/>
                        </w14:solidFill>
                      </w14:textFill>
                    </w:rPr>
                    <w:t>年更换量×工艺浓度=</w:t>
                  </w:r>
                  <w:r>
                    <w:rPr>
                      <w:rFonts w:hint="eastAsia"/>
                      <w:color w:val="000000" w:themeColor="text1"/>
                      <w:sz w:val="21"/>
                      <w:szCs w:val="21"/>
                      <w:lang w:val="en-US" w:eastAsia="zh-CN"/>
                      <w14:textFill>
                        <w14:solidFill>
                          <w14:schemeClr w14:val="tx1"/>
                        </w14:solidFill>
                      </w14:textFill>
                    </w:rPr>
                    <w:t>44.8m</w:t>
                  </w:r>
                  <w:r>
                    <w:rPr>
                      <w:rFonts w:hint="eastAsia"/>
                      <w:color w:val="000000" w:themeColor="text1"/>
                      <w:sz w:val="21"/>
                      <w:szCs w:val="21"/>
                      <w:vertAlign w:val="superscript"/>
                      <w:lang w:val="en-US" w:eastAsia="zh-CN"/>
                      <w14:textFill>
                        <w14:solidFill>
                          <w14:schemeClr w14:val="tx1"/>
                        </w14:solidFill>
                      </w14:textFill>
                    </w:rPr>
                    <w:t>3</w:t>
                  </w:r>
                  <w:r>
                    <w:rPr>
                      <w:rFonts w:hint="eastAsia"/>
                      <w:color w:val="000000" w:themeColor="text1"/>
                      <w:sz w:val="21"/>
                      <w:szCs w:val="21"/>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a×1%×1.003t/m</w:t>
                  </w:r>
                  <w:r>
                    <w:rPr>
                      <w:rFonts w:hint="eastAsia"/>
                      <w:color w:val="000000" w:themeColor="text1"/>
                      <w:sz w:val="21"/>
                      <w:szCs w:val="21"/>
                      <w:vertAlign w:val="superscript"/>
                      <w:lang w:val="en-US" w:eastAsia="zh-CN"/>
                      <w14:textFill>
                        <w14:solidFill>
                          <w14:schemeClr w14:val="tx1"/>
                        </w14:solidFill>
                      </w14:textFill>
                    </w:rPr>
                    <w:t>3</w:t>
                  </w:r>
                  <w:r>
                    <w:rPr>
                      <w:rFonts w:hint="eastAsia"/>
                      <w:color w:val="000000" w:themeColor="text1"/>
                      <w:sz w:val="21"/>
                      <w:szCs w:val="21"/>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0.449</w:t>
                  </w:r>
                  <w:r>
                    <w:rPr>
                      <w:rFonts w:hint="eastAsia"/>
                      <w:color w:val="000000" w:themeColor="text1"/>
                      <w:sz w:val="21"/>
                      <w:szCs w:val="21"/>
                      <w14:textFill>
                        <w14:solidFill>
                          <w14:schemeClr w14:val="tx1"/>
                        </w14:solidFill>
                      </w14:textFill>
                    </w:rPr>
                    <w:t>t/</w:t>
                  </w:r>
                  <w:r>
                    <w:rPr>
                      <w:rFonts w:hint="eastAsia"/>
                      <w:color w:val="000000" w:themeColor="text1"/>
                      <w:sz w:val="21"/>
                      <w:szCs w:val="21"/>
                      <w:lang w:val="en-US" w:eastAsia="zh-CN"/>
                      <w14:textFill>
                        <w14:solidFill>
                          <w14:schemeClr w14:val="tx1"/>
                        </w14:solidFill>
                      </w14:textFill>
                    </w:rPr>
                    <w:t>a。参考《污染源源强核算技术指南 电镀》（HJ984-2018）中附录 D 不同形状镀件镀液带出量参考值一览表中简单镀件形状的自动线挂镀的镀液带出量＜0.1L/m</w:t>
                  </w:r>
                  <w:r>
                    <w:rPr>
                      <w:rFonts w:hint="eastAsia"/>
                      <w:color w:val="000000" w:themeColor="text1"/>
                      <w:sz w:val="21"/>
                      <w:szCs w:val="21"/>
                      <w:vertAlign w:val="superscript"/>
                      <w:lang w:val="en-US" w:eastAsia="zh-CN"/>
                      <w14:textFill>
                        <w14:solidFill>
                          <w14:schemeClr w14:val="tx1"/>
                        </w14:solidFill>
                      </w14:textFill>
                    </w:rPr>
                    <w:t>2</w:t>
                  </w:r>
                  <w:r>
                    <w:rPr>
                      <w:rFonts w:hint="eastAsia"/>
                      <w:color w:val="000000" w:themeColor="text1"/>
                      <w:sz w:val="21"/>
                      <w:szCs w:val="21"/>
                      <w:lang w:val="en-US" w:eastAsia="zh-CN"/>
                      <w14:textFill>
                        <w14:solidFill>
                          <w14:schemeClr w14:val="tx1"/>
                        </w14:solidFill>
                      </w14:textFill>
                    </w:rPr>
                    <w:t xml:space="preserve"> ， 取 值 0.1L/m</w:t>
                  </w:r>
                  <w:r>
                    <w:rPr>
                      <w:rFonts w:hint="eastAsia"/>
                      <w:color w:val="000000" w:themeColor="text1"/>
                      <w:sz w:val="21"/>
                      <w:szCs w:val="21"/>
                      <w:vertAlign w:val="superscript"/>
                      <w:lang w:val="en-US" w:eastAsia="zh-CN"/>
                      <w14:textFill>
                        <w14:solidFill>
                          <w14:schemeClr w14:val="tx1"/>
                        </w14:solidFill>
                      </w14:textFill>
                    </w:rPr>
                    <w:t>2</w:t>
                  </w:r>
                  <w:r>
                    <w:rPr>
                      <w:rFonts w:hint="eastAsia"/>
                      <w:color w:val="000000" w:themeColor="text1"/>
                      <w:sz w:val="21"/>
                      <w:szCs w:val="21"/>
                      <w:lang w:val="en-US" w:eastAsia="zh-CN"/>
                      <w14:textFill>
                        <w14:solidFill>
                          <w14:schemeClr w14:val="tx1"/>
                        </w14:solidFill>
                      </w14:textFill>
                    </w:rPr>
                    <w:t xml:space="preserve"> 。根据建设单位提供数据，单位面积工件无铬钝化反应消耗量为0.004kg/m</w:t>
                  </w:r>
                  <w:r>
                    <w:rPr>
                      <w:rFonts w:hint="eastAsia"/>
                      <w:color w:val="000000" w:themeColor="text1"/>
                      <w:sz w:val="21"/>
                      <w:szCs w:val="21"/>
                      <w:vertAlign w:val="superscript"/>
                      <w:lang w:val="en-US" w:eastAsia="zh-CN"/>
                      <w14:textFill>
                        <w14:solidFill>
                          <w14:schemeClr w14:val="tx1"/>
                        </w14:solidFill>
                      </w14:textFill>
                    </w:rPr>
                    <w:t>2</w:t>
                  </w:r>
                  <w:r>
                    <w:rPr>
                      <w:rFonts w:hint="eastAsia"/>
                      <w:color w:val="000000" w:themeColor="text1"/>
                      <w:sz w:val="21"/>
                      <w:szCs w:val="21"/>
                      <w:vertAlign w:val="baseline"/>
                      <w:lang w:val="en-US" w:eastAsia="zh-CN"/>
                      <w14:textFill>
                        <w14:solidFill>
                          <w14:schemeClr w14:val="tx1"/>
                        </w14:solidFill>
                      </w14:textFill>
                    </w:rPr>
                    <w:t>，需钝化处理的工件面积为550000m</w:t>
                  </w:r>
                  <w:r>
                    <w:rPr>
                      <w:rFonts w:hint="eastAsia"/>
                      <w:color w:val="000000" w:themeColor="text1"/>
                      <w:sz w:val="21"/>
                      <w:szCs w:val="21"/>
                      <w:vertAlign w:val="superscript"/>
                      <w:lang w:val="en-US" w:eastAsia="zh-CN"/>
                      <w14:textFill>
                        <w14:solidFill>
                          <w14:schemeClr w14:val="tx1"/>
                        </w14:solidFill>
                      </w14:textFill>
                    </w:rPr>
                    <w:t>2</w:t>
                  </w:r>
                  <w:r>
                    <w:rPr>
                      <w:rFonts w:hint="eastAsia"/>
                      <w:color w:val="000000" w:themeColor="text1"/>
                      <w:sz w:val="21"/>
                      <w:szCs w:val="21"/>
                      <w:vertAlign w:val="baseline"/>
                      <w:lang w:val="en-US"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工件带出量为0.1L/m</w:t>
                  </w:r>
                  <w:r>
                    <w:rPr>
                      <w:rFonts w:hint="eastAsia"/>
                      <w:color w:val="000000" w:themeColor="text1"/>
                      <w:sz w:val="21"/>
                      <w:szCs w:val="21"/>
                      <w:vertAlign w:val="superscript"/>
                      <w:lang w:val="en-US" w:eastAsia="zh-CN"/>
                      <w14:textFill>
                        <w14:solidFill>
                          <w14:schemeClr w14:val="tx1"/>
                        </w14:solidFill>
                      </w14:textFill>
                    </w:rPr>
                    <w:t>2</w:t>
                  </w:r>
                  <w:r>
                    <w:rPr>
                      <w:rFonts w:hint="eastAsia"/>
                      <w:color w:val="000000" w:themeColor="text1"/>
                      <w:sz w:val="21"/>
                      <w:szCs w:val="21"/>
                      <w:lang w:val="en-US" w:eastAsia="zh-CN"/>
                      <w14:textFill>
                        <w14:solidFill>
                          <w14:schemeClr w14:val="tx1"/>
                        </w14:solidFill>
                      </w14:textFill>
                    </w:rPr>
                    <w:t xml:space="preserve"> × 550000m</w:t>
                  </w:r>
                  <w:r>
                    <w:rPr>
                      <w:rFonts w:hint="eastAsia"/>
                      <w:color w:val="000000" w:themeColor="text1"/>
                      <w:sz w:val="21"/>
                      <w:szCs w:val="21"/>
                      <w:vertAlign w:val="superscript"/>
                      <w:lang w:val="en-US" w:eastAsia="zh-CN"/>
                      <w14:textFill>
                        <w14:solidFill>
                          <w14:schemeClr w14:val="tx1"/>
                        </w14:solidFill>
                      </w14:textFill>
                    </w:rPr>
                    <w:t>2</w:t>
                  </w:r>
                  <w:r>
                    <w:rPr>
                      <w:rFonts w:hint="eastAsia"/>
                      <w:color w:val="000000" w:themeColor="text1"/>
                      <w:sz w:val="21"/>
                      <w:szCs w:val="21"/>
                      <w:lang w:val="en-US" w:eastAsia="zh-CN"/>
                      <w14:textFill>
                        <w14:solidFill>
                          <w14:schemeClr w14:val="tx1"/>
                        </w14:solidFill>
                      </w14:textFill>
                    </w:rPr>
                    <w:t xml:space="preserve"> ×1.003kg/L</w:t>
                  </w:r>
                  <w:r>
                    <w:rPr>
                      <w:rFonts w:hint="eastAsia"/>
                      <w:color w:val="000000" w:themeColor="text1"/>
                      <w:sz w:val="21"/>
                      <w:szCs w:val="21"/>
                      <w:vertAlign w:val="baseline"/>
                      <w:lang w:val="en-US" w:eastAsia="zh-CN"/>
                      <w14:textFill>
                        <w14:solidFill>
                          <w14:schemeClr w14:val="tx1"/>
                        </w14:solidFill>
                      </w14:textFill>
                    </w:rPr>
                    <w:t>×1%</w:t>
                  </w:r>
                  <w:r>
                    <w:rPr>
                      <w:rFonts w:hint="eastAsia"/>
                      <w:color w:val="000000" w:themeColor="text1"/>
                      <w:sz w:val="21"/>
                      <w:szCs w:val="21"/>
                      <w:lang w:val="en-US" w:eastAsia="zh-CN"/>
                      <w14:textFill>
                        <w14:solidFill>
                          <w14:schemeClr w14:val="tx1"/>
                        </w14:solidFill>
                      </w14:textFill>
                    </w:rPr>
                    <w:t>× 10</w:t>
                  </w:r>
                  <w:r>
                    <w:rPr>
                      <w:rFonts w:hint="eastAsia"/>
                      <w:color w:val="000000" w:themeColor="text1"/>
                      <w:sz w:val="21"/>
                      <w:szCs w:val="21"/>
                      <w:vertAlign w:val="superscript"/>
                      <w:lang w:val="en-US" w:eastAsia="zh-CN"/>
                      <w14:textFill>
                        <w14:solidFill>
                          <w14:schemeClr w14:val="tx1"/>
                        </w14:solidFill>
                      </w14:textFill>
                    </w:rPr>
                    <w:t>-3</w:t>
                  </w:r>
                  <w:r>
                    <w:rPr>
                      <w:rFonts w:hint="eastAsia"/>
                      <w:color w:val="000000" w:themeColor="text1"/>
                      <w:sz w:val="21"/>
                      <w:szCs w:val="21"/>
                      <w:lang w:val="en-US" w:eastAsia="zh-CN"/>
                      <w14:textFill>
                        <w14:solidFill>
                          <w14:schemeClr w14:val="tx1"/>
                        </w14:solidFill>
                      </w14:textFill>
                    </w:rPr>
                    <w:t>= 0.552t/a。</w:t>
                  </w:r>
                  <w:r>
                    <w:rPr>
                      <w:rFonts w:hint="eastAsia"/>
                      <w:color w:val="000000" w:themeColor="text1"/>
                      <w:sz w:val="21"/>
                      <w:szCs w:val="21"/>
                      <w:vertAlign w:val="baseline"/>
                      <w:lang w:val="en-US" w:eastAsia="zh-CN"/>
                      <w14:textFill>
                        <w14:solidFill>
                          <w14:schemeClr w14:val="tx1"/>
                        </w14:solidFill>
                      </w14:textFill>
                    </w:rPr>
                    <w:t>则</w:t>
                  </w:r>
                  <w:r>
                    <w:rPr>
                      <w:rFonts w:hint="eastAsia"/>
                      <w:color w:val="000000" w:themeColor="text1"/>
                      <w:sz w:val="21"/>
                      <w:szCs w:val="21"/>
                      <w:lang w:val="en-US" w:eastAsia="zh-CN"/>
                      <w14:textFill>
                        <w14:solidFill>
                          <w14:schemeClr w14:val="tx1"/>
                        </w14:solidFill>
                      </w14:textFill>
                    </w:rPr>
                    <w:t>生产消耗量为0.004kg/m</w:t>
                  </w:r>
                  <w:r>
                    <w:rPr>
                      <w:rFonts w:hint="eastAsia"/>
                      <w:color w:val="000000" w:themeColor="text1"/>
                      <w:sz w:val="21"/>
                      <w:szCs w:val="21"/>
                      <w:vertAlign w:val="superscript"/>
                      <w:lang w:val="en-US" w:eastAsia="zh-CN"/>
                      <w14:textFill>
                        <w14:solidFill>
                          <w14:schemeClr w14:val="tx1"/>
                        </w14:solidFill>
                      </w14:textFill>
                    </w:rPr>
                    <w:t>2</w:t>
                  </w:r>
                  <w:r>
                    <w:rPr>
                      <w:rFonts w:hint="eastAsia"/>
                      <w:color w:val="000000" w:themeColor="text1"/>
                      <w:sz w:val="21"/>
                      <w:szCs w:val="21"/>
                      <w:lang w:val="en-US" w:eastAsia="zh-CN"/>
                      <w14:textFill>
                        <w14:solidFill>
                          <w14:schemeClr w14:val="tx1"/>
                        </w14:solidFill>
                      </w14:textFill>
                    </w:rPr>
                    <w:t>×550000m</w:t>
                  </w:r>
                  <w:r>
                    <w:rPr>
                      <w:rFonts w:hint="eastAsia"/>
                      <w:color w:val="000000" w:themeColor="text1"/>
                      <w:sz w:val="21"/>
                      <w:szCs w:val="21"/>
                      <w:vertAlign w:val="superscript"/>
                      <w:lang w:val="en-US" w:eastAsia="zh-CN"/>
                      <w14:textFill>
                        <w14:solidFill>
                          <w14:schemeClr w14:val="tx1"/>
                        </w14:solidFill>
                      </w14:textFill>
                    </w:rPr>
                    <w:t>2</w:t>
                  </w:r>
                  <w:r>
                    <w:rPr>
                      <w:rFonts w:hint="eastAsia"/>
                      <w:color w:val="000000" w:themeColor="text1"/>
                      <w:sz w:val="21"/>
                      <w:szCs w:val="21"/>
                      <w:lang w:val="en-US" w:eastAsia="zh-CN"/>
                      <w14:textFill>
                        <w14:solidFill>
                          <w14:schemeClr w14:val="tx1"/>
                        </w14:solidFill>
                      </w14:textFill>
                    </w:rPr>
                    <w:t xml:space="preserve"> × 10</w:t>
                  </w:r>
                  <w:r>
                    <w:rPr>
                      <w:rFonts w:hint="eastAsia"/>
                      <w:color w:val="000000" w:themeColor="text1"/>
                      <w:sz w:val="21"/>
                      <w:szCs w:val="21"/>
                      <w:vertAlign w:val="superscript"/>
                      <w:lang w:val="en-US" w:eastAsia="zh-CN"/>
                      <w14:textFill>
                        <w14:solidFill>
                          <w14:schemeClr w14:val="tx1"/>
                        </w14:solidFill>
                      </w14:textFill>
                    </w:rPr>
                    <w:t>-3</w:t>
                  </w:r>
                  <w:r>
                    <w:rPr>
                      <w:rFonts w:hint="eastAsia"/>
                      <w:color w:val="000000" w:themeColor="text1"/>
                      <w:sz w:val="21"/>
                      <w:szCs w:val="21"/>
                      <w:vertAlign w:val="baseline"/>
                      <w:lang w:val="en-US" w:eastAsia="zh-CN"/>
                      <w14:textFill>
                        <w14:solidFill>
                          <w14:schemeClr w14:val="tx1"/>
                        </w14:solidFill>
                      </w14:textFill>
                    </w:rPr>
                    <w:t>=2.2t/a。</w:t>
                  </w:r>
                  <w:r>
                    <w:rPr>
                      <w:rFonts w:hint="eastAsia"/>
                      <w:color w:val="000000" w:themeColor="text1"/>
                      <w:sz w:val="21"/>
                      <w:szCs w:val="21"/>
                      <w:lang w:val="en-US" w:eastAsia="zh-CN"/>
                      <w14:textFill>
                        <w14:solidFill>
                          <w14:schemeClr w14:val="tx1"/>
                        </w14:solidFill>
                      </w14:textFill>
                    </w:rPr>
                    <w:t>以上</w:t>
                  </w:r>
                  <w:r>
                    <w:rPr>
                      <w:rFonts w:hint="eastAsia"/>
                      <w:color w:val="000000" w:themeColor="text1"/>
                      <w:sz w:val="21"/>
                      <w:szCs w:val="21"/>
                      <w14:textFill>
                        <w14:solidFill>
                          <w14:schemeClr w14:val="tx1"/>
                        </w14:solidFill>
                      </w14:textFill>
                    </w:rPr>
                    <w:t>合计</w:t>
                  </w:r>
                  <w:r>
                    <w:rPr>
                      <w:rFonts w:hint="eastAsia"/>
                      <w:color w:val="000000" w:themeColor="text1"/>
                      <w:sz w:val="21"/>
                      <w:szCs w:val="21"/>
                      <w:lang w:val="en-US" w:eastAsia="zh-CN"/>
                      <w14:textFill>
                        <w14:solidFill>
                          <w14:schemeClr w14:val="tx1"/>
                        </w14:solidFill>
                      </w14:textFill>
                    </w:rPr>
                    <w:t>无铬钝化剂用量为=0.449+0.552+2.2=3.201</w:t>
                  </w:r>
                  <w:r>
                    <w:rPr>
                      <w:rFonts w:hint="eastAsia"/>
                      <w:color w:val="000000" w:themeColor="text1"/>
                      <w:sz w:val="21"/>
                      <w:szCs w:val="21"/>
                      <w14:textFill>
                        <w14:solidFill>
                          <w14:schemeClr w14:val="tx1"/>
                        </w14:solidFill>
                      </w14:textFill>
                    </w:rPr>
                    <w:t>t/a</w:t>
                  </w:r>
                  <w:r>
                    <w:rPr>
                      <w:rFonts w:hint="eastAsia"/>
                      <w:color w:val="000000" w:themeColor="text1"/>
                      <w:sz w:val="21"/>
                      <w:szCs w:val="21"/>
                      <w:lang w:eastAsia="zh-CN"/>
                      <w14:textFill>
                        <w14:solidFill>
                          <w14:schemeClr w14:val="tx1"/>
                        </w14:solidFill>
                      </w14:textFill>
                    </w:rPr>
                    <w:t>。</w:t>
                  </w:r>
                </w:p>
                <w:p w14:paraId="0AD8408C">
                  <w:pPr>
                    <w:keepNext w:val="0"/>
                    <w:keepLines w:val="0"/>
                    <w:pageBreakBefore w:val="0"/>
                    <w:widowControl w:val="0"/>
                    <w:kinsoku/>
                    <w:wordWrap w:val="0"/>
                    <w:overflowPunct/>
                    <w:topLinePunct w:val="0"/>
                    <w:autoSpaceDE/>
                    <w:autoSpaceDN/>
                    <w:bidi w:val="0"/>
                    <w:adjustRightInd/>
                    <w:snapToGrid/>
                    <w:spacing w:line="240" w:lineRule="auto"/>
                    <w:jc w:val="left"/>
                    <w:textAlignment w:val="auto"/>
                    <w:outlineLvl w:val="9"/>
                    <w:rPr>
                      <w:rFonts w:hint="default" w:ascii="Times New Roman" w:hAnsi="Times New Roman" w:cs="Times New Roman"/>
                      <w:bCs/>
                      <w:color w:val="000000" w:themeColor="text1"/>
                      <w:sz w:val="21"/>
                      <w:szCs w:val="21"/>
                      <w:highlight w:val="none"/>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⑥</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油性漆-底漆</w:t>
                  </w:r>
                  <w:r>
                    <w:rPr>
                      <w:rFonts w:hint="default" w:ascii="Times New Roman" w:hAnsi="Times New Roman" w:cs="Times New Roman"/>
                      <w:bCs/>
                      <w:color w:val="000000" w:themeColor="text1"/>
                      <w:sz w:val="21"/>
                      <w:szCs w:val="21"/>
                      <w:highlight w:val="none"/>
                      <w14:textFill>
                        <w14:solidFill>
                          <w14:schemeClr w14:val="tx1"/>
                        </w14:solidFill>
                      </w14:textFill>
                    </w:rPr>
                    <w:t>调配方案为</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底漆:稀释剂=</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1：0.1</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已知底</w:t>
                  </w:r>
                  <w:r>
                    <w:rPr>
                      <w:rFonts w:hint="default" w:ascii="Times New Roman" w:hAnsi="Times New Roman" w:cs="Times New Roman"/>
                      <w:bCs/>
                      <w:color w:val="000000" w:themeColor="text1"/>
                      <w:sz w:val="21"/>
                      <w:szCs w:val="21"/>
                      <w:highlight w:val="none"/>
                      <w14:textFill>
                        <w14:solidFill>
                          <w14:schemeClr w14:val="tx1"/>
                        </w14:solidFill>
                      </w14:textFill>
                    </w:rPr>
                    <w:t>漆的密度为1</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173</w:t>
                  </w:r>
                  <w:r>
                    <w:rPr>
                      <w:rFonts w:hint="default" w:ascii="Times New Roman" w:hAnsi="Times New Roman" w:cs="Times New Roman"/>
                      <w:bCs/>
                      <w:color w:val="000000" w:themeColor="text1"/>
                      <w:sz w:val="21"/>
                      <w:szCs w:val="21"/>
                      <w:highlight w:val="none"/>
                      <w14:textFill>
                        <w14:solidFill>
                          <w14:schemeClr w14:val="tx1"/>
                        </w14:solidFill>
                      </w14:textFill>
                    </w:rPr>
                    <w:t>g/cm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Cs/>
                      <w:color w:val="000000" w:themeColor="text1"/>
                      <w:sz w:val="21"/>
                      <w:szCs w:val="21"/>
                      <w:highlight w:val="none"/>
                      <w:vertAlign w:val="baseline"/>
                      <w:lang w:eastAsia="zh-CN"/>
                      <w14:textFill>
                        <w14:solidFill>
                          <w14:schemeClr w14:val="tx1"/>
                        </w14:solidFill>
                      </w14:textFill>
                    </w:rPr>
                    <w:t>，</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稀释</w:t>
                  </w:r>
                  <w:r>
                    <w:rPr>
                      <w:rFonts w:hint="default" w:ascii="Times New Roman" w:hAnsi="Times New Roman" w:cs="Times New Roman"/>
                      <w:bCs/>
                      <w:color w:val="000000" w:themeColor="text1"/>
                      <w:sz w:val="21"/>
                      <w:szCs w:val="21"/>
                      <w:highlight w:val="none"/>
                      <w14:textFill>
                        <w14:solidFill>
                          <w14:schemeClr w14:val="tx1"/>
                        </w14:solidFill>
                      </w14:textFill>
                    </w:rPr>
                    <w:t>剂的密度为</w:t>
                  </w:r>
                  <w:r>
                    <w:rPr>
                      <w:rFonts w:hint="eastAsia" w:cs="Times New Roman"/>
                      <w:bCs/>
                      <w:color w:val="000000" w:themeColor="text1"/>
                      <w:sz w:val="21"/>
                      <w:szCs w:val="21"/>
                      <w:highlight w:val="none"/>
                      <w:lang w:val="en-US" w:eastAsia="zh-CN"/>
                      <w14:textFill>
                        <w14:solidFill>
                          <w14:schemeClr w14:val="tx1"/>
                        </w14:solidFill>
                      </w14:textFill>
                    </w:rPr>
                    <w:t>0.892</w:t>
                  </w:r>
                  <w:r>
                    <w:rPr>
                      <w:rFonts w:hint="default" w:ascii="Times New Roman" w:hAnsi="Times New Roman" w:cs="Times New Roman"/>
                      <w:bCs/>
                      <w:color w:val="000000" w:themeColor="text1"/>
                      <w:sz w:val="21"/>
                      <w:szCs w:val="21"/>
                      <w:highlight w:val="none"/>
                      <w14:textFill>
                        <w14:solidFill>
                          <w14:schemeClr w14:val="tx1"/>
                        </w14:solidFill>
                      </w14:textFill>
                    </w:rPr>
                    <w:t>g/cm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Cs/>
                      <w:color w:val="000000" w:themeColor="text1"/>
                      <w:sz w:val="21"/>
                      <w:szCs w:val="21"/>
                      <w:highlight w:val="none"/>
                      <w14:textFill>
                        <w14:solidFill>
                          <w14:schemeClr w14:val="tx1"/>
                        </w14:solidFill>
                      </w14:textFill>
                    </w:rPr>
                    <w:t>。调配后</w:t>
                  </w:r>
                  <w:r>
                    <w:rPr>
                      <w:rFonts w:hint="eastAsia" w:cs="Times New Roman"/>
                      <w:bCs/>
                      <w:color w:val="000000" w:themeColor="text1"/>
                      <w:sz w:val="21"/>
                      <w:szCs w:val="21"/>
                      <w:highlight w:val="none"/>
                      <w:lang w:val="en-US" w:eastAsia="zh-CN"/>
                      <w14:textFill>
                        <w14:solidFill>
                          <w14:schemeClr w14:val="tx1"/>
                        </w14:solidFill>
                      </w14:textFill>
                    </w:rPr>
                    <w:t>油性</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底漆</w:t>
                  </w:r>
                  <w:r>
                    <w:rPr>
                      <w:rFonts w:hint="default" w:ascii="Times New Roman" w:hAnsi="Times New Roman" w:cs="Times New Roman"/>
                      <w:bCs/>
                      <w:color w:val="000000" w:themeColor="text1"/>
                      <w:sz w:val="21"/>
                      <w:szCs w:val="21"/>
                      <w:highlight w:val="none"/>
                      <w14:textFill>
                        <w14:solidFill>
                          <w14:schemeClr w14:val="tx1"/>
                        </w14:solidFill>
                      </w14:textFill>
                    </w:rPr>
                    <w:t>密度、固含量的计算过程如下：设</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底</w:t>
                  </w:r>
                  <w:r>
                    <w:rPr>
                      <w:rFonts w:hint="default" w:ascii="Times New Roman" w:hAnsi="Times New Roman" w:cs="Times New Roman"/>
                      <w:bCs/>
                      <w:color w:val="000000" w:themeColor="text1"/>
                      <w:sz w:val="21"/>
                      <w:szCs w:val="21"/>
                      <w:highlight w:val="none"/>
                      <w14:textFill>
                        <w14:solidFill>
                          <w14:schemeClr w14:val="tx1"/>
                        </w14:solidFill>
                      </w14:textFill>
                    </w:rPr>
                    <w:t>漆的年用量约为</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bCs/>
                      <w:color w:val="000000" w:themeColor="text1"/>
                      <w:sz w:val="21"/>
                      <w:szCs w:val="21"/>
                      <w:highlight w:val="none"/>
                      <w14:textFill>
                        <w14:solidFill>
                          <w14:schemeClr w14:val="tx1"/>
                        </w14:solidFill>
                      </w14:textFill>
                    </w:rPr>
                    <w:t>X克，则稀释剂的年用量为</w:t>
                  </w:r>
                  <w:r>
                    <w:rPr>
                      <w:rFonts w:hint="eastAsia" w:cs="Times New Roman"/>
                      <w:bCs/>
                      <w:color w:val="000000" w:themeColor="text1"/>
                      <w:sz w:val="21"/>
                      <w:szCs w:val="21"/>
                      <w:highlight w:val="none"/>
                      <w:lang w:val="en-US" w:eastAsia="zh-CN"/>
                      <w14:textFill>
                        <w14:solidFill>
                          <w14:schemeClr w14:val="tx1"/>
                        </w14:solidFill>
                      </w14:textFill>
                    </w:rPr>
                    <w:t>0.1</w:t>
                  </w:r>
                  <w:r>
                    <w:rPr>
                      <w:rFonts w:hint="default" w:ascii="Times New Roman" w:hAnsi="Times New Roman" w:cs="Times New Roman"/>
                      <w:bCs/>
                      <w:color w:val="000000" w:themeColor="text1"/>
                      <w:sz w:val="21"/>
                      <w:szCs w:val="21"/>
                      <w:highlight w:val="none"/>
                      <w14:textFill>
                        <w14:solidFill>
                          <w14:schemeClr w14:val="tx1"/>
                        </w14:solidFill>
                      </w14:textFill>
                    </w:rPr>
                    <w:t>X克；调配后的</w:t>
                  </w:r>
                  <w:r>
                    <w:rPr>
                      <w:rFonts w:hint="eastAsia" w:cs="Times New Roman"/>
                      <w:bCs/>
                      <w:color w:val="000000" w:themeColor="text1"/>
                      <w:sz w:val="21"/>
                      <w:szCs w:val="21"/>
                      <w:highlight w:val="none"/>
                      <w:lang w:val="en-US" w:eastAsia="zh-CN"/>
                      <w14:textFill>
                        <w14:solidFill>
                          <w14:schemeClr w14:val="tx1"/>
                        </w14:solidFill>
                      </w14:textFill>
                    </w:rPr>
                    <w:t>油性</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底漆</w:t>
                  </w:r>
                  <w:r>
                    <w:rPr>
                      <w:rFonts w:hint="default" w:ascii="Times New Roman" w:hAnsi="Times New Roman" w:cs="Times New Roman"/>
                      <w:bCs/>
                      <w:color w:val="000000" w:themeColor="text1"/>
                      <w:sz w:val="21"/>
                      <w:szCs w:val="21"/>
                      <w:highlight w:val="none"/>
                      <w14:textFill>
                        <w14:solidFill>
                          <w14:schemeClr w14:val="tx1"/>
                        </w14:solidFill>
                      </w14:textFill>
                    </w:rPr>
                    <w:t>总年用量为：</w:t>
                  </w: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bCs/>
                      <w:color w:val="000000" w:themeColor="text1"/>
                      <w:sz w:val="21"/>
                      <w:szCs w:val="21"/>
                      <w:highlight w:val="none"/>
                      <w14:textFill>
                        <w14:solidFill>
                          <w14:schemeClr w14:val="tx1"/>
                        </w14:solidFill>
                      </w14:textFill>
                    </w:rPr>
                    <w:t>X+</w:t>
                  </w:r>
                  <w:r>
                    <w:rPr>
                      <w:rFonts w:hint="eastAsia" w:cs="Times New Roman"/>
                      <w:bCs/>
                      <w:color w:val="000000" w:themeColor="text1"/>
                      <w:sz w:val="21"/>
                      <w:szCs w:val="21"/>
                      <w:highlight w:val="none"/>
                      <w:lang w:val="en-US" w:eastAsia="zh-CN"/>
                      <w14:textFill>
                        <w14:solidFill>
                          <w14:schemeClr w14:val="tx1"/>
                        </w14:solidFill>
                      </w14:textFill>
                    </w:rPr>
                    <w:t>0.1</w:t>
                  </w:r>
                  <w:r>
                    <w:rPr>
                      <w:rFonts w:hint="default" w:ascii="Times New Roman" w:hAnsi="Times New Roman" w:cs="Times New Roman"/>
                      <w:bCs/>
                      <w:color w:val="000000" w:themeColor="text1"/>
                      <w:sz w:val="21"/>
                      <w:szCs w:val="21"/>
                      <w:highlight w:val="none"/>
                      <w14:textFill>
                        <w14:solidFill>
                          <w14:schemeClr w14:val="tx1"/>
                        </w14:solidFill>
                      </w14:textFill>
                    </w:rPr>
                    <w:t>X=</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1</w:t>
                  </w:r>
                  <w:r>
                    <w:rPr>
                      <w:rFonts w:hint="eastAsia" w:cs="Times New Roman"/>
                      <w:bCs/>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bCs/>
                      <w:color w:val="000000" w:themeColor="text1"/>
                      <w:sz w:val="21"/>
                      <w:szCs w:val="21"/>
                      <w:highlight w:val="none"/>
                      <w14:textFill>
                        <w14:solidFill>
                          <w14:schemeClr w14:val="tx1"/>
                        </w14:solidFill>
                      </w14:textFill>
                    </w:rPr>
                    <w:t>Xg，总体积为：1X/</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1.</w:t>
                  </w: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173</w:t>
                  </w:r>
                  <w:r>
                    <w:rPr>
                      <w:rFonts w:hint="default" w:ascii="Times New Roman" w:hAnsi="Times New Roman" w:cs="Times New Roman"/>
                      <w:bCs/>
                      <w:color w:val="000000" w:themeColor="text1"/>
                      <w:sz w:val="21"/>
                      <w:szCs w:val="21"/>
                      <w:highlight w:val="none"/>
                      <w14:textFill>
                        <w14:solidFill>
                          <w14:schemeClr w14:val="tx1"/>
                        </w14:solidFill>
                      </w14:textFill>
                    </w:rPr>
                    <w:t>g/cm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Cs/>
                      <w:color w:val="000000" w:themeColor="text1"/>
                      <w:sz w:val="21"/>
                      <w:szCs w:val="21"/>
                      <w:highlight w:val="none"/>
                      <w14:textFill>
                        <w14:solidFill>
                          <w14:schemeClr w14:val="tx1"/>
                        </w14:solidFill>
                      </w14:textFill>
                    </w:rPr>
                    <w:t>+</w:t>
                  </w: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0.1</w:t>
                  </w:r>
                  <w:r>
                    <w:rPr>
                      <w:rFonts w:hint="default" w:ascii="Times New Roman" w:hAnsi="Times New Roman" w:cs="Times New Roman"/>
                      <w:bCs/>
                      <w:color w:val="000000" w:themeColor="text1"/>
                      <w:sz w:val="21"/>
                      <w:szCs w:val="21"/>
                      <w:highlight w:val="none"/>
                      <w14:textFill>
                        <w14:solidFill>
                          <w14:schemeClr w14:val="tx1"/>
                        </w14:solidFill>
                      </w14:textFill>
                    </w:rPr>
                    <w:t>X/</w:t>
                  </w:r>
                  <w:r>
                    <w:rPr>
                      <w:rFonts w:hint="eastAsia" w:cs="Times New Roman"/>
                      <w:bCs/>
                      <w:color w:val="000000" w:themeColor="text1"/>
                      <w:sz w:val="21"/>
                      <w:szCs w:val="21"/>
                      <w:highlight w:val="none"/>
                      <w:lang w:val="en-US" w:eastAsia="zh-CN"/>
                      <w14:textFill>
                        <w14:solidFill>
                          <w14:schemeClr w14:val="tx1"/>
                        </w14:solidFill>
                      </w14:textFill>
                    </w:rPr>
                    <w:t>0.892</w:t>
                  </w:r>
                  <w:r>
                    <w:rPr>
                      <w:rFonts w:hint="default" w:ascii="Times New Roman" w:hAnsi="Times New Roman" w:cs="Times New Roman"/>
                      <w:bCs/>
                      <w:color w:val="000000" w:themeColor="text1"/>
                      <w:sz w:val="21"/>
                      <w:szCs w:val="21"/>
                      <w:highlight w:val="none"/>
                      <w14:textFill>
                        <w14:solidFill>
                          <w14:schemeClr w14:val="tx1"/>
                        </w14:solidFill>
                      </w14:textFill>
                    </w:rPr>
                    <w:t>g/cm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w:t>
                  </w:r>
                  <w:r>
                    <w:rPr>
                      <w:rFonts w:hint="eastAsia" w:cs="Times New Roman"/>
                      <w:bCs/>
                      <w:color w:val="000000" w:themeColor="text1"/>
                      <w:sz w:val="21"/>
                      <w:szCs w:val="21"/>
                      <w:highlight w:val="none"/>
                      <w:lang w:val="en-US" w:eastAsia="zh-CN"/>
                      <w14:textFill>
                        <w14:solidFill>
                          <w14:schemeClr w14:val="tx1"/>
                        </w14:solidFill>
                      </w14:textFill>
                    </w:rPr>
                    <w:t>0.965</w:t>
                  </w:r>
                  <w:r>
                    <w:rPr>
                      <w:rFonts w:hint="default" w:ascii="Times New Roman" w:hAnsi="Times New Roman" w:cs="Times New Roman"/>
                      <w:bCs/>
                      <w:color w:val="000000" w:themeColor="text1"/>
                      <w:sz w:val="21"/>
                      <w:szCs w:val="21"/>
                      <w:highlight w:val="none"/>
                      <w14:textFill>
                        <w14:solidFill>
                          <w14:schemeClr w14:val="tx1"/>
                        </w14:solidFill>
                      </w14:textFill>
                    </w:rPr>
                    <w:t>Xcm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p>
                <w:p w14:paraId="7FD7AD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eastAsia="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sz w:val="21"/>
                      <w:szCs w:val="21"/>
                      <w:highlight w:val="none"/>
                      <w14:textFill>
                        <w14:solidFill>
                          <w14:schemeClr w14:val="tx1"/>
                        </w14:solidFill>
                      </w14:textFill>
                    </w:rPr>
                    <w:t>调配后的底漆相对密度为：</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1</w:t>
                  </w:r>
                  <w:r>
                    <w:rPr>
                      <w:rFonts w:hint="eastAsia" w:cs="Times New Roman"/>
                      <w:bCs/>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bCs/>
                      <w:color w:val="000000" w:themeColor="text1"/>
                      <w:sz w:val="21"/>
                      <w:szCs w:val="21"/>
                      <w:highlight w:val="none"/>
                      <w14:textFill>
                        <w14:solidFill>
                          <w14:schemeClr w14:val="tx1"/>
                        </w14:solidFill>
                      </w14:textFill>
                    </w:rPr>
                    <w:t>Xg/</w:t>
                  </w:r>
                  <w:r>
                    <w:rPr>
                      <w:rFonts w:hint="eastAsia" w:cs="Times New Roman"/>
                      <w:bCs/>
                      <w:color w:val="000000" w:themeColor="text1"/>
                      <w:sz w:val="21"/>
                      <w:szCs w:val="21"/>
                      <w:highlight w:val="none"/>
                      <w:lang w:val="en-US" w:eastAsia="zh-CN"/>
                      <w14:textFill>
                        <w14:solidFill>
                          <w14:schemeClr w14:val="tx1"/>
                        </w14:solidFill>
                      </w14:textFill>
                    </w:rPr>
                    <w:t>0.965</w:t>
                  </w:r>
                  <w:r>
                    <w:rPr>
                      <w:rFonts w:hint="default" w:ascii="Times New Roman" w:hAnsi="Times New Roman" w:cs="Times New Roman"/>
                      <w:bCs/>
                      <w:color w:val="000000" w:themeColor="text1"/>
                      <w:sz w:val="21"/>
                      <w:szCs w:val="21"/>
                      <w:highlight w:val="none"/>
                      <w14:textFill>
                        <w14:solidFill>
                          <w14:schemeClr w14:val="tx1"/>
                        </w14:solidFill>
                      </w14:textFill>
                    </w:rPr>
                    <w:t>Xcm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w:t>
                  </w:r>
                  <w:r>
                    <w:rPr>
                      <w:rFonts w:hint="eastAsia" w:cs="Times New Roman"/>
                      <w:bCs/>
                      <w:color w:val="000000" w:themeColor="text1"/>
                      <w:sz w:val="21"/>
                      <w:szCs w:val="21"/>
                      <w:highlight w:val="none"/>
                      <w:lang w:val="en-US" w:eastAsia="zh-CN"/>
                      <w14:textFill>
                        <w14:solidFill>
                          <w14:schemeClr w14:val="tx1"/>
                        </w14:solidFill>
                      </w14:textFill>
                    </w:rPr>
                    <w:t>1.14</w:t>
                  </w:r>
                  <w:r>
                    <w:rPr>
                      <w:rFonts w:hint="default" w:ascii="Times New Roman" w:hAnsi="Times New Roman" w:cs="Times New Roman"/>
                      <w:bCs/>
                      <w:color w:val="000000" w:themeColor="text1"/>
                      <w:sz w:val="21"/>
                      <w:szCs w:val="21"/>
                      <w:highlight w:val="none"/>
                      <w14:textFill>
                        <w14:solidFill>
                          <w14:schemeClr w14:val="tx1"/>
                        </w14:solidFill>
                      </w14:textFill>
                    </w:rPr>
                    <w:t>g/cm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Cs/>
                      <w:color w:val="000000" w:themeColor="text1"/>
                      <w:sz w:val="21"/>
                      <w:szCs w:val="21"/>
                      <w:highlight w:val="none"/>
                      <w14:textFill>
                        <w14:solidFill>
                          <w14:schemeClr w14:val="tx1"/>
                        </w14:solidFill>
                      </w14:textFill>
                    </w:rPr>
                    <w:t>，固含率</w:t>
                  </w:r>
                  <w:r>
                    <w:rPr>
                      <w:rFonts w:hint="eastAsia" w:cs="Times New Roman"/>
                      <w:bCs/>
                      <w:color w:val="000000" w:themeColor="text1"/>
                      <w:sz w:val="21"/>
                      <w:szCs w:val="21"/>
                      <w:highlight w:val="none"/>
                      <w:lang w:val="en-US" w:eastAsia="zh-CN"/>
                      <w14:textFill>
                        <w14:solidFill>
                          <w14:schemeClr w14:val="tx1"/>
                        </w14:solidFill>
                      </w14:textFill>
                    </w:rPr>
                    <w:t>=油性底漆的固含量/调配后的油性底漆总年用量=（1-279g/L/1.173</w:t>
                  </w:r>
                  <w:r>
                    <w:rPr>
                      <w:rFonts w:hint="default" w:ascii="Times New Roman" w:hAnsi="Times New Roman" w:cs="Times New Roman"/>
                      <w:bCs/>
                      <w:color w:val="000000" w:themeColor="text1"/>
                      <w:sz w:val="21"/>
                      <w:szCs w:val="21"/>
                      <w:highlight w:val="none"/>
                      <w14:textFill>
                        <w14:solidFill>
                          <w14:schemeClr w14:val="tx1"/>
                        </w14:solidFill>
                      </w14:textFill>
                    </w:rPr>
                    <w:t>g/cm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eastAsia" w:cs="Times New Roman"/>
                      <w:bCs/>
                      <w:color w:val="000000" w:themeColor="text1"/>
                      <w:sz w:val="21"/>
                      <w:szCs w:val="21"/>
                      <w:highlight w:val="none"/>
                      <w:lang w:val="en-US" w:eastAsia="zh-CN"/>
                      <w14:textFill>
                        <w14:solidFill>
                          <w14:schemeClr w14:val="tx1"/>
                        </w14:solidFill>
                      </w14:textFill>
                    </w:rPr>
                    <w:t>）X/1.1Xg×100%=69.29</w:t>
                  </w:r>
                  <w:r>
                    <w:rPr>
                      <w:rFonts w:hint="default" w:ascii="Times New Roman" w:hAnsi="Times New Roman" w:cs="Times New Roman"/>
                      <w:bCs/>
                      <w:color w:val="000000" w:themeColor="text1"/>
                      <w:sz w:val="21"/>
                      <w:szCs w:val="21"/>
                      <w:highlight w:val="none"/>
                      <w14:textFill>
                        <w14:solidFill>
                          <w14:schemeClr w14:val="tx1"/>
                        </w14:solidFill>
                      </w14:textFill>
                    </w:rPr>
                    <w:t>%</w:t>
                  </w:r>
                  <w:r>
                    <w:rPr>
                      <w:rFonts w:hint="eastAsia" w:ascii="Times New Roman" w:hAnsi="Times New Roman" w:cs="Times New Roman"/>
                      <w:bCs/>
                      <w:color w:val="000000" w:themeColor="text1"/>
                      <w:sz w:val="21"/>
                      <w:szCs w:val="21"/>
                      <w:highlight w:val="none"/>
                      <w:lang w:eastAsia="zh-CN"/>
                      <w14:textFill>
                        <w14:solidFill>
                          <w14:schemeClr w14:val="tx1"/>
                        </w14:solidFill>
                      </w14:textFill>
                    </w:rPr>
                    <w:t>。</w:t>
                  </w:r>
                </w:p>
                <w:p w14:paraId="26D9EF74">
                  <w:pPr>
                    <w:keepNext w:val="0"/>
                    <w:keepLines w:val="0"/>
                    <w:pageBreakBefore w:val="0"/>
                    <w:widowControl w:val="0"/>
                    <w:kinsoku/>
                    <w:wordWrap w:val="0"/>
                    <w:overflowPunct/>
                    <w:topLinePunct w:val="0"/>
                    <w:autoSpaceDE/>
                    <w:autoSpaceDN/>
                    <w:bidi w:val="0"/>
                    <w:adjustRightInd/>
                    <w:snapToGrid/>
                    <w:spacing w:line="240" w:lineRule="auto"/>
                    <w:jc w:val="left"/>
                    <w:textAlignment w:val="auto"/>
                    <w:outlineLvl w:val="9"/>
                    <w:rPr>
                      <w:rFonts w:hint="default" w:ascii="Times New Roman" w:hAnsi="Times New Roman" w:cs="Times New Roman"/>
                      <w:bCs/>
                      <w:color w:val="000000" w:themeColor="text1"/>
                      <w:sz w:val="21"/>
                      <w:szCs w:val="21"/>
                      <w:highlight w:val="none"/>
                      <w:lang w:eastAsia="zh-CN"/>
                      <w14:textFill>
                        <w14:solidFill>
                          <w14:schemeClr w14:val="tx1"/>
                        </w14:solidFill>
                      </w14:textFill>
                    </w:rPr>
                  </w:pP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⑦</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油性漆-面漆调配方案为：</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面漆:稀释剂=1:0.</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已知面</w:t>
                  </w:r>
                  <w:r>
                    <w:rPr>
                      <w:rFonts w:hint="default" w:ascii="Times New Roman" w:hAnsi="Times New Roman" w:cs="Times New Roman"/>
                      <w:bCs/>
                      <w:color w:val="000000" w:themeColor="text1"/>
                      <w:sz w:val="21"/>
                      <w:szCs w:val="21"/>
                      <w:highlight w:val="none"/>
                      <w14:textFill>
                        <w14:solidFill>
                          <w14:schemeClr w14:val="tx1"/>
                        </w14:solidFill>
                      </w14:textFill>
                    </w:rPr>
                    <w:t>漆的密度为1</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.07</w:t>
                  </w: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bCs/>
                      <w:color w:val="000000" w:themeColor="text1"/>
                      <w:sz w:val="21"/>
                      <w:szCs w:val="21"/>
                      <w:highlight w:val="none"/>
                      <w14:textFill>
                        <w14:solidFill>
                          <w14:schemeClr w14:val="tx1"/>
                        </w14:solidFill>
                      </w14:textFill>
                    </w:rPr>
                    <w:t>g/cm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Cs/>
                      <w:color w:val="000000" w:themeColor="text1"/>
                      <w:sz w:val="21"/>
                      <w:szCs w:val="21"/>
                      <w:highlight w:val="none"/>
                      <w:vertAlign w:val="baseline"/>
                      <w:lang w:eastAsia="zh-CN"/>
                      <w14:textFill>
                        <w14:solidFill>
                          <w14:schemeClr w14:val="tx1"/>
                        </w14:solidFill>
                      </w14:textFill>
                    </w:rPr>
                    <w:t>，</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稀释</w:t>
                  </w:r>
                  <w:r>
                    <w:rPr>
                      <w:rFonts w:hint="default" w:ascii="Times New Roman" w:hAnsi="Times New Roman" w:cs="Times New Roman"/>
                      <w:bCs/>
                      <w:color w:val="000000" w:themeColor="text1"/>
                      <w:sz w:val="21"/>
                      <w:szCs w:val="21"/>
                      <w:highlight w:val="none"/>
                      <w14:textFill>
                        <w14:solidFill>
                          <w14:schemeClr w14:val="tx1"/>
                        </w14:solidFill>
                      </w14:textFill>
                    </w:rPr>
                    <w:t>剂的密度为</w:t>
                  </w:r>
                  <w:r>
                    <w:rPr>
                      <w:rFonts w:hint="eastAsia" w:cs="Times New Roman"/>
                      <w:bCs/>
                      <w:color w:val="000000" w:themeColor="text1"/>
                      <w:sz w:val="21"/>
                      <w:szCs w:val="21"/>
                      <w:highlight w:val="none"/>
                      <w:lang w:val="en-US" w:eastAsia="zh-CN"/>
                      <w14:textFill>
                        <w14:solidFill>
                          <w14:schemeClr w14:val="tx1"/>
                        </w14:solidFill>
                      </w14:textFill>
                    </w:rPr>
                    <w:t>0.892</w:t>
                  </w:r>
                  <w:r>
                    <w:rPr>
                      <w:rFonts w:hint="default" w:ascii="Times New Roman" w:hAnsi="Times New Roman" w:cs="Times New Roman"/>
                      <w:bCs/>
                      <w:color w:val="000000" w:themeColor="text1"/>
                      <w:sz w:val="21"/>
                      <w:szCs w:val="21"/>
                      <w:highlight w:val="none"/>
                      <w14:textFill>
                        <w14:solidFill>
                          <w14:schemeClr w14:val="tx1"/>
                        </w14:solidFill>
                      </w14:textFill>
                    </w:rPr>
                    <w:t>g/cm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Cs/>
                      <w:color w:val="000000" w:themeColor="text1"/>
                      <w:sz w:val="21"/>
                      <w:szCs w:val="21"/>
                      <w:highlight w:val="none"/>
                      <w14:textFill>
                        <w14:solidFill>
                          <w14:schemeClr w14:val="tx1"/>
                        </w14:solidFill>
                      </w14:textFill>
                    </w:rPr>
                    <w:t>。调配后</w:t>
                  </w:r>
                  <w:r>
                    <w:rPr>
                      <w:rFonts w:hint="eastAsia" w:cs="Times New Roman"/>
                      <w:bCs/>
                      <w:color w:val="000000" w:themeColor="text1"/>
                      <w:sz w:val="21"/>
                      <w:szCs w:val="21"/>
                      <w:highlight w:val="none"/>
                      <w:lang w:val="en-US" w:eastAsia="zh-CN"/>
                      <w14:textFill>
                        <w14:solidFill>
                          <w14:schemeClr w14:val="tx1"/>
                        </w14:solidFill>
                      </w14:textFill>
                    </w:rPr>
                    <w:t>油性</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面漆</w:t>
                  </w:r>
                  <w:r>
                    <w:rPr>
                      <w:rFonts w:hint="default" w:ascii="Times New Roman" w:hAnsi="Times New Roman" w:cs="Times New Roman"/>
                      <w:bCs/>
                      <w:color w:val="000000" w:themeColor="text1"/>
                      <w:sz w:val="21"/>
                      <w:szCs w:val="21"/>
                      <w:highlight w:val="none"/>
                      <w14:textFill>
                        <w14:solidFill>
                          <w14:schemeClr w14:val="tx1"/>
                        </w14:solidFill>
                      </w14:textFill>
                    </w:rPr>
                    <w:t>密度、固含量的计算过程如下：设</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面漆</w:t>
                  </w:r>
                  <w:r>
                    <w:rPr>
                      <w:rFonts w:hint="default" w:ascii="Times New Roman" w:hAnsi="Times New Roman" w:cs="Times New Roman"/>
                      <w:bCs/>
                      <w:color w:val="000000" w:themeColor="text1"/>
                      <w:sz w:val="21"/>
                      <w:szCs w:val="21"/>
                      <w:highlight w:val="none"/>
                      <w14:textFill>
                        <w14:solidFill>
                          <w14:schemeClr w14:val="tx1"/>
                        </w14:solidFill>
                      </w14:textFill>
                    </w:rPr>
                    <w:t>的年用量约为</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bCs/>
                      <w:color w:val="000000" w:themeColor="text1"/>
                      <w:sz w:val="21"/>
                      <w:szCs w:val="21"/>
                      <w:highlight w:val="none"/>
                      <w14:textFill>
                        <w14:solidFill>
                          <w14:schemeClr w14:val="tx1"/>
                        </w14:solidFill>
                      </w14:textFill>
                    </w:rPr>
                    <w:t>X克，</w:t>
                  </w: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则</w:t>
                  </w:r>
                  <w:r>
                    <w:rPr>
                      <w:rFonts w:hint="default" w:ascii="Times New Roman" w:hAnsi="Times New Roman" w:cs="Times New Roman"/>
                      <w:bCs/>
                      <w:color w:val="000000" w:themeColor="text1"/>
                      <w:sz w:val="21"/>
                      <w:szCs w:val="21"/>
                      <w:highlight w:val="none"/>
                      <w14:textFill>
                        <w14:solidFill>
                          <w14:schemeClr w14:val="tx1"/>
                        </w14:solidFill>
                      </w14:textFill>
                    </w:rPr>
                    <w:t>稀释剂的年用量为</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0.</w:t>
                  </w:r>
                  <w:r>
                    <w:rPr>
                      <w:rFonts w:hint="eastAsia" w:cs="Times New Roman"/>
                      <w:bCs/>
                      <w:color w:val="000000" w:themeColor="text1"/>
                      <w:sz w:val="21"/>
                      <w:szCs w:val="21"/>
                      <w:highlight w:val="none"/>
                      <w:lang w:val="en-US" w:eastAsia="zh-CN"/>
                      <w14:textFill>
                        <w14:solidFill>
                          <w14:schemeClr w14:val="tx1"/>
                        </w14:solidFill>
                      </w14:textFill>
                    </w:rPr>
                    <w:t>2</w:t>
                  </w:r>
                  <w:r>
                    <w:rPr>
                      <w:rFonts w:hint="default" w:ascii="Times New Roman" w:hAnsi="Times New Roman" w:cs="Times New Roman"/>
                      <w:bCs/>
                      <w:color w:val="000000" w:themeColor="text1"/>
                      <w:sz w:val="21"/>
                      <w:szCs w:val="21"/>
                      <w:highlight w:val="none"/>
                      <w14:textFill>
                        <w14:solidFill>
                          <w14:schemeClr w14:val="tx1"/>
                        </w14:solidFill>
                      </w14:textFill>
                    </w:rPr>
                    <w:t>X克</w:t>
                  </w:r>
                  <w:r>
                    <w:rPr>
                      <w:rFonts w:hint="eastAsia"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cs="Times New Roman"/>
                      <w:bCs/>
                      <w:color w:val="000000" w:themeColor="text1"/>
                      <w:sz w:val="21"/>
                      <w:szCs w:val="21"/>
                      <w:highlight w:val="none"/>
                      <w14:textFill>
                        <w14:solidFill>
                          <w14:schemeClr w14:val="tx1"/>
                        </w14:solidFill>
                      </w14:textFill>
                    </w:rPr>
                    <w:t>调配后的</w:t>
                  </w:r>
                  <w:r>
                    <w:rPr>
                      <w:rFonts w:hint="eastAsia" w:cs="Times New Roman"/>
                      <w:bCs/>
                      <w:color w:val="000000" w:themeColor="text1"/>
                      <w:sz w:val="21"/>
                      <w:szCs w:val="21"/>
                      <w:highlight w:val="none"/>
                      <w:lang w:val="en-US" w:eastAsia="zh-CN"/>
                      <w14:textFill>
                        <w14:solidFill>
                          <w14:schemeClr w14:val="tx1"/>
                        </w14:solidFill>
                      </w14:textFill>
                    </w:rPr>
                    <w:t>油性</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面漆</w:t>
                  </w:r>
                  <w:r>
                    <w:rPr>
                      <w:rFonts w:hint="default" w:ascii="Times New Roman" w:hAnsi="Times New Roman" w:cs="Times New Roman"/>
                      <w:bCs/>
                      <w:color w:val="000000" w:themeColor="text1"/>
                      <w:sz w:val="21"/>
                      <w:szCs w:val="21"/>
                      <w:highlight w:val="none"/>
                      <w14:textFill>
                        <w14:solidFill>
                          <w14:schemeClr w14:val="tx1"/>
                        </w14:solidFill>
                      </w14:textFill>
                    </w:rPr>
                    <w:t>总年用量为：</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bCs/>
                      <w:color w:val="000000" w:themeColor="text1"/>
                      <w:sz w:val="21"/>
                      <w:szCs w:val="21"/>
                      <w:highlight w:val="none"/>
                      <w14:textFill>
                        <w14:solidFill>
                          <w14:schemeClr w14:val="tx1"/>
                        </w14:solidFill>
                      </w14:textFill>
                    </w:rPr>
                    <w:t>X+</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0.</w:t>
                  </w:r>
                  <w:r>
                    <w:rPr>
                      <w:rFonts w:hint="eastAsia" w:cs="Times New Roman"/>
                      <w:bCs/>
                      <w:color w:val="000000" w:themeColor="text1"/>
                      <w:sz w:val="21"/>
                      <w:szCs w:val="21"/>
                      <w:highlight w:val="none"/>
                      <w:lang w:val="en-US" w:eastAsia="zh-CN"/>
                      <w14:textFill>
                        <w14:solidFill>
                          <w14:schemeClr w14:val="tx1"/>
                        </w14:solidFill>
                      </w14:textFill>
                    </w:rPr>
                    <w:t>2</w:t>
                  </w:r>
                  <w:r>
                    <w:rPr>
                      <w:rFonts w:hint="default" w:ascii="Times New Roman" w:hAnsi="Times New Roman" w:cs="Times New Roman"/>
                      <w:bCs/>
                      <w:color w:val="000000" w:themeColor="text1"/>
                      <w:sz w:val="21"/>
                      <w:szCs w:val="21"/>
                      <w:highlight w:val="none"/>
                      <w14:textFill>
                        <w14:solidFill>
                          <w14:schemeClr w14:val="tx1"/>
                        </w14:solidFill>
                      </w14:textFill>
                    </w:rPr>
                    <w:t>X=</w:t>
                  </w:r>
                  <w:r>
                    <w:rPr>
                      <w:rFonts w:hint="eastAsia" w:cs="Times New Roman"/>
                      <w:bCs/>
                      <w:color w:val="000000" w:themeColor="text1"/>
                      <w:sz w:val="21"/>
                      <w:szCs w:val="21"/>
                      <w:highlight w:val="none"/>
                      <w:lang w:val="en-US" w:eastAsia="zh-CN"/>
                      <w14:textFill>
                        <w14:solidFill>
                          <w14:schemeClr w14:val="tx1"/>
                        </w14:solidFill>
                      </w14:textFill>
                    </w:rPr>
                    <w:t>1.2</w:t>
                  </w:r>
                  <w:r>
                    <w:rPr>
                      <w:rFonts w:hint="default" w:ascii="Times New Roman" w:hAnsi="Times New Roman" w:cs="Times New Roman"/>
                      <w:bCs/>
                      <w:color w:val="000000" w:themeColor="text1"/>
                      <w:sz w:val="21"/>
                      <w:szCs w:val="21"/>
                      <w:highlight w:val="none"/>
                      <w14:textFill>
                        <w14:solidFill>
                          <w14:schemeClr w14:val="tx1"/>
                        </w14:solidFill>
                      </w14:textFill>
                    </w:rPr>
                    <w:t>Xg，总体积为：</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bCs/>
                      <w:color w:val="000000" w:themeColor="text1"/>
                      <w:sz w:val="21"/>
                      <w:szCs w:val="21"/>
                      <w:highlight w:val="none"/>
                      <w14:textFill>
                        <w14:solidFill>
                          <w14:schemeClr w14:val="tx1"/>
                        </w14:solidFill>
                      </w14:textFill>
                    </w:rPr>
                    <w:t>X/</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1.07</w:t>
                  </w: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bCs/>
                      <w:color w:val="000000" w:themeColor="text1"/>
                      <w:sz w:val="21"/>
                      <w:szCs w:val="21"/>
                      <w:highlight w:val="none"/>
                      <w14:textFill>
                        <w14:solidFill>
                          <w14:schemeClr w14:val="tx1"/>
                        </w14:solidFill>
                      </w14:textFill>
                    </w:rPr>
                    <w:t>g/cm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Cs/>
                      <w:color w:val="000000" w:themeColor="text1"/>
                      <w:sz w:val="21"/>
                      <w:szCs w:val="21"/>
                      <w:highlight w:val="none"/>
                      <w14:textFill>
                        <w14:solidFill>
                          <w14:schemeClr w14:val="tx1"/>
                        </w14:solidFill>
                      </w14:textFill>
                    </w:rPr>
                    <w:t>+</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0.</w:t>
                  </w:r>
                  <w:r>
                    <w:rPr>
                      <w:rFonts w:hint="eastAsia" w:cs="Times New Roman"/>
                      <w:bCs/>
                      <w:color w:val="000000" w:themeColor="text1"/>
                      <w:sz w:val="21"/>
                      <w:szCs w:val="21"/>
                      <w:highlight w:val="none"/>
                      <w:lang w:val="en-US" w:eastAsia="zh-CN"/>
                      <w14:textFill>
                        <w14:solidFill>
                          <w14:schemeClr w14:val="tx1"/>
                        </w14:solidFill>
                      </w14:textFill>
                    </w:rPr>
                    <w:t>2</w:t>
                  </w:r>
                  <w:r>
                    <w:rPr>
                      <w:rFonts w:hint="default" w:ascii="Times New Roman" w:hAnsi="Times New Roman" w:cs="Times New Roman"/>
                      <w:bCs/>
                      <w:color w:val="000000" w:themeColor="text1"/>
                      <w:sz w:val="21"/>
                      <w:szCs w:val="21"/>
                      <w:highlight w:val="none"/>
                      <w14:textFill>
                        <w14:solidFill>
                          <w14:schemeClr w14:val="tx1"/>
                        </w14:solidFill>
                      </w14:textFill>
                    </w:rPr>
                    <w:t>X/</w:t>
                  </w:r>
                  <w:r>
                    <w:rPr>
                      <w:rFonts w:hint="eastAsia" w:cs="Times New Roman"/>
                      <w:bCs/>
                      <w:color w:val="000000" w:themeColor="text1"/>
                      <w:sz w:val="21"/>
                      <w:szCs w:val="21"/>
                      <w:highlight w:val="none"/>
                      <w:lang w:val="en-US" w:eastAsia="zh-CN"/>
                      <w14:textFill>
                        <w14:solidFill>
                          <w14:schemeClr w14:val="tx1"/>
                        </w14:solidFill>
                      </w14:textFill>
                    </w:rPr>
                    <w:t>0.892</w:t>
                  </w:r>
                  <w:r>
                    <w:rPr>
                      <w:rFonts w:hint="default" w:ascii="Times New Roman" w:hAnsi="Times New Roman" w:cs="Times New Roman"/>
                      <w:bCs/>
                      <w:color w:val="000000" w:themeColor="text1"/>
                      <w:sz w:val="21"/>
                      <w:szCs w:val="21"/>
                      <w:highlight w:val="none"/>
                      <w14:textFill>
                        <w14:solidFill>
                          <w14:schemeClr w14:val="tx1"/>
                        </w14:solidFill>
                      </w14:textFill>
                    </w:rPr>
                    <w:t>g/cm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eastAsia" w:cs="Times New Roman"/>
                      <w:bCs/>
                      <w:color w:val="000000" w:themeColor="text1"/>
                      <w:sz w:val="21"/>
                      <w:szCs w:val="21"/>
                      <w:highlight w:val="none"/>
                      <w:lang w:val="en-US" w:eastAsia="zh-CN"/>
                      <w14:textFill>
                        <w14:solidFill>
                          <w14:schemeClr w14:val="tx1"/>
                        </w14:solidFill>
                      </w14:textFill>
                    </w:rPr>
                    <w:t>≈1.158</w:t>
                  </w:r>
                  <w:r>
                    <w:rPr>
                      <w:rFonts w:hint="default" w:ascii="Times New Roman" w:hAnsi="Times New Roman" w:cs="Times New Roman"/>
                      <w:bCs/>
                      <w:color w:val="000000" w:themeColor="text1"/>
                      <w:sz w:val="21"/>
                      <w:szCs w:val="21"/>
                      <w:highlight w:val="none"/>
                      <w14:textFill>
                        <w14:solidFill>
                          <w14:schemeClr w14:val="tx1"/>
                        </w14:solidFill>
                      </w14:textFill>
                    </w:rPr>
                    <w:t>Xcm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p>
                <w:p w14:paraId="7BC443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eastAsia="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sz w:val="21"/>
                      <w:szCs w:val="21"/>
                      <w:highlight w:val="none"/>
                      <w14:textFill>
                        <w14:solidFill>
                          <w14:schemeClr w14:val="tx1"/>
                        </w14:solidFill>
                      </w14:textFill>
                    </w:rPr>
                    <w:t>调配后的</w:t>
                  </w:r>
                  <w:r>
                    <w:rPr>
                      <w:rFonts w:hint="eastAsia" w:cs="Times New Roman"/>
                      <w:bCs/>
                      <w:color w:val="000000" w:themeColor="text1"/>
                      <w:sz w:val="21"/>
                      <w:szCs w:val="21"/>
                      <w:highlight w:val="none"/>
                      <w:lang w:val="en-US" w:eastAsia="zh-CN"/>
                      <w14:textFill>
                        <w14:solidFill>
                          <w14:schemeClr w14:val="tx1"/>
                        </w14:solidFill>
                      </w14:textFill>
                    </w:rPr>
                    <w:t>面</w:t>
                  </w:r>
                  <w:r>
                    <w:rPr>
                      <w:rFonts w:hint="default" w:ascii="Times New Roman" w:hAnsi="Times New Roman" w:cs="Times New Roman"/>
                      <w:bCs/>
                      <w:color w:val="000000" w:themeColor="text1"/>
                      <w:sz w:val="21"/>
                      <w:szCs w:val="21"/>
                      <w:highlight w:val="none"/>
                      <w14:textFill>
                        <w14:solidFill>
                          <w14:schemeClr w14:val="tx1"/>
                        </w14:solidFill>
                      </w14:textFill>
                    </w:rPr>
                    <w:t>漆相对密度为：</w:t>
                  </w:r>
                  <w:r>
                    <w:rPr>
                      <w:rFonts w:hint="eastAsia" w:cs="Times New Roman"/>
                      <w:bCs/>
                      <w:color w:val="000000" w:themeColor="text1"/>
                      <w:sz w:val="21"/>
                      <w:szCs w:val="21"/>
                      <w:highlight w:val="none"/>
                      <w:lang w:val="en-US" w:eastAsia="zh-CN"/>
                      <w14:textFill>
                        <w14:solidFill>
                          <w14:schemeClr w14:val="tx1"/>
                        </w14:solidFill>
                      </w14:textFill>
                    </w:rPr>
                    <w:t>1.2</w:t>
                  </w:r>
                  <w:r>
                    <w:rPr>
                      <w:rFonts w:hint="default" w:ascii="Times New Roman" w:hAnsi="Times New Roman" w:cs="Times New Roman"/>
                      <w:bCs/>
                      <w:color w:val="000000" w:themeColor="text1"/>
                      <w:sz w:val="21"/>
                      <w:szCs w:val="21"/>
                      <w:highlight w:val="none"/>
                      <w14:textFill>
                        <w14:solidFill>
                          <w14:schemeClr w14:val="tx1"/>
                        </w14:solidFill>
                      </w14:textFill>
                    </w:rPr>
                    <w:t>Xg/</w:t>
                  </w:r>
                  <w:r>
                    <w:rPr>
                      <w:rFonts w:hint="eastAsia" w:cs="Times New Roman"/>
                      <w:bCs/>
                      <w:color w:val="000000" w:themeColor="text1"/>
                      <w:sz w:val="21"/>
                      <w:szCs w:val="21"/>
                      <w:highlight w:val="none"/>
                      <w:lang w:val="en-US" w:eastAsia="zh-CN"/>
                      <w14:textFill>
                        <w14:solidFill>
                          <w14:schemeClr w14:val="tx1"/>
                        </w14:solidFill>
                      </w14:textFill>
                    </w:rPr>
                    <w:t>1.158</w:t>
                  </w:r>
                  <w:r>
                    <w:rPr>
                      <w:rFonts w:hint="default" w:ascii="Times New Roman" w:hAnsi="Times New Roman" w:cs="Times New Roman"/>
                      <w:bCs/>
                      <w:color w:val="000000" w:themeColor="text1"/>
                      <w:sz w:val="21"/>
                      <w:szCs w:val="21"/>
                      <w:highlight w:val="none"/>
                      <w14:textFill>
                        <w14:solidFill>
                          <w14:schemeClr w14:val="tx1"/>
                        </w14:solidFill>
                      </w14:textFill>
                    </w:rPr>
                    <w:t>Xcm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eastAsia" w:cs="Times New Roman"/>
                      <w:bCs/>
                      <w:color w:val="000000" w:themeColor="text1"/>
                      <w:sz w:val="21"/>
                      <w:szCs w:val="21"/>
                      <w:highlight w:val="none"/>
                      <w:lang w:val="en-US" w:eastAsia="zh-CN"/>
                      <w14:textFill>
                        <w14:solidFill>
                          <w14:schemeClr w14:val="tx1"/>
                        </w14:solidFill>
                      </w14:textFill>
                    </w:rPr>
                    <w:t>≈1.036</w:t>
                  </w:r>
                  <w:r>
                    <w:rPr>
                      <w:rFonts w:hint="default" w:ascii="Times New Roman" w:hAnsi="Times New Roman" w:cs="Times New Roman"/>
                      <w:bCs/>
                      <w:color w:val="000000" w:themeColor="text1"/>
                      <w:sz w:val="21"/>
                      <w:szCs w:val="21"/>
                      <w:highlight w:val="none"/>
                      <w14:textFill>
                        <w14:solidFill>
                          <w14:schemeClr w14:val="tx1"/>
                        </w14:solidFill>
                      </w14:textFill>
                    </w:rPr>
                    <w:t>g/cm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Cs/>
                      <w:color w:val="000000" w:themeColor="text1"/>
                      <w:sz w:val="21"/>
                      <w:szCs w:val="21"/>
                      <w:highlight w:val="none"/>
                      <w:vertAlign w:val="baseline"/>
                      <w:lang w:eastAsia="zh-CN"/>
                      <w14:textFill>
                        <w14:solidFill>
                          <w14:schemeClr w14:val="tx1"/>
                        </w14:solidFill>
                      </w14:textFill>
                    </w:rPr>
                    <w:t>，</w:t>
                  </w:r>
                  <w:r>
                    <w:rPr>
                      <w:rFonts w:hint="default" w:ascii="Times New Roman" w:hAnsi="Times New Roman" w:cs="Times New Roman"/>
                      <w:bCs/>
                      <w:color w:val="000000" w:themeColor="text1"/>
                      <w:sz w:val="21"/>
                      <w:szCs w:val="21"/>
                      <w:highlight w:val="none"/>
                      <w14:textFill>
                        <w14:solidFill>
                          <w14:schemeClr w14:val="tx1"/>
                        </w14:solidFill>
                      </w14:textFill>
                    </w:rPr>
                    <w:t>固含率</w:t>
                  </w:r>
                  <w:r>
                    <w:rPr>
                      <w:rFonts w:hint="eastAsia" w:cs="Times New Roman"/>
                      <w:bCs/>
                      <w:color w:val="000000" w:themeColor="text1"/>
                      <w:sz w:val="21"/>
                      <w:szCs w:val="21"/>
                      <w:highlight w:val="none"/>
                      <w:lang w:val="en-US" w:eastAsia="zh-CN"/>
                      <w14:textFill>
                        <w14:solidFill>
                          <w14:schemeClr w14:val="tx1"/>
                        </w14:solidFill>
                      </w14:textFill>
                    </w:rPr>
                    <w:t>=油性面漆的固含量/调配后的油性面漆总年用量=（1-328g/L/1.036</w:t>
                  </w:r>
                  <w:r>
                    <w:rPr>
                      <w:rFonts w:hint="default" w:ascii="Times New Roman" w:hAnsi="Times New Roman" w:cs="Times New Roman"/>
                      <w:bCs/>
                      <w:color w:val="000000" w:themeColor="text1"/>
                      <w:sz w:val="21"/>
                      <w:szCs w:val="21"/>
                      <w:highlight w:val="none"/>
                      <w14:textFill>
                        <w14:solidFill>
                          <w14:schemeClr w14:val="tx1"/>
                        </w14:solidFill>
                      </w14:textFill>
                    </w:rPr>
                    <w:t>g/cm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eastAsia" w:cs="Times New Roman"/>
                      <w:bCs/>
                      <w:color w:val="000000" w:themeColor="text1"/>
                      <w:sz w:val="21"/>
                      <w:szCs w:val="21"/>
                      <w:highlight w:val="none"/>
                      <w:lang w:val="en-US" w:eastAsia="zh-CN"/>
                      <w14:textFill>
                        <w14:solidFill>
                          <w14:schemeClr w14:val="tx1"/>
                        </w14:solidFill>
                      </w14:textFill>
                    </w:rPr>
                    <w:t>）X/1.2Xg×100%=57.81</w:t>
                  </w:r>
                  <w:r>
                    <w:rPr>
                      <w:rFonts w:hint="default" w:ascii="Times New Roman" w:hAnsi="Times New Roman" w:cs="Times New Roman"/>
                      <w:bCs/>
                      <w:color w:val="000000" w:themeColor="text1"/>
                      <w:sz w:val="21"/>
                      <w:szCs w:val="21"/>
                      <w:highlight w:val="none"/>
                      <w14:textFill>
                        <w14:solidFill>
                          <w14:schemeClr w14:val="tx1"/>
                        </w14:solidFill>
                      </w14:textFill>
                    </w:rPr>
                    <w:t>%</w:t>
                  </w:r>
                  <w:r>
                    <w:rPr>
                      <w:rFonts w:hint="eastAsia" w:ascii="Times New Roman" w:hAnsi="Times New Roman" w:cs="Times New Roman"/>
                      <w:bCs/>
                      <w:color w:val="000000" w:themeColor="text1"/>
                      <w:sz w:val="21"/>
                      <w:szCs w:val="21"/>
                      <w:highlight w:val="none"/>
                      <w:lang w:eastAsia="zh-CN"/>
                      <w14:textFill>
                        <w14:solidFill>
                          <w14:schemeClr w14:val="tx1"/>
                        </w14:solidFill>
                      </w14:textFill>
                    </w:rPr>
                    <w:t>。</w:t>
                  </w:r>
                </w:p>
                <w:p w14:paraId="4C2D10AB">
                  <w:pPr>
                    <w:keepNext w:val="0"/>
                    <w:keepLines w:val="0"/>
                    <w:pageBreakBefore w:val="0"/>
                    <w:widowControl w:val="0"/>
                    <w:kinsoku/>
                    <w:wordWrap w:val="0"/>
                    <w:overflowPunct/>
                    <w:topLinePunct w:val="0"/>
                    <w:autoSpaceDE/>
                    <w:autoSpaceDN/>
                    <w:bidi w:val="0"/>
                    <w:adjustRightInd/>
                    <w:snapToGrid/>
                    <w:spacing w:line="240" w:lineRule="auto"/>
                    <w:jc w:val="left"/>
                    <w:textAlignment w:val="auto"/>
                    <w:outlineLvl w:val="9"/>
                    <w:rPr>
                      <w:rFonts w:hint="default" w:ascii="Times New Roman" w:hAnsi="Times New Roman" w:cs="Times New Roman"/>
                      <w:bCs/>
                      <w:color w:val="000000" w:themeColor="text1"/>
                      <w:sz w:val="21"/>
                      <w:szCs w:val="21"/>
                      <w:highlight w:val="none"/>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⑧</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油性漆-</w:t>
                  </w: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清</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漆调配方案为：</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面漆:稀释剂=1:0.</w:t>
                  </w:r>
                  <w:r>
                    <w:rPr>
                      <w:rFonts w:hint="eastAsia" w:cs="Times New Roman"/>
                      <w:color w:val="000000" w:themeColor="text1"/>
                      <w:sz w:val="21"/>
                      <w:szCs w:val="21"/>
                      <w:highlight w:val="none"/>
                      <w:lang w:val="en-US" w:eastAsia="zh-CN"/>
                      <w14:textFill>
                        <w14:solidFill>
                          <w14:schemeClr w14:val="tx1"/>
                        </w14:solidFill>
                      </w14:textFill>
                    </w:rPr>
                    <w:t>15</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已知</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清</w:t>
                  </w:r>
                  <w:r>
                    <w:rPr>
                      <w:rFonts w:hint="default" w:ascii="Times New Roman" w:hAnsi="Times New Roman" w:cs="Times New Roman"/>
                      <w:bCs/>
                      <w:color w:val="000000" w:themeColor="text1"/>
                      <w:sz w:val="21"/>
                      <w:szCs w:val="21"/>
                      <w:highlight w:val="none"/>
                      <w14:textFill>
                        <w14:solidFill>
                          <w14:schemeClr w14:val="tx1"/>
                        </w14:solidFill>
                      </w14:textFill>
                    </w:rPr>
                    <w:t>漆的密度为1</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173</w:t>
                  </w:r>
                  <w:r>
                    <w:rPr>
                      <w:rFonts w:hint="default" w:ascii="Times New Roman" w:hAnsi="Times New Roman" w:cs="Times New Roman"/>
                      <w:bCs/>
                      <w:color w:val="000000" w:themeColor="text1"/>
                      <w:sz w:val="21"/>
                      <w:szCs w:val="21"/>
                      <w:highlight w:val="none"/>
                      <w14:textFill>
                        <w14:solidFill>
                          <w14:schemeClr w14:val="tx1"/>
                        </w14:solidFill>
                      </w14:textFill>
                    </w:rPr>
                    <w:t>g/cm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Cs/>
                      <w:color w:val="000000" w:themeColor="text1"/>
                      <w:sz w:val="21"/>
                      <w:szCs w:val="21"/>
                      <w:highlight w:val="none"/>
                      <w:vertAlign w:val="baseline"/>
                      <w:lang w:eastAsia="zh-CN"/>
                      <w14:textFill>
                        <w14:solidFill>
                          <w14:schemeClr w14:val="tx1"/>
                        </w14:solidFill>
                      </w14:textFill>
                    </w:rPr>
                    <w:t>，</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稀释</w:t>
                  </w:r>
                  <w:r>
                    <w:rPr>
                      <w:rFonts w:hint="default" w:ascii="Times New Roman" w:hAnsi="Times New Roman" w:cs="Times New Roman"/>
                      <w:bCs/>
                      <w:color w:val="000000" w:themeColor="text1"/>
                      <w:sz w:val="21"/>
                      <w:szCs w:val="21"/>
                      <w:highlight w:val="none"/>
                      <w14:textFill>
                        <w14:solidFill>
                          <w14:schemeClr w14:val="tx1"/>
                        </w14:solidFill>
                      </w14:textFill>
                    </w:rPr>
                    <w:t>剂的密度为</w:t>
                  </w:r>
                  <w:r>
                    <w:rPr>
                      <w:rFonts w:hint="eastAsia" w:cs="Times New Roman"/>
                      <w:bCs/>
                      <w:color w:val="000000" w:themeColor="text1"/>
                      <w:sz w:val="21"/>
                      <w:szCs w:val="21"/>
                      <w:highlight w:val="none"/>
                      <w:lang w:val="en-US" w:eastAsia="zh-CN"/>
                      <w14:textFill>
                        <w14:solidFill>
                          <w14:schemeClr w14:val="tx1"/>
                        </w14:solidFill>
                      </w14:textFill>
                    </w:rPr>
                    <w:t>0.892</w:t>
                  </w:r>
                  <w:r>
                    <w:rPr>
                      <w:rFonts w:hint="default" w:ascii="Times New Roman" w:hAnsi="Times New Roman" w:cs="Times New Roman"/>
                      <w:bCs/>
                      <w:color w:val="000000" w:themeColor="text1"/>
                      <w:sz w:val="21"/>
                      <w:szCs w:val="21"/>
                      <w:highlight w:val="none"/>
                      <w14:textFill>
                        <w14:solidFill>
                          <w14:schemeClr w14:val="tx1"/>
                        </w14:solidFill>
                      </w14:textFill>
                    </w:rPr>
                    <w:t>g/cm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Cs/>
                      <w:color w:val="000000" w:themeColor="text1"/>
                      <w:sz w:val="21"/>
                      <w:szCs w:val="21"/>
                      <w:highlight w:val="none"/>
                      <w14:textFill>
                        <w14:solidFill>
                          <w14:schemeClr w14:val="tx1"/>
                        </w14:solidFill>
                      </w14:textFill>
                    </w:rPr>
                    <w:t>。调配后</w:t>
                  </w:r>
                  <w:r>
                    <w:rPr>
                      <w:rFonts w:hint="eastAsia" w:cs="Times New Roman"/>
                      <w:bCs/>
                      <w:color w:val="000000" w:themeColor="text1"/>
                      <w:sz w:val="21"/>
                      <w:szCs w:val="21"/>
                      <w:highlight w:val="none"/>
                      <w:lang w:val="en-US" w:eastAsia="zh-CN"/>
                      <w14:textFill>
                        <w14:solidFill>
                          <w14:schemeClr w14:val="tx1"/>
                        </w14:solidFill>
                      </w14:textFill>
                    </w:rPr>
                    <w:t>油性</w:t>
                  </w: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清</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漆</w:t>
                  </w:r>
                  <w:r>
                    <w:rPr>
                      <w:rFonts w:hint="default" w:ascii="Times New Roman" w:hAnsi="Times New Roman" w:cs="Times New Roman"/>
                      <w:bCs/>
                      <w:color w:val="000000" w:themeColor="text1"/>
                      <w:sz w:val="21"/>
                      <w:szCs w:val="21"/>
                      <w:highlight w:val="none"/>
                      <w14:textFill>
                        <w14:solidFill>
                          <w14:schemeClr w14:val="tx1"/>
                        </w14:solidFill>
                      </w14:textFill>
                    </w:rPr>
                    <w:t>密度、固含量的计算过程如下：设</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清</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漆</w:t>
                  </w:r>
                  <w:r>
                    <w:rPr>
                      <w:rFonts w:hint="default" w:ascii="Times New Roman" w:hAnsi="Times New Roman" w:cs="Times New Roman"/>
                      <w:bCs/>
                      <w:color w:val="000000" w:themeColor="text1"/>
                      <w:sz w:val="21"/>
                      <w:szCs w:val="21"/>
                      <w:highlight w:val="none"/>
                      <w14:textFill>
                        <w14:solidFill>
                          <w14:schemeClr w14:val="tx1"/>
                        </w14:solidFill>
                      </w14:textFill>
                    </w:rPr>
                    <w:t>的年用量约为</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bCs/>
                      <w:color w:val="000000" w:themeColor="text1"/>
                      <w:sz w:val="21"/>
                      <w:szCs w:val="21"/>
                      <w:highlight w:val="none"/>
                      <w14:textFill>
                        <w14:solidFill>
                          <w14:schemeClr w14:val="tx1"/>
                        </w14:solidFill>
                      </w14:textFill>
                    </w:rPr>
                    <w:t>X克，</w:t>
                  </w: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则</w:t>
                  </w:r>
                  <w:r>
                    <w:rPr>
                      <w:rFonts w:hint="default" w:ascii="Times New Roman" w:hAnsi="Times New Roman" w:cs="Times New Roman"/>
                      <w:bCs/>
                      <w:color w:val="000000" w:themeColor="text1"/>
                      <w:sz w:val="21"/>
                      <w:szCs w:val="21"/>
                      <w:highlight w:val="none"/>
                      <w14:textFill>
                        <w14:solidFill>
                          <w14:schemeClr w14:val="tx1"/>
                        </w14:solidFill>
                      </w14:textFill>
                    </w:rPr>
                    <w:t>稀释剂的年用量为</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0.</w:t>
                  </w: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15</w:t>
                  </w:r>
                  <w:r>
                    <w:rPr>
                      <w:rFonts w:hint="default" w:ascii="Times New Roman" w:hAnsi="Times New Roman" w:cs="Times New Roman"/>
                      <w:bCs/>
                      <w:color w:val="000000" w:themeColor="text1"/>
                      <w:sz w:val="21"/>
                      <w:szCs w:val="21"/>
                      <w:highlight w:val="none"/>
                      <w14:textFill>
                        <w14:solidFill>
                          <w14:schemeClr w14:val="tx1"/>
                        </w14:solidFill>
                      </w14:textFill>
                    </w:rPr>
                    <w:t>X克</w:t>
                  </w:r>
                  <w:r>
                    <w:rPr>
                      <w:rFonts w:hint="eastAsia"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cs="Times New Roman"/>
                      <w:bCs/>
                      <w:color w:val="000000" w:themeColor="text1"/>
                      <w:sz w:val="21"/>
                      <w:szCs w:val="21"/>
                      <w:highlight w:val="none"/>
                      <w14:textFill>
                        <w14:solidFill>
                          <w14:schemeClr w14:val="tx1"/>
                        </w14:solidFill>
                      </w14:textFill>
                    </w:rPr>
                    <w:t>调配后的</w:t>
                  </w:r>
                  <w:r>
                    <w:rPr>
                      <w:rFonts w:hint="eastAsia" w:cs="Times New Roman"/>
                      <w:bCs/>
                      <w:color w:val="000000" w:themeColor="text1"/>
                      <w:sz w:val="21"/>
                      <w:szCs w:val="21"/>
                      <w:highlight w:val="none"/>
                      <w:lang w:val="en-US" w:eastAsia="zh-CN"/>
                      <w14:textFill>
                        <w14:solidFill>
                          <w14:schemeClr w14:val="tx1"/>
                        </w14:solidFill>
                      </w14:textFill>
                    </w:rPr>
                    <w:t>油性</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清</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漆</w:t>
                  </w:r>
                  <w:r>
                    <w:rPr>
                      <w:rFonts w:hint="default" w:ascii="Times New Roman" w:hAnsi="Times New Roman" w:cs="Times New Roman"/>
                      <w:bCs/>
                      <w:color w:val="000000" w:themeColor="text1"/>
                      <w:sz w:val="21"/>
                      <w:szCs w:val="21"/>
                      <w:highlight w:val="none"/>
                      <w14:textFill>
                        <w14:solidFill>
                          <w14:schemeClr w14:val="tx1"/>
                        </w14:solidFill>
                      </w14:textFill>
                    </w:rPr>
                    <w:t>总年用量为：</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bCs/>
                      <w:color w:val="000000" w:themeColor="text1"/>
                      <w:sz w:val="21"/>
                      <w:szCs w:val="21"/>
                      <w:highlight w:val="none"/>
                      <w14:textFill>
                        <w14:solidFill>
                          <w14:schemeClr w14:val="tx1"/>
                        </w14:solidFill>
                      </w14:textFill>
                    </w:rPr>
                    <w:t>X+</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0.</w:t>
                  </w: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15</w:t>
                  </w:r>
                  <w:r>
                    <w:rPr>
                      <w:rFonts w:hint="default" w:ascii="Times New Roman" w:hAnsi="Times New Roman" w:cs="Times New Roman"/>
                      <w:bCs/>
                      <w:color w:val="000000" w:themeColor="text1"/>
                      <w:sz w:val="21"/>
                      <w:szCs w:val="21"/>
                      <w:highlight w:val="none"/>
                      <w14:textFill>
                        <w14:solidFill>
                          <w14:schemeClr w14:val="tx1"/>
                        </w14:solidFill>
                      </w14:textFill>
                    </w:rPr>
                    <w:t>X=</w:t>
                  </w:r>
                  <w:r>
                    <w:rPr>
                      <w:rFonts w:hint="eastAsia" w:cs="Times New Roman"/>
                      <w:bCs/>
                      <w:color w:val="000000" w:themeColor="text1"/>
                      <w:sz w:val="21"/>
                      <w:szCs w:val="21"/>
                      <w:highlight w:val="none"/>
                      <w:lang w:val="en-US" w:eastAsia="zh-CN"/>
                      <w14:textFill>
                        <w14:solidFill>
                          <w14:schemeClr w14:val="tx1"/>
                        </w14:solidFill>
                      </w14:textFill>
                    </w:rPr>
                    <w:t>1.15</w:t>
                  </w:r>
                  <w:r>
                    <w:rPr>
                      <w:rFonts w:hint="default" w:ascii="Times New Roman" w:hAnsi="Times New Roman" w:cs="Times New Roman"/>
                      <w:bCs/>
                      <w:color w:val="000000" w:themeColor="text1"/>
                      <w:sz w:val="21"/>
                      <w:szCs w:val="21"/>
                      <w:highlight w:val="none"/>
                      <w14:textFill>
                        <w14:solidFill>
                          <w14:schemeClr w14:val="tx1"/>
                        </w14:solidFill>
                      </w14:textFill>
                    </w:rPr>
                    <w:t>Xg，总体积为：</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bCs/>
                      <w:color w:val="000000" w:themeColor="text1"/>
                      <w:sz w:val="21"/>
                      <w:szCs w:val="21"/>
                      <w:highlight w:val="none"/>
                      <w14:textFill>
                        <w14:solidFill>
                          <w14:schemeClr w14:val="tx1"/>
                        </w14:solidFill>
                      </w14:textFill>
                    </w:rPr>
                    <w:t>X/</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1.</w:t>
                  </w: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173</w:t>
                  </w:r>
                  <w:r>
                    <w:rPr>
                      <w:rFonts w:hint="default" w:ascii="Times New Roman" w:hAnsi="Times New Roman" w:cs="Times New Roman"/>
                      <w:bCs/>
                      <w:color w:val="000000" w:themeColor="text1"/>
                      <w:sz w:val="21"/>
                      <w:szCs w:val="21"/>
                      <w:highlight w:val="none"/>
                      <w14:textFill>
                        <w14:solidFill>
                          <w14:schemeClr w14:val="tx1"/>
                        </w14:solidFill>
                      </w14:textFill>
                    </w:rPr>
                    <w:t>g/cm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Cs/>
                      <w:color w:val="000000" w:themeColor="text1"/>
                      <w:sz w:val="21"/>
                      <w:szCs w:val="21"/>
                      <w:highlight w:val="none"/>
                      <w14:textFill>
                        <w14:solidFill>
                          <w14:schemeClr w14:val="tx1"/>
                        </w14:solidFill>
                      </w14:textFill>
                    </w:rPr>
                    <w:t>+</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0.</w:t>
                  </w: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15</w:t>
                  </w:r>
                  <w:r>
                    <w:rPr>
                      <w:rFonts w:hint="default" w:ascii="Times New Roman" w:hAnsi="Times New Roman" w:cs="Times New Roman"/>
                      <w:bCs/>
                      <w:color w:val="000000" w:themeColor="text1"/>
                      <w:sz w:val="21"/>
                      <w:szCs w:val="21"/>
                      <w:highlight w:val="none"/>
                      <w14:textFill>
                        <w14:solidFill>
                          <w14:schemeClr w14:val="tx1"/>
                        </w14:solidFill>
                      </w14:textFill>
                    </w:rPr>
                    <w:t>X/</w:t>
                  </w:r>
                  <w:r>
                    <w:rPr>
                      <w:rFonts w:hint="eastAsia" w:cs="Times New Roman"/>
                      <w:bCs/>
                      <w:color w:val="000000" w:themeColor="text1"/>
                      <w:sz w:val="21"/>
                      <w:szCs w:val="21"/>
                      <w:highlight w:val="none"/>
                      <w:lang w:val="en-US" w:eastAsia="zh-CN"/>
                      <w14:textFill>
                        <w14:solidFill>
                          <w14:schemeClr w14:val="tx1"/>
                        </w14:solidFill>
                      </w14:textFill>
                    </w:rPr>
                    <w:t>0.892</w:t>
                  </w:r>
                  <w:r>
                    <w:rPr>
                      <w:rFonts w:hint="default" w:ascii="Times New Roman" w:hAnsi="Times New Roman" w:cs="Times New Roman"/>
                      <w:bCs/>
                      <w:color w:val="000000" w:themeColor="text1"/>
                      <w:sz w:val="21"/>
                      <w:szCs w:val="21"/>
                      <w:highlight w:val="none"/>
                      <w14:textFill>
                        <w14:solidFill>
                          <w14:schemeClr w14:val="tx1"/>
                        </w14:solidFill>
                      </w14:textFill>
                    </w:rPr>
                    <w:t>g/cm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eastAsia" w:cs="Times New Roman"/>
                      <w:bCs/>
                      <w:color w:val="000000" w:themeColor="text1"/>
                      <w:sz w:val="21"/>
                      <w:szCs w:val="21"/>
                      <w:highlight w:val="none"/>
                      <w:lang w:val="en-US" w:eastAsia="zh-CN"/>
                      <w14:textFill>
                        <w14:solidFill>
                          <w14:schemeClr w14:val="tx1"/>
                        </w14:solidFill>
                      </w14:textFill>
                    </w:rPr>
                    <w:t>≈1.021</w:t>
                  </w:r>
                  <w:r>
                    <w:rPr>
                      <w:rFonts w:hint="default" w:ascii="Times New Roman" w:hAnsi="Times New Roman" w:cs="Times New Roman"/>
                      <w:bCs/>
                      <w:color w:val="000000" w:themeColor="text1"/>
                      <w:sz w:val="21"/>
                      <w:szCs w:val="21"/>
                      <w:highlight w:val="none"/>
                      <w14:textFill>
                        <w14:solidFill>
                          <w14:schemeClr w14:val="tx1"/>
                        </w14:solidFill>
                      </w14:textFill>
                    </w:rPr>
                    <w:t>Xcm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p>
                <w:p w14:paraId="08E302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default"/>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sz w:val="21"/>
                      <w:szCs w:val="21"/>
                      <w:highlight w:val="none"/>
                      <w14:textFill>
                        <w14:solidFill>
                          <w14:schemeClr w14:val="tx1"/>
                        </w14:solidFill>
                      </w14:textFill>
                    </w:rPr>
                    <w:t>调配后的</w:t>
                  </w:r>
                  <w:r>
                    <w:rPr>
                      <w:rFonts w:hint="eastAsia" w:cs="Times New Roman"/>
                      <w:bCs/>
                      <w:color w:val="000000" w:themeColor="text1"/>
                      <w:sz w:val="21"/>
                      <w:szCs w:val="21"/>
                      <w:highlight w:val="none"/>
                      <w:lang w:val="en-US" w:eastAsia="zh-CN"/>
                      <w14:textFill>
                        <w14:solidFill>
                          <w14:schemeClr w14:val="tx1"/>
                        </w14:solidFill>
                      </w14:textFill>
                    </w:rPr>
                    <w:t>面</w:t>
                  </w:r>
                  <w:r>
                    <w:rPr>
                      <w:rFonts w:hint="default" w:ascii="Times New Roman" w:hAnsi="Times New Roman" w:cs="Times New Roman"/>
                      <w:bCs/>
                      <w:color w:val="000000" w:themeColor="text1"/>
                      <w:sz w:val="21"/>
                      <w:szCs w:val="21"/>
                      <w:highlight w:val="none"/>
                      <w14:textFill>
                        <w14:solidFill>
                          <w14:schemeClr w14:val="tx1"/>
                        </w14:solidFill>
                      </w14:textFill>
                    </w:rPr>
                    <w:t>漆相对密度为：</w:t>
                  </w:r>
                  <w:r>
                    <w:rPr>
                      <w:rFonts w:hint="eastAsia" w:cs="Times New Roman"/>
                      <w:bCs/>
                      <w:color w:val="000000" w:themeColor="text1"/>
                      <w:sz w:val="21"/>
                      <w:szCs w:val="21"/>
                      <w:highlight w:val="none"/>
                      <w:lang w:val="en-US" w:eastAsia="zh-CN"/>
                      <w14:textFill>
                        <w14:solidFill>
                          <w14:schemeClr w14:val="tx1"/>
                        </w14:solidFill>
                      </w14:textFill>
                    </w:rPr>
                    <w:t>1.15</w:t>
                  </w:r>
                  <w:r>
                    <w:rPr>
                      <w:rFonts w:hint="default" w:ascii="Times New Roman" w:hAnsi="Times New Roman" w:cs="Times New Roman"/>
                      <w:bCs/>
                      <w:color w:val="000000" w:themeColor="text1"/>
                      <w:sz w:val="21"/>
                      <w:szCs w:val="21"/>
                      <w:highlight w:val="none"/>
                      <w14:textFill>
                        <w14:solidFill>
                          <w14:schemeClr w14:val="tx1"/>
                        </w14:solidFill>
                      </w14:textFill>
                    </w:rPr>
                    <w:t>Xg/</w:t>
                  </w:r>
                  <w:r>
                    <w:rPr>
                      <w:rFonts w:hint="eastAsia" w:cs="Times New Roman"/>
                      <w:bCs/>
                      <w:color w:val="000000" w:themeColor="text1"/>
                      <w:sz w:val="21"/>
                      <w:szCs w:val="21"/>
                      <w:highlight w:val="none"/>
                      <w:lang w:val="en-US" w:eastAsia="zh-CN"/>
                      <w14:textFill>
                        <w14:solidFill>
                          <w14:schemeClr w14:val="tx1"/>
                        </w14:solidFill>
                      </w14:textFill>
                    </w:rPr>
                    <w:t>1.021</w:t>
                  </w:r>
                  <w:r>
                    <w:rPr>
                      <w:rFonts w:hint="default" w:ascii="Times New Roman" w:hAnsi="Times New Roman" w:cs="Times New Roman"/>
                      <w:bCs/>
                      <w:color w:val="000000" w:themeColor="text1"/>
                      <w:sz w:val="21"/>
                      <w:szCs w:val="21"/>
                      <w:highlight w:val="none"/>
                      <w14:textFill>
                        <w14:solidFill>
                          <w14:schemeClr w14:val="tx1"/>
                        </w14:solidFill>
                      </w14:textFill>
                    </w:rPr>
                    <w:t>Xcm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eastAsia" w:cs="Times New Roman"/>
                      <w:bCs/>
                      <w:color w:val="000000" w:themeColor="text1"/>
                      <w:sz w:val="21"/>
                      <w:szCs w:val="21"/>
                      <w:highlight w:val="none"/>
                      <w:lang w:val="en-US" w:eastAsia="zh-CN"/>
                      <w14:textFill>
                        <w14:solidFill>
                          <w14:schemeClr w14:val="tx1"/>
                        </w14:solidFill>
                      </w14:textFill>
                    </w:rPr>
                    <w:t>≈1.127</w:t>
                  </w:r>
                  <w:r>
                    <w:rPr>
                      <w:rFonts w:hint="default" w:ascii="Times New Roman" w:hAnsi="Times New Roman" w:cs="Times New Roman"/>
                      <w:bCs/>
                      <w:color w:val="000000" w:themeColor="text1"/>
                      <w:sz w:val="21"/>
                      <w:szCs w:val="21"/>
                      <w:highlight w:val="none"/>
                      <w14:textFill>
                        <w14:solidFill>
                          <w14:schemeClr w14:val="tx1"/>
                        </w14:solidFill>
                      </w14:textFill>
                    </w:rPr>
                    <w:t>g/cm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Cs/>
                      <w:color w:val="000000" w:themeColor="text1"/>
                      <w:sz w:val="21"/>
                      <w:szCs w:val="21"/>
                      <w:highlight w:val="none"/>
                      <w:vertAlign w:val="baseline"/>
                      <w:lang w:eastAsia="zh-CN"/>
                      <w14:textFill>
                        <w14:solidFill>
                          <w14:schemeClr w14:val="tx1"/>
                        </w14:solidFill>
                      </w14:textFill>
                    </w:rPr>
                    <w:t>，</w:t>
                  </w:r>
                  <w:r>
                    <w:rPr>
                      <w:rFonts w:hint="default" w:ascii="Times New Roman" w:hAnsi="Times New Roman" w:cs="Times New Roman"/>
                      <w:bCs/>
                      <w:color w:val="000000" w:themeColor="text1"/>
                      <w:sz w:val="21"/>
                      <w:szCs w:val="21"/>
                      <w:highlight w:val="none"/>
                      <w14:textFill>
                        <w14:solidFill>
                          <w14:schemeClr w14:val="tx1"/>
                        </w14:solidFill>
                      </w14:textFill>
                    </w:rPr>
                    <w:t>固含率</w:t>
                  </w:r>
                  <w:r>
                    <w:rPr>
                      <w:rFonts w:hint="eastAsia" w:cs="Times New Roman"/>
                      <w:bCs/>
                      <w:color w:val="000000" w:themeColor="text1"/>
                      <w:sz w:val="21"/>
                      <w:szCs w:val="21"/>
                      <w:highlight w:val="none"/>
                      <w:lang w:val="en-US" w:eastAsia="zh-CN"/>
                      <w14:textFill>
                        <w14:solidFill>
                          <w14:schemeClr w14:val="tx1"/>
                        </w14:solidFill>
                      </w14:textFill>
                    </w:rPr>
                    <w:t>=油性清漆的固含量/调配后的油性清漆总年用量=（1-288g/L/1.173</w:t>
                  </w:r>
                  <w:r>
                    <w:rPr>
                      <w:rFonts w:hint="default" w:ascii="Times New Roman" w:hAnsi="Times New Roman" w:cs="Times New Roman"/>
                      <w:bCs/>
                      <w:color w:val="000000" w:themeColor="text1"/>
                      <w:sz w:val="21"/>
                      <w:szCs w:val="21"/>
                      <w:highlight w:val="none"/>
                      <w14:textFill>
                        <w14:solidFill>
                          <w14:schemeClr w14:val="tx1"/>
                        </w14:solidFill>
                      </w14:textFill>
                    </w:rPr>
                    <w:t>g/cm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r>
                    <w:rPr>
                      <w:rFonts w:hint="eastAsia" w:cs="Times New Roman"/>
                      <w:bCs/>
                      <w:color w:val="000000" w:themeColor="text1"/>
                      <w:sz w:val="21"/>
                      <w:szCs w:val="21"/>
                      <w:highlight w:val="none"/>
                      <w:lang w:val="en-US" w:eastAsia="zh-CN"/>
                      <w14:textFill>
                        <w14:solidFill>
                          <w14:schemeClr w14:val="tx1"/>
                        </w14:solidFill>
                      </w14:textFill>
                    </w:rPr>
                    <w:t>）X/1.15Xg×100%=65.61</w:t>
                  </w:r>
                  <w:r>
                    <w:rPr>
                      <w:rFonts w:hint="default" w:ascii="Times New Roman" w:hAnsi="Times New Roman" w:cs="Times New Roman"/>
                      <w:bCs/>
                      <w:color w:val="000000" w:themeColor="text1"/>
                      <w:sz w:val="21"/>
                      <w:szCs w:val="21"/>
                      <w:highlight w:val="none"/>
                      <w14:textFill>
                        <w14:solidFill>
                          <w14:schemeClr w14:val="tx1"/>
                        </w14:solidFill>
                      </w14:textFill>
                    </w:rPr>
                    <w:t>%</w:t>
                  </w:r>
                  <w:r>
                    <w:rPr>
                      <w:rFonts w:hint="eastAsia" w:ascii="Times New Roman" w:hAnsi="Times New Roman" w:cs="Times New Roman"/>
                      <w:bCs/>
                      <w:color w:val="000000" w:themeColor="text1"/>
                      <w:sz w:val="21"/>
                      <w:szCs w:val="21"/>
                      <w:highlight w:val="none"/>
                      <w:lang w:eastAsia="zh-CN"/>
                      <w14:textFill>
                        <w14:solidFill>
                          <w14:schemeClr w14:val="tx1"/>
                        </w14:solidFill>
                      </w14:textFill>
                    </w:rPr>
                    <w:t>。</w:t>
                  </w:r>
                </w:p>
              </w:tc>
            </w:tr>
            <w:tr w14:paraId="76D4A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5000" w:type="pct"/>
                  <w:gridSpan w:val="9"/>
                  <w:vMerge w:val="continue"/>
                  <w:tcBorders>
                    <w:top w:val="single" w:color="000000" w:sz="4" w:space="0"/>
                    <w:left w:val="single" w:color="000000" w:sz="4" w:space="0"/>
                    <w:bottom w:val="single" w:color="000000" w:sz="4" w:space="0"/>
                    <w:right w:val="single" w:color="000000" w:sz="4" w:space="0"/>
                  </w:tcBorders>
                  <w:noWrap w:val="0"/>
                  <w:vAlign w:val="center"/>
                </w:tcPr>
                <w:p w14:paraId="0AA96E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60944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5000" w:type="pct"/>
                  <w:gridSpan w:val="9"/>
                  <w:vMerge w:val="continue"/>
                  <w:tcBorders>
                    <w:top w:val="single" w:color="000000" w:sz="4" w:space="0"/>
                    <w:left w:val="single" w:color="000000" w:sz="4" w:space="0"/>
                    <w:bottom w:val="single" w:color="000000" w:sz="4" w:space="0"/>
                    <w:right w:val="single" w:color="000000" w:sz="4" w:space="0"/>
                  </w:tcBorders>
                  <w:noWrap w:val="0"/>
                  <w:vAlign w:val="center"/>
                </w:tcPr>
                <w:p w14:paraId="739C1C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412B8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5000" w:type="pct"/>
                  <w:gridSpan w:val="9"/>
                  <w:vMerge w:val="continue"/>
                  <w:tcBorders>
                    <w:top w:val="single" w:color="000000" w:sz="4" w:space="0"/>
                    <w:left w:val="single" w:color="000000" w:sz="4" w:space="0"/>
                    <w:bottom w:val="single" w:color="000000" w:sz="4" w:space="0"/>
                    <w:right w:val="single" w:color="000000" w:sz="4" w:space="0"/>
                  </w:tcBorders>
                  <w:noWrap w:val="0"/>
                  <w:vAlign w:val="center"/>
                </w:tcPr>
                <w:p w14:paraId="463B46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643DB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87" w:hRule="atLeast"/>
                <w:jc w:val="center"/>
              </w:trPr>
              <w:tc>
                <w:tcPr>
                  <w:tcW w:w="5000" w:type="pct"/>
                  <w:gridSpan w:val="9"/>
                  <w:vMerge w:val="continue"/>
                  <w:tcBorders>
                    <w:top w:val="single" w:color="000000" w:sz="4" w:space="0"/>
                    <w:left w:val="single" w:color="000000" w:sz="4" w:space="0"/>
                    <w:bottom w:val="single" w:color="000000" w:sz="4" w:space="0"/>
                    <w:right w:val="single" w:color="000000" w:sz="4" w:space="0"/>
                  </w:tcBorders>
                  <w:noWrap w:val="0"/>
                  <w:vAlign w:val="center"/>
                </w:tcPr>
                <w:p w14:paraId="71E4B5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bl>
          <w:p w14:paraId="13A3F6C6">
            <w:pPr>
              <w:keepNext w:val="0"/>
              <w:keepLines w:val="0"/>
              <w:pageBreakBefore w:val="0"/>
              <w:widowControl/>
              <w:kinsoku/>
              <w:wordWrap/>
              <w:overflowPunct/>
              <w:topLinePunct w:val="0"/>
              <w:autoSpaceDE/>
              <w:autoSpaceDN/>
              <w:bidi w:val="0"/>
              <w:adjustRightInd/>
              <w:snapToGrid/>
              <w:spacing w:line="100" w:lineRule="exact"/>
              <w:ind w:firstLine="478" w:firstLineChars="200"/>
              <w:jc w:val="left"/>
              <w:textAlignment w:val="auto"/>
              <w:rPr>
                <w:rFonts w:hint="default" w:ascii="Times New Roman" w:hAnsi="Times New Roman" w:eastAsia="宋体" w:cs="Times New Roman"/>
                <w:b/>
                <w:bCs/>
                <w:color w:val="000000" w:themeColor="text1"/>
                <w:spacing w:val="-1"/>
                <w:sz w:val="24"/>
                <w:szCs w:val="24"/>
                <w:highlight w:val="none"/>
                <w14:textFill>
                  <w14:solidFill>
                    <w14:schemeClr w14:val="tx1"/>
                  </w14:solidFill>
                </w14:textFill>
              </w:rPr>
            </w:pPr>
          </w:p>
          <w:p w14:paraId="38557F2D">
            <w:pPr>
              <w:pStyle w:val="11"/>
              <w:widowControl/>
              <w:numPr>
                <w:ilvl w:val="4"/>
                <w:numId w:val="0"/>
              </w:numPr>
              <w:suppressLineNumbers w:val="0"/>
              <w:spacing w:before="0" w:beforeAutospacing="0" w:after="0" w:afterAutospacing="0"/>
              <w:ind w:left="0" w:right="0" w:firstLine="482" w:firstLineChars="200"/>
              <w:rPr>
                <w:rFonts w:hint="default" w:ascii="Times New Roman" w:hAnsi="Times New Roman" w:cs="Times New Roman"/>
                <w:color w:val="000000" w:themeColor="text1"/>
                <w:kern w:val="2"/>
                <w:highlight w:val="none"/>
                <w14:textFill>
                  <w14:solidFill>
                    <w14:schemeClr w14:val="tx1"/>
                  </w14:solidFill>
                </w14:textFill>
              </w:rPr>
            </w:pPr>
            <w:r>
              <w:rPr>
                <w:rFonts w:hint="default" w:ascii="Times New Roman" w:hAnsi="Times New Roman" w:cs="Times New Roman"/>
                <w:color w:val="000000" w:themeColor="text1"/>
                <w:kern w:val="2"/>
                <w:highlight w:val="none"/>
                <w14:textFill>
                  <w14:solidFill>
                    <w14:schemeClr w14:val="tx1"/>
                  </w14:solidFill>
                </w14:textFill>
              </w:rPr>
              <w:t>（2）部分原辅材料理化性质</w:t>
            </w:r>
          </w:p>
          <w:p w14:paraId="23CA56BA">
            <w:pPr>
              <w:pageBreakBefore w:val="0"/>
              <w:widowControl w:val="0"/>
              <w:numPr>
                <w:ilvl w:val="0"/>
                <w:numId w:val="10"/>
              </w:numPr>
              <w:wordWrap w:val="0"/>
              <w:overflowPunct/>
              <w:bidi w:val="0"/>
              <w:spacing w:line="240" w:lineRule="auto"/>
              <w:ind w:left="0" w:leftChars="0" w:firstLine="40" w:firstLineChars="0"/>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原辅材料性质一览表</w:t>
            </w:r>
          </w:p>
          <w:tbl>
            <w:tblPr>
              <w:tblStyle w:val="45"/>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2"/>
              <w:gridCol w:w="1597"/>
              <w:gridCol w:w="4832"/>
              <w:gridCol w:w="1088"/>
            </w:tblGrid>
            <w:tr w14:paraId="5E49F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14" w:type="pct"/>
                  <w:noWrap w:val="0"/>
                  <w:vAlign w:val="center"/>
                </w:tcPr>
                <w:p w14:paraId="0028298D">
                  <w:pPr>
                    <w:adjustRightInd w:val="0"/>
                    <w:snapToGrid w:val="0"/>
                    <w:spacing w:line="240" w:lineRule="auto"/>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名称</w:t>
                  </w:r>
                </w:p>
              </w:tc>
              <w:tc>
                <w:tcPr>
                  <w:tcW w:w="953" w:type="pct"/>
                  <w:noWrap w:val="0"/>
                  <w:vAlign w:val="center"/>
                </w:tcPr>
                <w:p w14:paraId="02DC465D">
                  <w:pPr>
                    <w:adjustRightInd w:val="0"/>
                    <w:snapToGrid w:val="0"/>
                    <w:spacing w:line="240" w:lineRule="auto"/>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成分</w:t>
                  </w:r>
                </w:p>
              </w:tc>
              <w:tc>
                <w:tcPr>
                  <w:tcW w:w="2882" w:type="pct"/>
                  <w:noWrap w:val="0"/>
                  <w:vAlign w:val="center"/>
                </w:tcPr>
                <w:p w14:paraId="717FA369">
                  <w:pPr>
                    <w:adjustRightInd w:val="0"/>
                    <w:snapToGrid w:val="0"/>
                    <w:spacing w:line="240" w:lineRule="auto"/>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理化</w:t>
                  </w:r>
                  <w:r>
                    <w:rPr>
                      <w:rFonts w:hint="default" w:ascii="Times New Roman" w:hAnsi="Times New Roman" w:cs="Times New Roman"/>
                      <w:b/>
                      <w:bCs/>
                      <w:color w:val="000000" w:themeColor="text1"/>
                      <w:kern w:val="2"/>
                      <w:sz w:val="21"/>
                      <w:szCs w:val="21"/>
                      <w:highlight w:val="none"/>
                      <w14:textFill>
                        <w14:solidFill>
                          <w14:schemeClr w14:val="tx1"/>
                        </w14:solidFill>
                      </w14:textFill>
                    </w:rPr>
                    <w:t>性质/简介</w:t>
                  </w:r>
                </w:p>
              </w:tc>
              <w:tc>
                <w:tcPr>
                  <w:tcW w:w="649" w:type="pct"/>
                  <w:noWrap w:val="0"/>
                  <w:vAlign w:val="center"/>
                </w:tcPr>
                <w:p w14:paraId="5740A5F0">
                  <w:pPr>
                    <w:adjustRightInd w:val="0"/>
                    <w:snapToGrid w:val="0"/>
                    <w:spacing w:line="240" w:lineRule="auto"/>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是否危险化学品</w:t>
                  </w:r>
                </w:p>
              </w:tc>
            </w:tr>
            <w:tr w14:paraId="13BA3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14" w:type="pct"/>
                  <w:noWrap w:val="0"/>
                  <w:vAlign w:val="center"/>
                </w:tcPr>
                <w:p w14:paraId="7AC9FE10">
                  <w:pPr>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天然气</w:t>
                  </w:r>
                </w:p>
              </w:tc>
              <w:tc>
                <w:tcPr>
                  <w:tcW w:w="953" w:type="pct"/>
                  <w:noWrap w:val="0"/>
                  <w:vAlign w:val="center"/>
                </w:tcPr>
                <w:p w14:paraId="337F66EB">
                  <w:pPr>
                    <w:adjustRightInd w:val="0"/>
                    <w:snapToGrid w:val="0"/>
                    <w:spacing w:line="240" w:lineRule="auto"/>
                    <w:jc w:val="center"/>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fldChar w:fldCharType="begin"/>
                  </w:r>
                  <w:r>
                    <w:rPr>
                      <w:rFonts w:hint="default" w:ascii="Times New Roman" w:hAnsi="Times New Roman" w:cs="Times New Roman"/>
                      <w:color w:val="000000" w:themeColor="text1"/>
                      <w:kern w:val="2"/>
                      <w:sz w:val="21"/>
                      <w:szCs w:val="21"/>
                      <w:highlight w:val="none"/>
                      <w14:textFill>
                        <w14:solidFill>
                          <w14:schemeClr w14:val="tx1"/>
                        </w14:solidFill>
                      </w14:textFill>
                    </w:rPr>
                    <w:instrText xml:space="preserve"> HYPERLINK "https://baike.baidu.com/item/%E7%83%B7%E7%83%83/1138261?fromModule=lemma_inlink" \t "https://baike.baidu.com/item/%E5%A4%A9%E7%84%B6%E6%B0%94/_blank" </w:instrText>
                  </w:r>
                  <w:r>
                    <w:rPr>
                      <w:rFonts w:hint="default" w:ascii="Times New Roman" w:hAnsi="Times New Roman" w:cs="Times New Roman"/>
                      <w:color w:val="000000" w:themeColor="text1"/>
                      <w:kern w:val="2"/>
                      <w:sz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kern w:val="2"/>
                      <w:sz w:val="21"/>
                      <w:szCs w:val="21"/>
                      <w:highlight w:val="none"/>
                      <w14:textFill>
                        <w14:solidFill>
                          <w14:schemeClr w14:val="tx1"/>
                        </w14:solidFill>
                      </w14:textFill>
                    </w:rPr>
                    <w:t>烷烃</w:t>
                  </w:r>
                  <w:r>
                    <w:rPr>
                      <w:rFonts w:hint="default" w:ascii="Times New Roman" w:hAnsi="Times New Roman" w:cs="Times New Roman"/>
                      <w:color w:val="000000" w:themeColor="text1"/>
                      <w:kern w:val="2"/>
                      <w:sz w:val="21"/>
                      <w:szCs w:val="21"/>
                      <w:highlight w:val="none"/>
                      <w14:textFill>
                        <w14:solidFill>
                          <w14:schemeClr w14:val="tx1"/>
                        </w14:solidFill>
                      </w14:textFill>
                    </w:rPr>
                    <w:fldChar w:fldCharType="end"/>
                  </w:r>
                  <w:r>
                    <w:rPr>
                      <w:rFonts w:hint="default" w:ascii="Times New Roman" w:hAnsi="Times New Roman" w:cs="Times New Roman"/>
                      <w:color w:val="000000" w:themeColor="text1"/>
                      <w:kern w:val="2"/>
                      <w:sz w:val="21"/>
                      <w:szCs w:val="21"/>
                      <w:highlight w:val="none"/>
                      <w14:textFill>
                        <w14:solidFill>
                          <w14:schemeClr w14:val="tx1"/>
                        </w14:solidFill>
                      </w14:textFill>
                    </w:rPr>
                    <w:t>（以甲烷为主）</w:t>
                  </w:r>
                </w:p>
              </w:tc>
              <w:tc>
                <w:tcPr>
                  <w:tcW w:w="2882" w:type="pct"/>
                  <w:noWrap w:val="0"/>
                  <w:vAlign w:val="center"/>
                </w:tcPr>
                <w:p w14:paraId="1BAC3DA9">
                  <w:pPr>
                    <w:adjustRightInd w:val="0"/>
                    <w:snapToGrid w:val="0"/>
                    <w:spacing w:line="240" w:lineRule="auto"/>
                    <w:jc w:val="center"/>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不溶于水，密度为0.7174kg/m</w:t>
                  </w:r>
                  <w:r>
                    <w:rPr>
                      <w:rFonts w:hint="default" w:ascii="Times New Roman" w:hAnsi="Times New Roman" w:cs="Times New Roman"/>
                      <w:color w:val="000000" w:themeColor="text1"/>
                      <w:kern w:val="2"/>
                      <w:sz w:val="21"/>
                      <w:szCs w:val="21"/>
                      <w:highlight w:val="none"/>
                      <w:vertAlign w:val="superscript"/>
                      <w14:textFill>
                        <w14:solidFill>
                          <w14:schemeClr w14:val="tx1"/>
                        </w14:solidFill>
                      </w14:textFill>
                    </w:rPr>
                    <w:t>3</w:t>
                  </w:r>
                  <w:r>
                    <w:rPr>
                      <w:rFonts w:hint="default" w:ascii="Times New Roman" w:hAnsi="Times New Roman" w:cs="Times New Roman"/>
                      <w:color w:val="000000" w:themeColor="text1"/>
                      <w:kern w:val="2"/>
                      <w:sz w:val="21"/>
                      <w:szCs w:val="21"/>
                      <w:highlight w:val="none"/>
                      <w14:textFill>
                        <w14:solidFill>
                          <w14:schemeClr w14:val="tx1"/>
                        </w14:solidFill>
                      </w14:textFill>
                    </w:rPr>
                    <w:t>，相对密度（水）为0.45（液化）燃点（℃）为650，爆炸极限（V%）为5~15。天然气每立方燃烧热值为8000大卡</w:t>
                  </w:r>
                  <w:r>
                    <w:rPr>
                      <w:rFonts w:hint="default" w:ascii="Times New Roman" w:hAnsi="Times New Roman" w:cs="Times New Roman"/>
                      <w:color w:val="000000" w:themeColor="text1"/>
                      <w:kern w:val="2"/>
                      <w:sz w:val="21"/>
                      <w:szCs w:val="21"/>
                      <w:highlight w:val="none"/>
                      <w:lang w:eastAsia="zh-CN"/>
                      <w14:textFill>
                        <w14:solidFill>
                          <w14:schemeClr w14:val="tx1"/>
                        </w14:solidFill>
                      </w14:textFill>
                    </w:rPr>
                    <w:t>～</w:t>
                  </w:r>
                  <w:r>
                    <w:rPr>
                      <w:rFonts w:hint="default" w:ascii="Times New Roman" w:hAnsi="Times New Roman" w:cs="Times New Roman"/>
                      <w:color w:val="000000" w:themeColor="text1"/>
                      <w:kern w:val="2"/>
                      <w:sz w:val="21"/>
                      <w:szCs w:val="21"/>
                      <w:highlight w:val="none"/>
                      <w14:textFill>
                        <w14:solidFill>
                          <w14:schemeClr w14:val="tx1"/>
                        </w14:solidFill>
                      </w14:textFill>
                    </w:rPr>
                    <w:t>8500大卡。每公斤液化气燃烧热值为11000大卡。气态液化气的比重为0.55</w:t>
                  </w:r>
                </w:p>
              </w:tc>
              <w:tc>
                <w:tcPr>
                  <w:tcW w:w="649" w:type="pct"/>
                  <w:noWrap w:val="0"/>
                  <w:vAlign w:val="center"/>
                </w:tcPr>
                <w:p w14:paraId="1A27A5F6">
                  <w:pPr>
                    <w:adjustRightInd w:val="0"/>
                    <w:snapToGrid w:val="0"/>
                    <w:spacing w:line="240" w:lineRule="auto"/>
                    <w:jc w:val="center"/>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是</w:t>
                  </w:r>
                </w:p>
              </w:tc>
            </w:tr>
            <w:tr w14:paraId="1F9D6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14" w:type="pct"/>
                  <w:noWrap w:val="0"/>
                  <w:vAlign w:val="center"/>
                </w:tcPr>
                <w:p w14:paraId="14124336">
                  <w:pPr>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除油</w:t>
                  </w:r>
                  <w:r>
                    <w:rPr>
                      <w:rFonts w:hint="default" w:ascii="Times New Roman" w:hAnsi="Times New Roman" w:cs="Times New Roman"/>
                      <w:color w:val="000000" w:themeColor="text1"/>
                      <w:sz w:val="21"/>
                      <w:szCs w:val="21"/>
                      <w:highlight w:val="none"/>
                      <w14:textFill>
                        <w14:solidFill>
                          <w14:schemeClr w14:val="tx1"/>
                        </w14:solidFill>
                      </w14:textFill>
                    </w:rPr>
                    <w:t>剂</w:t>
                  </w:r>
                </w:p>
              </w:tc>
              <w:tc>
                <w:tcPr>
                  <w:tcW w:w="953" w:type="pct"/>
                  <w:noWrap w:val="0"/>
                  <w:vAlign w:val="center"/>
                </w:tcPr>
                <w:p w14:paraId="6320A348">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磷酸5%</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w:t>
                  </w:r>
                  <w:r>
                    <w:rPr>
                      <w:rFonts w:hint="default" w:ascii="Times New Roman" w:hAnsi="Times New Roman" w:cs="Times New Roman"/>
                      <w:color w:val="000000" w:themeColor="text1"/>
                      <w:kern w:val="2"/>
                      <w:sz w:val="21"/>
                      <w:szCs w:val="21"/>
                      <w:highlight w:val="none"/>
                      <w14:textFill>
                        <w14:solidFill>
                          <w14:schemeClr w14:val="tx1"/>
                        </w14:solidFill>
                      </w14:textFill>
                    </w:rPr>
                    <w:t>醋酸</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6%、</w:t>
                  </w:r>
                  <w:r>
                    <w:rPr>
                      <w:rFonts w:hint="default" w:ascii="Times New Roman" w:hAnsi="Times New Roman" w:cs="Times New Roman"/>
                      <w:color w:val="000000" w:themeColor="text1"/>
                      <w:kern w:val="2"/>
                      <w:sz w:val="21"/>
                      <w:szCs w:val="21"/>
                      <w:highlight w:val="none"/>
                      <w14:textFill>
                        <w14:solidFill>
                          <w14:schemeClr w14:val="tx1"/>
                        </w14:solidFill>
                      </w14:textFill>
                    </w:rPr>
                    <w:t>除油分子</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10%、</w:t>
                  </w:r>
                  <w:r>
                    <w:rPr>
                      <w:rFonts w:hint="default" w:ascii="Times New Roman" w:hAnsi="Times New Roman" w:cs="Times New Roman"/>
                      <w:color w:val="000000" w:themeColor="text1"/>
                      <w:kern w:val="2"/>
                      <w:sz w:val="21"/>
                      <w:szCs w:val="21"/>
                      <w:highlight w:val="none"/>
                      <w14:textFill>
                        <w14:solidFill>
                          <w14:schemeClr w14:val="tx1"/>
                        </w14:solidFill>
                      </w14:textFill>
                    </w:rPr>
                    <w:t>抗氧化剂10%</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w:t>
                  </w:r>
                  <w:r>
                    <w:rPr>
                      <w:rFonts w:hint="default" w:ascii="Times New Roman" w:hAnsi="Times New Roman" w:cs="Times New Roman"/>
                      <w:color w:val="000000" w:themeColor="text1"/>
                      <w:kern w:val="2"/>
                      <w:sz w:val="21"/>
                      <w:szCs w:val="21"/>
                      <w:highlight w:val="none"/>
                      <w14:textFill>
                        <w14:solidFill>
                          <w14:schemeClr w14:val="tx1"/>
                        </w14:solidFill>
                      </w14:textFill>
                    </w:rPr>
                    <w:t>柠檬酸</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3%、</w:t>
                  </w:r>
                  <w:r>
                    <w:rPr>
                      <w:rFonts w:hint="default" w:ascii="Times New Roman" w:hAnsi="Times New Roman" w:cs="Times New Roman"/>
                      <w:color w:val="000000" w:themeColor="text1"/>
                      <w:kern w:val="2"/>
                      <w:sz w:val="21"/>
                      <w:szCs w:val="21"/>
                      <w:highlight w:val="none"/>
                      <w14:textFill>
                        <w14:solidFill>
                          <w14:schemeClr w14:val="tx1"/>
                        </w14:solidFill>
                      </w14:textFill>
                    </w:rPr>
                    <w:t>活性剂</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10%、</w:t>
                  </w:r>
                  <w:r>
                    <w:rPr>
                      <w:rFonts w:hint="default" w:ascii="Times New Roman" w:hAnsi="Times New Roman" w:cs="Times New Roman"/>
                      <w:color w:val="000000" w:themeColor="text1"/>
                      <w:kern w:val="2"/>
                      <w:sz w:val="21"/>
                      <w:szCs w:val="21"/>
                      <w:highlight w:val="none"/>
                      <w14:textFill>
                        <w14:solidFill>
                          <w14:schemeClr w14:val="tx1"/>
                        </w14:solidFill>
                      </w14:textFill>
                    </w:rPr>
                    <w:t>氢氟酸</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1%其他（水）</w:t>
                  </w:r>
                  <w:r>
                    <w:rPr>
                      <w:rFonts w:hint="default" w:ascii="Times New Roman" w:hAnsi="Times New Roman" w:cs="Times New Roman"/>
                      <w:color w:val="000000" w:themeColor="text1"/>
                      <w:kern w:val="2"/>
                      <w:sz w:val="21"/>
                      <w:szCs w:val="21"/>
                      <w:highlight w:val="none"/>
                      <w14:textFill>
                        <w14:solidFill>
                          <w14:schemeClr w14:val="tx1"/>
                        </w14:solidFill>
                      </w14:textFill>
                    </w:rPr>
                    <w:t>55%</w:t>
                  </w:r>
                </w:p>
              </w:tc>
              <w:tc>
                <w:tcPr>
                  <w:tcW w:w="2882" w:type="pct"/>
                  <w:noWrap w:val="0"/>
                  <w:vAlign w:val="center"/>
                </w:tcPr>
                <w:p w14:paraId="20CB209D">
                  <w:pPr>
                    <w:adjustRightInd w:val="0"/>
                    <w:snapToGrid w:val="0"/>
                    <w:spacing w:line="240" w:lineRule="auto"/>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产品性能:弱酸性除油剂，</w:t>
                  </w:r>
                  <w:r>
                    <w:rPr>
                      <w:rFonts w:hint="eastAsia" w:cs="Times New Roman"/>
                      <w:b w:val="0"/>
                      <w:bCs w:val="0"/>
                      <w:color w:val="000000" w:themeColor="text1"/>
                      <w:sz w:val="21"/>
                      <w:szCs w:val="21"/>
                      <w:lang w:val="en-US" w:eastAsia="zh-CN"/>
                      <w14:textFill>
                        <w14:solidFill>
                          <w14:schemeClr w14:val="tx1"/>
                        </w14:solidFill>
                      </w14:textFill>
                    </w:rPr>
                    <w:t>密度:1.05~1.07g/cm</w:t>
                  </w:r>
                  <w:r>
                    <w:rPr>
                      <w:rFonts w:hint="eastAsia" w:cs="Times New Roman"/>
                      <w:b w:val="0"/>
                      <w:bCs w:val="0"/>
                      <w:color w:val="000000" w:themeColor="text1"/>
                      <w:sz w:val="21"/>
                      <w:szCs w:val="21"/>
                      <w:vertAlign w:val="superscript"/>
                      <w:lang w:val="en-US" w:eastAsia="zh-CN"/>
                      <w14:textFill>
                        <w14:solidFill>
                          <w14:schemeClr w14:val="tx1"/>
                        </w14:solidFill>
                      </w14:textFill>
                    </w:rPr>
                    <w:t>3</w:t>
                  </w:r>
                  <w:r>
                    <w:rPr>
                      <w:rFonts w:hint="eastAsia" w:cs="Times New Roman"/>
                      <w:b w:val="0"/>
                      <w:bCs w:val="0"/>
                      <w:color w:val="000000" w:themeColor="text1"/>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用于铝，铝合金表面除油，除污。尤其对拉伸油有很好的分解效果，并能快速去除铝材表面的氧化层。活性剂先浸润、乳化表层拉伸油污；弱酸 + 氢氟酸溶解铝氧化皮，剥离内嵌深层油污；柠檬酸络合金属杂质、抗氧化剂保护基材，整套体系常温浸泡即可同步完成除油 + 除氧化层</w:t>
                  </w:r>
                  <w:r>
                    <w:rPr>
                      <w:rFonts w:hint="eastAsia" w:cs="Times New Roman"/>
                      <w:b w:val="0"/>
                      <w:bCs w:val="0"/>
                      <w:color w:val="000000" w:themeColor="text1"/>
                      <w:sz w:val="21"/>
                      <w:szCs w:val="21"/>
                      <w:lang w:val="en-US" w:eastAsia="zh-CN"/>
                      <w14:textFill>
                        <w14:solidFill>
                          <w14:schemeClr w14:val="tx1"/>
                        </w14:solidFill>
                      </w14:textFill>
                    </w:rPr>
                    <w:t>。</w:t>
                  </w:r>
                </w:p>
              </w:tc>
              <w:tc>
                <w:tcPr>
                  <w:tcW w:w="649" w:type="pct"/>
                  <w:noWrap w:val="0"/>
                  <w:vAlign w:val="center"/>
                </w:tcPr>
                <w:p w14:paraId="74BCACAB">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否</w:t>
                  </w:r>
                </w:p>
              </w:tc>
            </w:tr>
            <w:tr w14:paraId="4CF00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14" w:type="pct"/>
                  <w:noWrap w:val="0"/>
                  <w:vAlign w:val="center"/>
                </w:tcPr>
                <w:p w14:paraId="25A5036A">
                  <w:pPr>
                    <w:keepNext w:val="0"/>
                    <w:keepLines w:val="0"/>
                    <w:pageBreakBefore w:val="0"/>
                    <w:suppressLineNumbers w:val="0"/>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无铬钝化剂</w:t>
                  </w:r>
                </w:p>
              </w:tc>
              <w:tc>
                <w:tcPr>
                  <w:tcW w:w="953" w:type="pct"/>
                  <w:noWrap w:val="0"/>
                  <w:vAlign w:val="center"/>
                </w:tcPr>
                <w:p w14:paraId="4511D2E1">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氟锆酸5~10%</w:t>
                  </w:r>
                </w:p>
                <w:p w14:paraId="3136D1ED">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氟钛酸5~10%</w:t>
                  </w:r>
                </w:p>
                <w:p w14:paraId="62D2E180">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环氧改性丙烯酸树脂15~20%</w:t>
                  </w:r>
                </w:p>
                <w:p w14:paraId="64C6A345">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一水合柠檬酸45~55%</w:t>
                  </w:r>
                </w:p>
              </w:tc>
              <w:tc>
                <w:tcPr>
                  <w:tcW w:w="2882" w:type="pct"/>
                  <w:noWrap w:val="0"/>
                  <w:vAlign w:val="center"/>
                </w:tcPr>
                <w:p w14:paraId="211477BC">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both"/>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液体，</w:t>
                  </w:r>
                  <w:r>
                    <w:rPr>
                      <w:rFonts w:hint="eastAsia" w:cs="Times New Roman"/>
                      <w:b w:val="0"/>
                      <w:bCs w:val="0"/>
                      <w:color w:val="000000" w:themeColor="text1"/>
                      <w:sz w:val="21"/>
                      <w:szCs w:val="21"/>
                      <w:lang w:val="en-US" w:eastAsia="zh-CN"/>
                      <w14:textFill>
                        <w14:solidFill>
                          <w14:schemeClr w14:val="tx1"/>
                        </w14:solidFill>
                      </w14:textFill>
                    </w:rPr>
                    <w:t>密</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度:1.32~1.43g/cm</w:t>
                  </w:r>
                  <w:r>
                    <w:rPr>
                      <w:rFonts w:hint="default" w:ascii="Times New Roman" w:hAnsi="Times New Roman" w:cs="Times New Roman"/>
                      <w:b w:val="0"/>
                      <w:bCs w:val="0"/>
                      <w:color w:val="000000" w:themeColor="text1"/>
                      <w:sz w:val="21"/>
                      <w:szCs w:val="21"/>
                      <w:vertAlign w:val="superscript"/>
                      <w:lang w:val="en-US" w:eastAsia="zh-CN"/>
                      <w14:textFill>
                        <w14:solidFill>
                          <w14:schemeClr w14:val="tx1"/>
                        </w14:solidFill>
                      </w14:textFill>
                    </w:rPr>
                    <w:t>3</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default" w:ascii="Times New Roman" w:hAnsi="Times New Roman" w:cs="Times New Roman"/>
                      <w:color w:val="000000" w:themeColor="text1"/>
                      <w:kern w:val="2"/>
                      <w:sz w:val="21"/>
                      <w:szCs w:val="21"/>
                      <w:highlight w:val="none"/>
                      <w14:textFill>
                        <w14:solidFill>
                          <w14:schemeClr w14:val="tx1"/>
                        </w14:solidFill>
                      </w14:textFill>
                    </w:rPr>
                    <w:t>可以在铝表面形成一层无色的耐腐蚀钝化层，能为后续的涂装层提供良好的结合力。本项目使用的无铬钝化剂主要有害成分为氟锆酸，氟钛酸</w:t>
                  </w:r>
                </w:p>
              </w:tc>
              <w:tc>
                <w:tcPr>
                  <w:tcW w:w="649" w:type="pct"/>
                  <w:noWrap w:val="0"/>
                  <w:vAlign w:val="center"/>
                </w:tcPr>
                <w:p w14:paraId="155988DC">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是</w:t>
                  </w:r>
                </w:p>
              </w:tc>
            </w:tr>
            <w:tr w14:paraId="45A7B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14" w:type="pct"/>
                  <w:noWrap w:val="0"/>
                  <w:vAlign w:val="center"/>
                </w:tcPr>
                <w:p w14:paraId="23ACE6ED">
                  <w:pPr>
                    <w:keepNext w:val="0"/>
                    <w:keepLines w:val="0"/>
                    <w:pageBreakBefore w:val="0"/>
                    <w:suppressLineNumbers w:val="0"/>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pH调整剂（硫酸70%）</w:t>
                  </w:r>
                </w:p>
              </w:tc>
              <w:tc>
                <w:tcPr>
                  <w:tcW w:w="953" w:type="pct"/>
                  <w:noWrap w:val="0"/>
                  <w:vAlign w:val="center"/>
                </w:tcPr>
                <w:p w14:paraId="453BAA71">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硫酸70%</w:t>
                  </w:r>
                </w:p>
                <w:p w14:paraId="21BA1EBC">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水30%</w:t>
                  </w:r>
                </w:p>
              </w:tc>
              <w:tc>
                <w:tcPr>
                  <w:tcW w:w="2882" w:type="pct"/>
                  <w:noWrap w:val="0"/>
                  <w:vAlign w:val="center"/>
                </w:tcPr>
                <w:p w14:paraId="44E88826">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both"/>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化学式H</w:t>
                  </w:r>
                  <w:r>
                    <w:rPr>
                      <w:rFonts w:hint="default" w:ascii="Times New Roman" w:hAnsi="Times New Roman" w:cs="Times New Roman"/>
                      <w:color w:val="000000" w:themeColor="text1"/>
                      <w:kern w:val="2"/>
                      <w:sz w:val="21"/>
                      <w:szCs w:val="21"/>
                      <w:highlight w:val="none"/>
                      <w:vertAlign w:val="subscript"/>
                      <w14:textFill>
                        <w14:solidFill>
                          <w14:schemeClr w14:val="tx1"/>
                        </w14:solidFill>
                      </w14:textFill>
                    </w:rPr>
                    <w:t>2</w:t>
                  </w:r>
                  <w:r>
                    <w:rPr>
                      <w:rFonts w:hint="default" w:ascii="Times New Roman" w:hAnsi="Times New Roman" w:cs="Times New Roman"/>
                      <w:color w:val="000000" w:themeColor="text1"/>
                      <w:kern w:val="2"/>
                      <w:sz w:val="21"/>
                      <w:szCs w:val="21"/>
                      <w:highlight w:val="none"/>
                      <w14:textFill>
                        <w14:solidFill>
                          <w14:schemeClr w14:val="tx1"/>
                        </w14:solidFill>
                      </w14:textFill>
                    </w:rPr>
                    <w:t>SO</w:t>
                  </w:r>
                  <w:r>
                    <w:rPr>
                      <w:rFonts w:hint="default" w:ascii="Times New Roman" w:hAnsi="Times New Roman" w:cs="Times New Roman"/>
                      <w:color w:val="000000" w:themeColor="text1"/>
                      <w:kern w:val="2"/>
                      <w:sz w:val="21"/>
                      <w:szCs w:val="21"/>
                      <w:highlight w:val="none"/>
                      <w:vertAlign w:val="subscript"/>
                      <w14:textFill>
                        <w14:solidFill>
                          <w14:schemeClr w14:val="tx1"/>
                        </w14:solidFill>
                      </w14:textFill>
                    </w:rPr>
                    <w:t>4</w:t>
                  </w:r>
                  <w:r>
                    <w:rPr>
                      <w:rFonts w:hint="default" w:ascii="Times New Roman" w:hAnsi="Times New Roman" w:cs="Times New Roman"/>
                      <w:color w:val="000000" w:themeColor="text1"/>
                      <w:kern w:val="2"/>
                      <w:sz w:val="21"/>
                      <w:szCs w:val="21"/>
                      <w:highlight w:val="none"/>
                      <w14:textFill>
                        <w14:solidFill>
                          <w14:schemeClr w14:val="tx1"/>
                        </w14:solidFill>
                      </w14:textFill>
                    </w:rPr>
                    <w:t>，是一种活泼的二元无机强酸。无水硫酸为无色油状液体，密度为1.84g/cm</w:t>
                  </w:r>
                  <w:r>
                    <w:rPr>
                      <w:rFonts w:hint="default" w:ascii="Times New Roman" w:hAnsi="Times New Roman" w:cs="Times New Roman"/>
                      <w:color w:val="000000" w:themeColor="text1"/>
                      <w:kern w:val="2"/>
                      <w:sz w:val="21"/>
                      <w:szCs w:val="21"/>
                      <w:highlight w:val="none"/>
                      <w:vertAlign w:val="superscript"/>
                      <w14:textFill>
                        <w14:solidFill>
                          <w14:schemeClr w14:val="tx1"/>
                        </w14:solidFill>
                      </w14:textFill>
                    </w:rPr>
                    <w:t>3</w:t>
                  </w:r>
                  <w:r>
                    <w:rPr>
                      <w:rFonts w:hint="default" w:ascii="Times New Roman" w:hAnsi="Times New Roman" w:cs="Times New Roman"/>
                      <w:color w:val="000000" w:themeColor="text1"/>
                      <w:kern w:val="2"/>
                      <w:sz w:val="21"/>
                      <w:szCs w:val="21"/>
                      <w:highlight w:val="none"/>
                      <w14:textFill>
                        <w14:solidFill>
                          <w14:schemeClr w14:val="tx1"/>
                        </w14:solidFill>
                      </w14:textFill>
                    </w:rPr>
                    <w:t>，熔点10.4℃，沸点338℃；具有强烈的腐蚀性和氧化性，能和许多金属发生反应，高浓度时有强烈吸水性，可用作脱水剂，碳化含碳水化合物的物质；与水混合时，亦会放出大量热能。</w:t>
                  </w:r>
                </w:p>
              </w:tc>
              <w:tc>
                <w:tcPr>
                  <w:tcW w:w="649" w:type="pct"/>
                  <w:noWrap w:val="0"/>
                  <w:vAlign w:val="center"/>
                </w:tcPr>
                <w:p w14:paraId="5BC1C567">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是</w:t>
                  </w:r>
                </w:p>
              </w:tc>
            </w:tr>
            <w:tr w14:paraId="6819D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14" w:type="pct"/>
                  <w:noWrap w:val="0"/>
                  <w:vAlign w:val="center"/>
                </w:tcPr>
                <w:p w14:paraId="57358CAF">
                  <w:pPr>
                    <w:keepNext w:val="0"/>
                    <w:keepLines w:val="0"/>
                    <w:pageBreakBefore w:val="0"/>
                    <w:suppressLineNumbers w:val="0"/>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PAC</w:t>
                  </w:r>
                </w:p>
              </w:tc>
              <w:tc>
                <w:tcPr>
                  <w:tcW w:w="953" w:type="pct"/>
                  <w:noWrap w:val="0"/>
                  <w:vAlign w:val="center"/>
                </w:tcPr>
                <w:p w14:paraId="1BEA9F3B">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聚合氯化铝</w:t>
                  </w:r>
                </w:p>
              </w:tc>
              <w:tc>
                <w:tcPr>
                  <w:tcW w:w="2882" w:type="pct"/>
                  <w:noWrap w:val="0"/>
                  <w:vAlign w:val="center"/>
                </w:tcPr>
                <w:p w14:paraId="37FE067E">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both"/>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颜色呈黄色或淡黄色、深褐色、深灰色树脂状固体。该产品有较强的架桥吸附性能，在水解过程中，伴随发生凝聚，吸附和沉淀等物理化学过程。聚合氯化铝与传统无机混凝剂的根本区别在于传统无机混凝剂为低分子结晶盐，而聚合氯化铝的结构由形态多变的多元羧基络合物组成，絮凝沉淀速度快，适用pH值范围宽，对管道设备无腐蚀性，净水效果明显，能有效</w:t>
                  </w:r>
                  <w:r>
                    <w:rPr>
                      <w:rFonts w:hint="default" w:ascii="Times New Roman" w:hAnsi="Times New Roman" w:cs="Times New Roman"/>
                      <w:color w:val="000000" w:themeColor="text1"/>
                      <w:kern w:val="2"/>
                      <w:sz w:val="21"/>
                      <w:szCs w:val="21"/>
                      <w:highlight w:val="none"/>
                      <w:lang w:eastAsia="zh-CN"/>
                      <w14:textFill>
                        <w14:solidFill>
                          <w14:schemeClr w14:val="tx1"/>
                        </w14:solidFill>
                      </w14:textFill>
                    </w:rPr>
                    <w:t>去</w:t>
                  </w:r>
                  <w:r>
                    <w:rPr>
                      <w:rFonts w:hint="default" w:ascii="Times New Roman" w:hAnsi="Times New Roman" w:cs="Times New Roman"/>
                      <w:color w:val="000000" w:themeColor="text1"/>
                      <w:kern w:val="2"/>
                      <w:sz w:val="21"/>
                      <w:szCs w:val="21"/>
                      <w:highlight w:val="none"/>
                      <w14:textFill>
                        <w14:solidFill>
                          <w14:schemeClr w14:val="tx1"/>
                        </w14:solidFill>
                      </w14:textFill>
                    </w:rPr>
                    <w:t>除水中色质SS、COD、BOD及砷、汞等重金属离子，该产品广泛用于饮用水、工业用水和污水处理领域</w:t>
                  </w:r>
                </w:p>
              </w:tc>
              <w:tc>
                <w:tcPr>
                  <w:tcW w:w="649" w:type="pct"/>
                  <w:noWrap w:val="0"/>
                  <w:vAlign w:val="center"/>
                </w:tcPr>
                <w:p w14:paraId="717251BA">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否</w:t>
                  </w:r>
                </w:p>
              </w:tc>
            </w:tr>
            <w:tr w14:paraId="69657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14" w:type="pct"/>
                  <w:noWrap w:val="0"/>
                  <w:vAlign w:val="center"/>
                </w:tcPr>
                <w:p w14:paraId="61BD338C">
                  <w:pPr>
                    <w:keepNext w:val="0"/>
                    <w:keepLines w:val="0"/>
                    <w:pageBreakBefore w:val="0"/>
                    <w:widowControl/>
                    <w:suppressLineNumbers w:val="0"/>
                    <w:kinsoku/>
                    <w:overflowPunct/>
                    <w:topLinePunct w:val="0"/>
                    <w:bidi w:val="0"/>
                    <w:adjustRightInd w:val="0"/>
                    <w:snapToGrid/>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PAM</w:t>
                  </w:r>
                </w:p>
              </w:tc>
              <w:tc>
                <w:tcPr>
                  <w:tcW w:w="953" w:type="pct"/>
                  <w:noWrap w:val="0"/>
                  <w:vAlign w:val="center"/>
                </w:tcPr>
                <w:p w14:paraId="32F4FBA9">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聚丙烯酰胺</w:t>
                  </w:r>
                </w:p>
              </w:tc>
              <w:tc>
                <w:tcPr>
                  <w:tcW w:w="2882" w:type="pct"/>
                  <w:noWrap w:val="0"/>
                  <w:vAlign w:val="center"/>
                </w:tcPr>
                <w:p w14:paraId="3999C711">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both"/>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聚丙烯酰胺（PAM）是一种线型高分子聚合物，化学式为</w:t>
                  </w:r>
                  <w:r>
                    <w:rPr>
                      <w:rFonts w:hint="default" w:ascii="Times New Roman" w:hAnsi="Times New Roman" w:cs="Times New Roman"/>
                      <w:color w:val="000000" w:themeColor="text1"/>
                      <w:kern w:val="2"/>
                      <w:sz w:val="21"/>
                      <w:szCs w:val="21"/>
                      <w:highlight w:val="none"/>
                      <w:lang w:eastAsia="zh-CN"/>
                      <w14:textFill>
                        <w14:solidFill>
                          <w14:schemeClr w14:val="tx1"/>
                        </w14:solidFill>
                      </w14:textFill>
                    </w:rPr>
                    <w:t>（</w:t>
                  </w:r>
                  <w:r>
                    <w:rPr>
                      <w:rFonts w:hint="default" w:ascii="Times New Roman" w:hAnsi="Times New Roman" w:cs="Times New Roman"/>
                      <w:color w:val="000000" w:themeColor="text1"/>
                      <w:kern w:val="2"/>
                      <w:sz w:val="21"/>
                      <w:szCs w:val="21"/>
                      <w:highlight w:val="none"/>
                      <w14:textFill>
                        <w14:solidFill>
                          <w14:schemeClr w14:val="tx1"/>
                        </w14:solidFill>
                      </w14:textFill>
                    </w:rPr>
                    <w:t>C</w:t>
                  </w:r>
                  <w:r>
                    <w:rPr>
                      <w:rFonts w:hint="default" w:ascii="Times New Roman" w:hAnsi="Times New Roman" w:cs="Times New Roman"/>
                      <w:color w:val="000000" w:themeColor="text1"/>
                      <w:kern w:val="2"/>
                      <w:sz w:val="21"/>
                      <w:szCs w:val="21"/>
                      <w:highlight w:val="none"/>
                      <w:vertAlign w:val="subscript"/>
                      <w14:textFill>
                        <w14:solidFill>
                          <w14:schemeClr w14:val="tx1"/>
                        </w14:solidFill>
                      </w14:textFill>
                    </w:rPr>
                    <w:t>3</w:t>
                  </w:r>
                  <w:r>
                    <w:rPr>
                      <w:rFonts w:hint="default" w:ascii="Times New Roman" w:hAnsi="Times New Roman" w:cs="Times New Roman"/>
                      <w:color w:val="000000" w:themeColor="text1"/>
                      <w:kern w:val="2"/>
                      <w:sz w:val="21"/>
                      <w:szCs w:val="21"/>
                      <w:highlight w:val="none"/>
                      <w14:textFill>
                        <w14:solidFill>
                          <w14:schemeClr w14:val="tx1"/>
                        </w14:solidFill>
                      </w14:textFill>
                    </w:rPr>
                    <w:t>H</w:t>
                  </w:r>
                  <w:r>
                    <w:rPr>
                      <w:rFonts w:hint="default" w:ascii="Times New Roman" w:hAnsi="Times New Roman" w:cs="Times New Roman"/>
                      <w:color w:val="000000" w:themeColor="text1"/>
                      <w:kern w:val="2"/>
                      <w:sz w:val="21"/>
                      <w:szCs w:val="21"/>
                      <w:highlight w:val="none"/>
                      <w:vertAlign w:val="subscript"/>
                      <w14:textFill>
                        <w14:solidFill>
                          <w14:schemeClr w14:val="tx1"/>
                        </w14:solidFill>
                      </w14:textFill>
                    </w:rPr>
                    <w:t>5</w:t>
                  </w:r>
                  <w:r>
                    <w:rPr>
                      <w:rFonts w:hint="default" w:ascii="Times New Roman" w:hAnsi="Times New Roman" w:cs="Times New Roman"/>
                      <w:color w:val="000000" w:themeColor="text1"/>
                      <w:kern w:val="2"/>
                      <w:sz w:val="21"/>
                      <w:szCs w:val="21"/>
                      <w:highlight w:val="none"/>
                      <w14:textFill>
                        <w14:solidFill>
                          <w14:schemeClr w14:val="tx1"/>
                        </w14:solidFill>
                      </w14:textFill>
                    </w:rPr>
                    <w:t>NO</w:t>
                  </w:r>
                  <w:r>
                    <w:rPr>
                      <w:rFonts w:hint="default" w:ascii="Times New Roman" w:hAnsi="Times New Roman" w:cs="Times New Roman"/>
                      <w:color w:val="000000" w:themeColor="text1"/>
                      <w:kern w:val="2"/>
                      <w:sz w:val="21"/>
                      <w:szCs w:val="21"/>
                      <w:highlight w:val="none"/>
                      <w:lang w:eastAsia="zh-CN"/>
                      <w14:textFill>
                        <w14:solidFill>
                          <w14:schemeClr w14:val="tx1"/>
                        </w14:solidFill>
                      </w14:textFill>
                    </w:rPr>
                    <w:t>）</w:t>
                  </w:r>
                  <w:r>
                    <w:rPr>
                      <w:rFonts w:hint="default" w:ascii="Times New Roman" w:hAnsi="Times New Roman" w:cs="Times New Roman"/>
                      <w:color w:val="000000" w:themeColor="text1"/>
                      <w:kern w:val="2"/>
                      <w:sz w:val="21"/>
                      <w:szCs w:val="21"/>
                      <w:highlight w:val="none"/>
                      <w14:textFill>
                        <w14:solidFill>
                          <w14:schemeClr w14:val="tx1"/>
                        </w14:solidFill>
                      </w14:textFill>
                    </w:rPr>
                    <w:t>n。在常温下为坚硬的玻璃态固体，产品有胶液、胶乳和白色粉粒、半透明珠粒和薄片等。热稳定性良好。能以任意比例溶于水，水溶液为均匀透明的液体。长期存放后会因聚合物缓慢</w:t>
                  </w: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地</w:t>
                  </w:r>
                  <w:r>
                    <w:rPr>
                      <w:rFonts w:hint="default" w:ascii="Times New Roman" w:hAnsi="Times New Roman" w:cs="Times New Roman"/>
                      <w:color w:val="000000" w:themeColor="text1"/>
                      <w:kern w:val="2"/>
                      <w:sz w:val="21"/>
                      <w:szCs w:val="21"/>
                      <w:highlight w:val="none"/>
                      <w14:textFill>
                        <w14:solidFill>
                          <w14:schemeClr w14:val="tx1"/>
                        </w14:solidFill>
                      </w14:textFill>
                    </w:rPr>
                    <w:t>降解而使溶液粘度下降，特别是在贮运条件较差时更为明显。聚丙烯酰胺可作为润滑剂、悬浮剂、粘土稳定剂、驱油剂、降失水剂和增稠剂使用</w:t>
                  </w:r>
                </w:p>
              </w:tc>
              <w:tc>
                <w:tcPr>
                  <w:tcW w:w="649" w:type="pct"/>
                  <w:noWrap w:val="0"/>
                  <w:vAlign w:val="center"/>
                </w:tcPr>
                <w:p w14:paraId="67932171">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否</w:t>
                  </w:r>
                </w:p>
              </w:tc>
            </w:tr>
            <w:tr w14:paraId="3BC38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14" w:type="pct"/>
                  <w:noWrap w:val="0"/>
                  <w:vAlign w:val="center"/>
                </w:tcPr>
                <w:p w14:paraId="646781B6">
                  <w:pPr>
                    <w:keepNext w:val="0"/>
                    <w:keepLines w:val="0"/>
                    <w:pageBreakBefore w:val="0"/>
                    <w:widowControl/>
                    <w:suppressLineNumbers w:val="0"/>
                    <w:kinsoku/>
                    <w:overflowPunct/>
                    <w:topLinePunct w:val="0"/>
                    <w:bidi w:val="0"/>
                    <w:adjustRightInd w:val="0"/>
                    <w:snapToGrid/>
                    <w:spacing w:before="0" w:beforeAutospacing="0" w:after="0" w:afterAutospacing="0" w:line="240" w:lineRule="auto"/>
                    <w:ind w:left="0" w:right="0"/>
                    <w:jc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0"/>
                      <w:sz w:val="21"/>
                      <w:szCs w:val="21"/>
                      <w:highlight w:val="none"/>
                      <w:lang w:val="en-US" w:eastAsia="zh-CN"/>
                      <w14:textFill>
                        <w14:solidFill>
                          <w14:schemeClr w14:val="tx1"/>
                        </w14:solidFill>
                      </w14:textFill>
                    </w:rPr>
                    <w:t>底漆</w:t>
                  </w:r>
                </w:p>
              </w:tc>
              <w:tc>
                <w:tcPr>
                  <w:tcW w:w="953" w:type="pct"/>
                  <w:noWrap w:val="0"/>
                  <w:vAlign w:val="center"/>
                </w:tcPr>
                <w:p w14:paraId="5AD3FE17">
                  <w:pPr>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PVDF 树脂1</w:t>
                  </w:r>
                  <w:r>
                    <w:rPr>
                      <w:rFonts w:hint="eastAsia" w:cs="Times New Roman"/>
                      <w:color w:val="000000" w:themeColor="text1"/>
                      <w:lang w:val="en-US" w:eastAsia="zh-CN"/>
                      <w14:textFill>
                        <w14:solidFill>
                          <w14:schemeClr w14:val="tx1"/>
                        </w14:solidFill>
                      </w14:textFill>
                    </w:rPr>
                    <w:t>3.6</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丙烯酸树脂</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t>1</w:t>
                  </w:r>
                  <w:r>
                    <w:rPr>
                      <w:rFonts w:hint="eastAsia"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二甲苯</w:t>
                  </w:r>
                  <w:r>
                    <w:rPr>
                      <w:rFonts w:hint="eastAsia" w:cs="Times New Roman"/>
                      <w:color w:val="000000" w:themeColor="text1"/>
                      <w:lang w:val="en-US" w:eastAsia="zh-CN"/>
                      <w14:textFill>
                        <w14:solidFill>
                          <w14:schemeClr w14:val="tx1"/>
                        </w14:solidFill>
                      </w14:textFill>
                    </w:rPr>
                    <w:t>10</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邻苯二甲酸二甲酯</w:t>
                  </w:r>
                  <w:r>
                    <w:rPr>
                      <w:rFonts w:hint="eastAsia" w:cs="Times New Roman"/>
                      <w:color w:val="000000" w:themeColor="text1"/>
                      <w:lang w:val="en-US" w:eastAsia="zh-CN"/>
                      <w14:textFill>
                        <w14:solidFill>
                          <w14:schemeClr w14:val="tx1"/>
                        </w14:solidFill>
                      </w14:textFill>
                    </w:rPr>
                    <w:t>8.2</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丙二醇</w:t>
                  </w:r>
                  <w:r>
                    <w:rPr>
                      <w:rFonts w:hint="eastAsia"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颜料</w:t>
                  </w:r>
                  <w:r>
                    <w:rPr>
                      <w:rFonts w:hint="eastAsia" w:cs="Times New Roman"/>
                      <w:color w:val="000000" w:themeColor="text1"/>
                      <w:lang w:val="en-US" w:eastAsia="zh-CN"/>
                      <w14:textFill>
                        <w14:solidFill>
                          <w14:schemeClr w14:val="tx1"/>
                        </w14:solidFill>
                      </w14:textFill>
                    </w:rPr>
                    <w:t>24.4</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填料</w:t>
                  </w:r>
                  <w:r>
                    <w:rPr>
                      <w:rFonts w:hint="eastAsia" w:cs="Times New Roman"/>
                      <w:color w:val="000000" w:themeColor="text1"/>
                      <w:lang w:val="en-US" w:eastAsia="zh-CN"/>
                      <w14:textFill>
                        <w14:solidFill>
                          <w14:schemeClr w14:val="tx1"/>
                        </w14:solidFill>
                      </w14:textFill>
                    </w:rPr>
                    <w:t>23.6</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助剂</w:t>
                  </w:r>
                  <w:r>
                    <w:rPr>
                      <w:rFonts w:hint="eastAsia" w:cs="Times New Roman"/>
                      <w:color w:val="000000" w:themeColor="text1"/>
                      <w:lang w:val="en-US" w:eastAsia="zh-CN"/>
                      <w14:textFill>
                        <w14:solidFill>
                          <w14:schemeClr w14:val="tx1"/>
                        </w14:solidFill>
                      </w14:textFill>
                    </w:rPr>
                    <w:t>1.2</w:t>
                  </w:r>
                  <w:r>
                    <w:rPr>
                      <w:rFonts w:hint="default" w:ascii="Times New Roman" w:hAnsi="Times New Roman" w:cs="Times New Roman"/>
                      <w:color w:val="000000" w:themeColor="text1"/>
                      <w:lang w:val="en-US" w:eastAsia="zh-CN"/>
                      <w14:textFill>
                        <w14:solidFill>
                          <w14:schemeClr w14:val="tx1"/>
                        </w14:solidFill>
                      </w14:textFill>
                    </w:rPr>
                    <w:t>%</w:t>
                  </w:r>
                </w:p>
              </w:tc>
              <w:tc>
                <w:tcPr>
                  <w:tcW w:w="2882" w:type="pct"/>
                  <w:noWrap w:val="0"/>
                  <w:vAlign w:val="center"/>
                </w:tcPr>
                <w:p w14:paraId="0ABB1CB8">
                  <w:pPr>
                    <w:keepNext w:val="0"/>
                    <w:keepLines w:val="0"/>
                    <w:widowControl/>
                    <w:suppressLineNumbers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 xml:space="preserve">外观与性状：液体，有刺激味 </w:t>
                  </w:r>
                </w:p>
                <w:p w14:paraId="40F35E72">
                  <w:pPr>
                    <w:keepNext w:val="0"/>
                    <w:keepLines w:val="0"/>
                    <w:widowControl/>
                    <w:suppressLineNumbers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 xml:space="preserve">燃点（℃）：56 自然温度（℃）： </w:t>
                  </w:r>
                </w:p>
                <w:p w14:paraId="157D53C5">
                  <w:pPr>
                    <w:keepNext w:val="0"/>
                    <w:keepLines w:val="0"/>
                    <w:widowControl/>
                    <w:suppressLineNumbers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沸点（℃）：&gt;35 闪点（℃）：45</w:t>
                  </w:r>
                  <w:r>
                    <w:rPr>
                      <w:rFonts w:hint="default" w:ascii="Times New Roman" w:hAnsi="Times New Roman" w:eastAsia="宋体" w:cs="Times New Roman"/>
                      <w:b/>
                      <w:bCs/>
                      <w:color w:val="000000" w:themeColor="text1"/>
                      <w:kern w:val="0"/>
                      <w:sz w:val="18"/>
                      <w:szCs w:val="18"/>
                      <w:lang w:val="en-US" w:eastAsia="zh-CN" w:bidi="ar"/>
                      <w14:textFill>
                        <w14:solidFill>
                          <w14:schemeClr w14:val="tx1"/>
                        </w14:solidFill>
                      </w14:textFill>
                    </w:rPr>
                    <w:t xml:space="preserve"> </w:t>
                  </w:r>
                </w:p>
                <w:p w14:paraId="64008496">
                  <w:pPr>
                    <w:keepNext w:val="0"/>
                    <w:keepLines w:val="0"/>
                    <w:widowControl/>
                    <w:suppressLineNumbers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 xml:space="preserve">爆炸上限（%）： 爆炸下限（%）： </w:t>
                  </w:r>
                </w:p>
                <w:p w14:paraId="1BA119D2">
                  <w:pPr>
                    <w:keepNext w:val="0"/>
                    <w:keepLines w:val="0"/>
                    <w:widowControl/>
                    <w:suppressLineNumbers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相对密度（水=1）：1.173 相对蒸汽密度（空气=1）：</w:t>
                  </w:r>
                </w:p>
                <w:p w14:paraId="5D529A64">
                  <w:pPr>
                    <w:keepNext w:val="0"/>
                    <w:keepLines w:val="0"/>
                    <w:widowControl/>
                    <w:suppressLineNumbers w:val="0"/>
                    <w:jc w:val="left"/>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易燃液体-3、皮肤刺激-1B、吸入危害-1、对水环境的危害-急性 1、严重眼睛刺激-2</w:t>
                  </w:r>
                </w:p>
              </w:tc>
              <w:tc>
                <w:tcPr>
                  <w:tcW w:w="649" w:type="pct"/>
                  <w:noWrap w:val="0"/>
                  <w:vAlign w:val="center"/>
                </w:tcPr>
                <w:p w14:paraId="1BE67F6B">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是</w:t>
                  </w:r>
                </w:p>
              </w:tc>
            </w:tr>
            <w:tr w14:paraId="50A36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14" w:type="pct"/>
                  <w:noWrap w:val="0"/>
                  <w:vAlign w:val="center"/>
                </w:tcPr>
                <w:p w14:paraId="3828D250">
                  <w:pPr>
                    <w:keepNext w:val="0"/>
                    <w:keepLines w:val="0"/>
                    <w:pageBreakBefore w:val="0"/>
                    <w:widowControl/>
                    <w:suppressLineNumbers w:val="0"/>
                    <w:kinsoku/>
                    <w:overflowPunct/>
                    <w:topLinePunct w:val="0"/>
                    <w:bidi w:val="0"/>
                    <w:adjustRightInd w:val="0"/>
                    <w:snapToGrid/>
                    <w:spacing w:before="0" w:beforeAutospacing="0" w:after="0" w:afterAutospacing="0" w:line="240" w:lineRule="auto"/>
                    <w:ind w:left="0" w:right="0"/>
                    <w:jc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0"/>
                      <w:sz w:val="21"/>
                      <w:szCs w:val="21"/>
                      <w:highlight w:val="none"/>
                      <w:lang w:val="en-US" w:eastAsia="zh-CN"/>
                      <w14:textFill>
                        <w14:solidFill>
                          <w14:schemeClr w14:val="tx1"/>
                        </w14:solidFill>
                      </w14:textFill>
                    </w:rPr>
                    <w:t>面漆</w:t>
                  </w:r>
                </w:p>
              </w:tc>
              <w:tc>
                <w:tcPr>
                  <w:tcW w:w="953" w:type="pct"/>
                  <w:noWrap w:val="0"/>
                  <w:vAlign w:val="center"/>
                </w:tcPr>
                <w:p w14:paraId="4454743A">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PVDF 树脂2</w:t>
                  </w:r>
                  <w:r>
                    <w:rPr>
                      <w:rFonts w:hint="eastAsia" w:ascii="Times New Roman" w:hAnsi="Times New Roman" w:cs="Times New Roman"/>
                      <w:color w:val="000000" w:themeColor="text1"/>
                      <w:lang w:val="en-US" w:eastAsia="zh-CN"/>
                      <w14:textFill>
                        <w14:solidFill>
                          <w14:schemeClr w14:val="tx1"/>
                        </w14:solidFill>
                      </w14:textFill>
                    </w:rPr>
                    <w:t>5.4</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丙烯酸树脂</w:t>
                  </w:r>
                  <w:r>
                    <w:rPr>
                      <w:rFonts w:hint="eastAsia" w:ascii="Times New Roman" w:hAnsi="Times New Roman" w:cs="Times New Roman"/>
                      <w:color w:val="000000" w:themeColor="text1"/>
                      <w:lang w:val="en-US" w:eastAsia="zh-CN"/>
                      <w14:textFill>
                        <w14:solidFill>
                          <w14:schemeClr w14:val="tx1"/>
                        </w14:solidFill>
                      </w14:textFill>
                    </w:rPr>
                    <w:t>21.6</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二甲苯</w:t>
                  </w:r>
                  <w:r>
                    <w:rPr>
                      <w:rFonts w:hint="eastAsia" w:ascii="Times New Roman" w:hAnsi="Times New Roman" w:cs="Times New Roman"/>
                      <w:color w:val="000000" w:themeColor="text1"/>
                      <w:lang w:val="en-US" w:eastAsia="zh-CN"/>
                      <w14:textFill>
                        <w14:solidFill>
                          <w14:schemeClr w14:val="tx1"/>
                        </w14:solidFill>
                      </w14:textFill>
                    </w:rPr>
                    <w:t>11</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邻苯二甲酸二甲酯10</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BCS</w:t>
                  </w:r>
                  <w:r>
                    <w:rPr>
                      <w:rFonts w:hint="eastAsia"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丙二醇</w:t>
                  </w:r>
                  <w:r>
                    <w:rPr>
                      <w:rFonts w:hint="eastAsia" w:ascii="Times New Roman" w:hAnsi="Times New Roman" w:cs="Times New Roman"/>
                      <w:color w:val="000000" w:themeColor="text1"/>
                      <w:lang w:val="en-US" w:eastAsia="zh-CN"/>
                      <w14:textFill>
                        <w14:solidFill>
                          <w14:schemeClr w14:val="tx1"/>
                        </w14:solidFill>
                      </w14:textFill>
                    </w:rPr>
                    <w:t>4.1</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颜填料</w:t>
                  </w:r>
                  <w:r>
                    <w:rPr>
                      <w:rFonts w:hint="eastAsia" w:ascii="Times New Roman" w:hAnsi="Times New Roman" w:cs="Times New Roman"/>
                      <w:color w:val="000000" w:themeColor="text1"/>
                      <w:lang w:val="en-US" w:eastAsia="zh-CN"/>
                      <w14:textFill>
                        <w14:solidFill>
                          <w14:schemeClr w14:val="tx1"/>
                        </w14:solidFill>
                      </w14:textFill>
                    </w:rPr>
                    <w:t>24.4</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助剂</w:t>
                  </w:r>
                  <w:r>
                    <w:rPr>
                      <w:rFonts w:hint="eastAsia" w:ascii="Times New Roman" w:hAnsi="Times New Roman" w:cs="Times New Roman"/>
                      <w:color w:val="000000" w:themeColor="text1"/>
                      <w:lang w:val="en-US" w:eastAsia="zh-CN"/>
                      <w14:textFill>
                        <w14:solidFill>
                          <w14:schemeClr w14:val="tx1"/>
                        </w14:solidFill>
                      </w14:textFill>
                    </w:rPr>
                    <w:t>0.</w:t>
                  </w:r>
                  <w:r>
                    <w:rPr>
                      <w:rFonts w:hint="default" w:ascii="Times New Roman" w:hAnsi="Times New Roman" w:cs="Times New Roman"/>
                      <w:color w:val="000000" w:themeColor="text1"/>
                      <w14:textFill>
                        <w14:solidFill>
                          <w14:schemeClr w14:val="tx1"/>
                        </w14:solidFill>
                      </w14:textFill>
                    </w:rPr>
                    <w:t>5</w:t>
                  </w:r>
                  <w:r>
                    <w:rPr>
                      <w:rFonts w:hint="default" w:ascii="Times New Roman" w:hAnsi="Times New Roman" w:cs="Times New Roman"/>
                      <w:color w:val="000000" w:themeColor="text1"/>
                      <w:lang w:val="en-US" w:eastAsia="zh-CN"/>
                      <w14:textFill>
                        <w14:solidFill>
                          <w14:schemeClr w14:val="tx1"/>
                        </w14:solidFill>
                      </w14:textFill>
                    </w:rPr>
                    <w:t>%</w:t>
                  </w:r>
                </w:p>
              </w:tc>
              <w:tc>
                <w:tcPr>
                  <w:tcW w:w="2882" w:type="pct"/>
                  <w:noWrap w:val="0"/>
                  <w:vAlign w:val="center"/>
                </w:tcPr>
                <w:p w14:paraId="29756C33">
                  <w:pPr>
                    <w:keepNext w:val="0"/>
                    <w:keepLines w:val="0"/>
                    <w:widowControl/>
                    <w:suppressLineNumbers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 xml:space="preserve">外观与性状：液体，有刺激味 </w:t>
                  </w:r>
                </w:p>
                <w:p w14:paraId="6ED3B894">
                  <w:pPr>
                    <w:keepNext w:val="0"/>
                    <w:keepLines w:val="0"/>
                    <w:widowControl/>
                    <w:suppressLineNumbers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 xml:space="preserve">燃点（℃）：44 自然温度（℃）： </w:t>
                  </w:r>
                </w:p>
                <w:p w14:paraId="55D7B88D">
                  <w:pPr>
                    <w:keepNext w:val="0"/>
                    <w:keepLines w:val="0"/>
                    <w:widowControl/>
                    <w:suppressLineNumbers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沸点（℃）：&gt;35 闪点（℃）：32</w:t>
                  </w:r>
                  <w:r>
                    <w:rPr>
                      <w:rFonts w:hint="default" w:ascii="Times New Roman" w:hAnsi="Times New Roman" w:eastAsia="宋体" w:cs="Times New Roman"/>
                      <w:b/>
                      <w:bCs/>
                      <w:color w:val="000000" w:themeColor="text1"/>
                      <w:kern w:val="0"/>
                      <w:sz w:val="18"/>
                      <w:szCs w:val="18"/>
                      <w:lang w:val="en-US" w:eastAsia="zh-CN" w:bidi="ar"/>
                      <w14:textFill>
                        <w14:solidFill>
                          <w14:schemeClr w14:val="tx1"/>
                        </w14:solidFill>
                      </w14:textFill>
                    </w:rPr>
                    <w:t xml:space="preserve"> </w:t>
                  </w:r>
                </w:p>
                <w:p w14:paraId="09E0397F">
                  <w:pPr>
                    <w:keepNext w:val="0"/>
                    <w:keepLines w:val="0"/>
                    <w:widowControl/>
                    <w:suppressLineNumbers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 xml:space="preserve">爆炸上限（%）： 爆炸下限（%）： </w:t>
                  </w:r>
                </w:p>
                <w:p w14:paraId="0B5B7391">
                  <w:pPr>
                    <w:keepNext w:val="0"/>
                    <w:keepLines w:val="0"/>
                    <w:widowControl/>
                    <w:suppressLineNumbers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相对密度（水=1）：1.071 相对蒸汽密度（空气=1）：</w:t>
                  </w:r>
                </w:p>
                <w:p w14:paraId="5E375DB8">
                  <w:pPr>
                    <w:keepNext w:val="0"/>
                    <w:keepLines w:val="0"/>
                    <w:widowControl/>
                    <w:suppressLineNumbers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 xml:space="preserve">易燃液体和蒸汽，引起皮肤刺激，引起严重眼睛刺激，长期或反复接触引起器官损伤， </w:t>
                  </w:r>
                </w:p>
                <w:p w14:paraId="4AB518E5">
                  <w:pPr>
                    <w:keepNext w:val="0"/>
                    <w:keepLines w:val="0"/>
                    <w:widowControl/>
                    <w:suppressLineNumbers w:val="0"/>
                    <w:jc w:val="left"/>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吞咽并进入呼吸道可能致命，对水生生物有害。</w:t>
                  </w:r>
                </w:p>
              </w:tc>
              <w:tc>
                <w:tcPr>
                  <w:tcW w:w="649" w:type="pct"/>
                  <w:noWrap w:val="0"/>
                  <w:vAlign w:val="center"/>
                </w:tcPr>
                <w:p w14:paraId="7033C79D">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是</w:t>
                  </w:r>
                </w:p>
              </w:tc>
            </w:tr>
            <w:tr w14:paraId="75748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14" w:type="pct"/>
                  <w:noWrap w:val="0"/>
                  <w:vAlign w:val="center"/>
                </w:tcPr>
                <w:p w14:paraId="4A170AC7">
                  <w:pPr>
                    <w:keepNext w:val="0"/>
                    <w:keepLines w:val="0"/>
                    <w:pageBreakBefore w:val="0"/>
                    <w:widowControl/>
                    <w:suppressLineNumbers w:val="0"/>
                    <w:kinsoku/>
                    <w:overflowPunct/>
                    <w:topLinePunct w:val="0"/>
                    <w:bidi w:val="0"/>
                    <w:adjustRightInd w:val="0"/>
                    <w:snapToGrid/>
                    <w:spacing w:before="0" w:beforeAutospacing="0" w:after="0" w:afterAutospacing="0" w:line="240" w:lineRule="auto"/>
                    <w:ind w:left="0" w:right="0"/>
                    <w:jc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0"/>
                      <w:sz w:val="21"/>
                      <w:szCs w:val="21"/>
                      <w:highlight w:val="none"/>
                      <w:lang w:val="en-US" w:eastAsia="zh-CN"/>
                      <w14:textFill>
                        <w14:solidFill>
                          <w14:schemeClr w14:val="tx1"/>
                        </w14:solidFill>
                      </w14:textFill>
                    </w:rPr>
                    <w:t>清漆</w:t>
                  </w:r>
                </w:p>
              </w:tc>
              <w:tc>
                <w:tcPr>
                  <w:tcW w:w="953" w:type="pct"/>
                  <w:noWrap w:val="0"/>
                  <w:vAlign w:val="center"/>
                </w:tcPr>
                <w:p w14:paraId="565BBDD4">
                  <w:pPr>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PVDF 树脂</w:t>
                  </w:r>
                  <w:r>
                    <w:rPr>
                      <w:rFonts w:hint="eastAsia" w:cs="Times New Roman"/>
                      <w:color w:val="000000" w:themeColor="text1"/>
                      <w:lang w:val="en-US" w:eastAsia="zh-CN"/>
                      <w14:textFill>
                        <w14:solidFill>
                          <w14:schemeClr w14:val="tx1"/>
                        </w14:solidFill>
                      </w14:textFill>
                    </w:rPr>
                    <w:t>50.2</w:t>
                  </w:r>
                  <w:r>
                    <w:rPr>
                      <w:rFonts w:hint="default" w:ascii="Times New Roman" w:hAnsi="Times New Roman" w:cs="Times New Roman"/>
                      <w:color w:val="000000" w:themeColor="text1"/>
                      <w:lang w:val="en-US" w:eastAsia="zh-CN"/>
                      <w14:textFill>
                        <w14:solidFill>
                          <w14:schemeClr w14:val="tx1"/>
                        </w14:solidFill>
                      </w14:textFill>
                    </w:rPr>
                    <w:t>%、丙烯酸树脂</w:t>
                  </w:r>
                  <w:r>
                    <w:rPr>
                      <w:rFonts w:hint="eastAsia" w:cs="Times New Roman"/>
                      <w:color w:val="000000" w:themeColor="text1"/>
                      <w:lang w:val="en-US" w:eastAsia="zh-CN"/>
                      <w14:textFill>
                        <w14:solidFill>
                          <w14:schemeClr w14:val="tx1"/>
                        </w14:solidFill>
                      </w14:textFill>
                    </w:rPr>
                    <w:t>21.6</w:t>
                  </w:r>
                  <w:r>
                    <w:rPr>
                      <w:rFonts w:hint="default" w:ascii="Times New Roman" w:hAnsi="Times New Roman" w:cs="Times New Roman"/>
                      <w:color w:val="000000" w:themeColor="text1"/>
                      <w:lang w:val="en-US" w:eastAsia="zh-CN"/>
                      <w14:textFill>
                        <w14:solidFill>
                          <w14:schemeClr w14:val="tx1"/>
                        </w14:solidFill>
                      </w14:textFill>
                    </w:rPr>
                    <w:t>%、二甲苯</w:t>
                  </w:r>
                  <w:r>
                    <w:rPr>
                      <w:rFonts w:hint="eastAsia" w:cs="Times New Roman"/>
                      <w:color w:val="000000" w:themeColor="text1"/>
                      <w:lang w:val="en-US" w:eastAsia="zh-CN"/>
                      <w14:textFill>
                        <w14:solidFill>
                          <w14:schemeClr w14:val="tx1"/>
                        </w14:solidFill>
                      </w14:textFill>
                    </w:rPr>
                    <w:t>8.6</w:t>
                  </w:r>
                  <w:r>
                    <w:rPr>
                      <w:rFonts w:hint="default" w:ascii="Times New Roman" w:hAnsi="Times New Roman" w:cs="Times New Roman"/>
                      <w:color w:val="000000" w:themeColor="text1"/>
                      <w:lang w:val="en-US" w:eastAsia="zh-CN"/>
                      <w14:textFill>
                        <w14:solidFill>
                          <w14:schemeClr w14:val="tx1"/>
                        </w14:solidFill>
                      </w14:textFill>
                    </w:rPr>
                    <w:t xml:space="preserve">%、BCS </w:t>
                  </w:r>
                  <w:r>
                    <w:rPr>
                      <w:rFonts w:hint="eastAsia" w:cs="Times New Roman"/>
                      <w:color w:val="000000" w:themeColor="text1"/>
                      <w:lang w:val="en-US" w:eastAsia="zh-CN"/>
                      <w14:textFill>
                        <w14:solidFill>
                          <w14:schemeClr w14:val="tx1"/>
                        </w14:solidFill>
                      </w14:textFill>
                    </w:rPr>
                    <w:t>7.</w:t>
                  </w:r>
                  <w:r>
                    <w:rPr>
                      <w:rFonts w:hint="default" w:ascii="Times New Roman" w:hAnsi="Times New Roman" w:cs="Times New Roman"/>
                      <w:color w:val="000000" w:themeColor="text1"/>
                      <w:lang w:val="en-US" w:eastAsia="zh-CN"/>
                      <w14:textFill>
                        <w14:solidFill>
                          <w14:schemeClr w14:val="tx1"/>
                        </w14:solidFill>
                      </w14:textFill>
                    </w:rPr>
                    <w:t>8%、邻苯二甲酸二甲酯</w:t>
                  </w:r>
                  <w:r>
                    <w:rPr>
                      <w:rFonts w:hint="eastAsia" w:cs="Times New Roman"/>
                      <w:color w:val="000000" w:themeColor="text1"/>
                      <w:lang w:val="en-US" w:eastAsia="zh-CN"/>
                      <w14:textFill>
                        <w14:solidFill>
                          <w14:schemeClr w14:val="tx1"/>
                        </w14:solidFill>
                      </w14:textFill>
                    </w:rPr>
                    <w:t>9.8</w:t>
                  </w:r>
                  <w:r>
                    <w:rPr>
                      <w:rFonts w:hint="default" w:ascii="Times New Roman" w:hAnsi="Times New Roman" w:cs="Times New Roman"/>
                      <w:color w:val="000000" w:themeColor="text1"/>
                      <w:lang w:val="en-US" w:eastAsia="zh-CN"/>
                      <w14:textFill>
                        <w14:solidFill>
                          <w14:schemeClr w14:val="tx1"/>
                        </w14:solidFill>
                      </w14:textFill>
                    </w:rPr>
                    <w:t>%、丙二醇</w:t>
                  </w:r>
                  <w:r>
                    <w:rPr>
                      <w:rFonts w:hint="eastAsia" w:cs="Times New Roman"/>
                      <w:color w:val="000000" w:themeColor="text1"/>
                      <w:lang w:val="en-US" w:eastAsia="zh-CN"/>
                      <w14:textFill>
                        <w14:solidFill>
                          <w14:schemeClr w14:val="tx1"/>
                        </w14:solidFill>
                      </w14:textFill>
                    </w:rPr>
                    <w:t>1.9</w:t>
                  </w:r>
                  <w:r>
                    <w:rPr>
                      <w:rFonts w:hint="default" w:ascii="Times New Roman" w:hAnsi="Times New Roman" w:cs="Times New Roman"/>
                      <w:color w:val="000000" w:themeColor="text1"/>
                      <w:lang w:val="en-US" w:eastAsia="zh-CN"/>
                      <w14:textFill>
                        <w14:solidFill>
                          <w14:schemeClr w14:val="tx1"/>
                        </w14:solidFill>
                      </w14:textFill>
                    </w:rPr>
                    <w:t>%、助剂</w:t>
                  </w:r>
                  <w:r>
                    <w:rPr>
                      <w:rFonts w:hint="eastAsia" w:cs="Times New Roman"/>
                      <w:color w:val="000000" w:themeColor="text1"/>
                      <w:lang w:val="en-US" w:eastAsia="zh-CN"/>
                      <w14:textFill>
                        <w14:solidFill>
                          <w14:schemeClr w14:val="tx1"/>
                        </w14:solidFill>
                      </w14:textFill>
                    </w:rPr>
                    <w:t>0.3</w:t>
                  </w:r>
                  <w:r>
                    <w:rPr>
                      <w:rFonts w:hint="default" w:ascii="Times New Roman" w:hAnsi="Times New Roman" w:cs="Times New Roman"/>
                      <w:color w:val="000000" w:themeColor="text1"/>
                      <w:lang w:val="en-US" w:eastAsia="zh-CN"/>
                      <w14:textFill>
                        <w14:solidFill>
                          <w14:schemeClr w14:val="tx1"/>
                        </w14:solidFill>
                      </w14:textFill>
                    </w:rPr>
                    <w:t>%</w:t>
                  </w:r>
                </w:p>
              </w:tc>
              <w:tc>
                <w:tcPr>
                  <w:tcW w:w="2882" w:type="pct"/>
                  <w:noWrap w:val="0"/>
                  <w:vAlign w:val="center"/>
                </w:tcPr>
                <w:p w14:paraId="5D428710">
                  <w:pPr>
                    <w:keepNext w:val="0"/>
                    <w:keepLines w:val="0"/>
                    <w:widowControl/>
                    <w:suppressLineNumbers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 xml:space="preserve">外观与性状：液体，有刺激味 </w:t>
                  </w:r>
                </w:p>
                <w:p w14:paraId="0AA0A66D">
                  <w:pPr>
                    <w:keepNext w:val="0"/>
                    <w:keepLines w:val="0"/>
                    <w:widowControl/>
                    <w:suppressLineNumbers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 xml:space="preserve">燃点（℃）：50 自然温度（℃）： </w:t>
                  </w:r>
                </w:p>
                <w:p w14:paraId="79D18867">
                  <w:pPr>
                    <w:keepNext w:val="0"/>
                    <w:keepLines w:val="0"/>
                    <w:widowControl/>
                    <w:suppressLineNumbers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 xml:space="preserve">沸点（℃）：&gt;35 闪点（℃）：46 </w:t>
                  </w:r>
                </w:p>
                <w:p w14:paraId="25E567F9">
                  <w:pPr>
                    <w:keepNext w:val="0"/>
                    <w:keepLines w:val="0"/>
                    <w:widowControl/>
                    <w:suppressLineNumbers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爆炸上限（%）： 爆炸下限（%）：</w:t>
                  </w:r>
                  <w:r>
                    <w:rPr>
                      <w:rFonts w:hint="default" w:ascii="Times New Roman" w:hAnsi="Times New Roman" w:eastAsia="宋体" w:cs="Times New Roman"/>
                      <w:b/>
                      <w:bCs/>
                      <w:color w:val="000000" w:themeColor="text1"/>
                      <w:kern w:val="0"/>
                      <w:sz w:val="18"/>
                      <w:szCs w:val="18"/>
                      <w:lang w:val="en-US" w:eastAsia="zh-CN" w:bidi="ar"/>
                      <w14:textFill>
                        <w14:solidFill>
                          <w14:schemeClr w14:val="tx1"/>
                        </w14:solidFill>
                      </w14:textFill>
                    </w:rPr>
                    <w:t xml:space="preserve"> </w:t>
                  </w:r>
                </w:p>
                <w:p w14:paraId="7EB770D5">
                  <w:pPr>
                    <w:keepNext w:val="0"/>
                    <w:keepLines w:val="0"/>
                    <w:widowControl/>
                    <w:suppressLineNumbers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相对密度（水=1）：1.173 相对蒸汽密度（空气=1）：</w:t>
                  </w:r>
                </w:p>
                <w:p w14:paraId="55D5CE86">
                  <w:pPr>
                    <w:keepNext w:val="0"/>
                    <w:keepLines w:val="0"/>
                    <w:widowControl/>
                    <w:suppressLineNumbers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 xml:space="preserve">易燃液体和蒸汽，引起皮肤刺激，引起严重眼睛刺激，长期或反复接触引起器官损伤， </w:t>
                  </w:r>
                </w:p>
                <w:p w14:paraId="083C9696">
                  <w:pPr>
                    <w:keepNext w:val="0"/>
                    <w:keepLines w:val="0"/>
                    <w:widowControl/>
                    <w:suppressLineNumbers w:val="0"/>
                    <w:jc w:val="left"/>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吞咽并进入呼吸道可能致命，对水生生物有害。</w:t>
                  </w:r>
                </w:p>
              </w:tc>
              <w:tc>
                <w:tcPr>
                  <w:tcW w:w="649" w:type="pct"/>
                  <w:noWrap w:val="0"/>
                  <w:vAlign w:val="center"/>
                </w:tcPr>
                <w:p w14:paraId="22F9A6C7">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是</w:t>
                  </w:r>
                </w:p>
              </w:tc>
            </w:tr>
            <w:tr w14:paraId="7D221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14" w:type="pct"/>
                  <w:noWrap w:val="0"/>
                  <w:vAlign w:val="center"/>
                </w:tcPr>
                <w:p w14:paraId="6D1B1688">
                  <w:pPr>
                    <w:keepNext w:val="0"/>
                    <w:keepLines w:val="0"/>
                    <w:pageBreakBefore w:val="0"/>
                    <w:widowControl/>
                    <w:suppressLineNumbers w:val="0"/>
                    <w:kinsoku/>
                    <w:overflowPunct/>
                    <w:topLinePunct w:val="0"/>
                    <w:bidi w:val="0"/>
                    <w:adjustRightInd w:val="0"/>
                    <w:snapToGrid/>
                    <w:spacing w:before="0" w:beforeAutospacing="0" w:after="0" w:afterAutospacing="0" w:line="240" w:lineRule="auto"/>
                    <w:ind w:left="0" w:right="0"/>
                    <w:jc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0"/>
                      <w:sz w:val="21"/>
                      <w:szCs w:val="21"/>
                      <w:highlight w:val="none"/>
                      <w:lang w:val="en-US" w:eastAsia="zh-CN"/>
                      <w14:textFill>
                        <w14:solidFill>
                          <w14:schemeClr w14:val="tx1"/>
                        </w14:solidFill>
                      </w14:textFill>
                    </w:rPr>
                    <w:t>稀释剂</w:t>
                  </w:r>
                </w:p>
              </w:tc>
              <w:tc>
                <w:tcPr>
                  <w:tcW w:w="953" w:type="pct"/>
                  <w:noWrap w:val="0"/>
                  <w:vAlign w:val="center"/>
                </w:tcPr>
                <w:p w14:paraId="2F723A78">
                  <w:pP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二甲苯70%</w:t>
                  </w:r>
                </w:p>
                <w:p w14:paraId="43BEB38C">
                  <w:pP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二乙二醇丁醚 30%</w:t>
                  </w:r>
                </w:p>
              </w:tc>
              <w:tc>
                <w:tcPr>
                  <w:tcW w:w="2882" w:type="pct"/>
                  <w:noWrap w:val="0"/>
                  <w:vAlign w:val="center"/>
                </w:tcPr>
                <w:p w14:paraId="686A56CF">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both"/>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外观与性状：无色透明液体</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w:t>
                  </w:r>
                  <w:r>
                    <w:rPr>
                      <w:rFonts w:hint="default" w:ascii="Times New Roman" w:hAnsi="Times New Roman" w:cs="Times New Roman"/>
                      <w:color w:val="000000" w:themeColor="text1"/>
                      <w:kern w:val="2"/>
                      <w:sz w:val="21"/>
                      <w:szCs w:val="21"/>
                      <w:highlight w:val="none"/>
                      <w14:textFill>
                        <w14:solidFill>
                          <w14:schemeClr w14:val="tx1"/>
                        </w14:solidFill>
                      </w14:textFill>
                    </w:rPr>
                    <w:t>气味：有芳香+轻微醚味</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w:t>
                  </w:r>
                  <w:r>
                    <w:rPr>
                      <w:rFonts w:hint="default" w:ascii="Times New Roman" w:hAnsi="Times New Roman" w:cs="Times New Roman"/>
                      <w:color w:val="000000" w:themeColor="text1"/>
                      <w:kern w:val="2"/>
                      <w:sz w:val="21"/>
                      <w:szCs w:val="21"/>
                      <w:highlight w:val="none"/>
                      <w14:textFill>
                        <w14:solidFill>
                          <w14:schemeClr w14:val="tx1"/>
                        </w14:solidFill>
                      </w14:textFill>
                    </w:rPr>
                    <w:t>闪点：约 42℃（闭杯）</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w:t>
                  </w:r>
                  <w:r>
                    <w:rPr>
                      <w:rFonts w:hint="default" w:ascii="Times New Roman" w:hAnsi="Times New Roman" w:cs="Times New Roman"/>
                      <w:color w:val="000000" w:themeColor="text1"/>
                      <w:kern w:val="2"/>
                      <w:sz w:val="21"/>
                      <w:szCs w:val="21"/>
                      <w:highlight w:val="none"/>
                      <w14:textFill>
                        <w14:solidFill>
                          <w14:schemeClr w14:val="tx1"/>
                        </w14:solidFill>
                      </w14:textFill>
                    </w:rPr>
                    <w:t>自然温度：约 420℃</w:t>
                  </w:r>
                </w:p>
                <w:p w14:paraId="2EC8D357">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left"/>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爆炸极限：约 1.1%-6.5%</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w:t>
                  </w:r>
                  <w:r>
                    <w:rPr>
                      <w:rFonts w:hint="default" w:ascii="Times New Roman" w:hAnsi="Times New Roman" w:cs="Times New Roman"/>
                      <w:color w:val="000000" w:themeColor="text1"/>
                      <w:kern w:val="2"/>
                      <w:sz w:val="21"/>
                      <w:szCs w:val="21"/>
                      <w:highlight w:val="none"/>
                      <w14:textFill>
                        <w14:solidFill>
                          <w14:schemeClr w14:val="tx1"/>
                        </w14:solidFill>
                      </w14:textFill>
                    </w:rPr>
                    <w:t>沸点：130-230℃</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w:t>
                  </w:r>
                  <w:r>
                    <w:rPr>
                      <w:rFonts w:hint="default" w:ascii="Times New Roman" w:hAnsi="Times New Roman" w:cs="Times New Roman"/>
                      <w:color w:val="000000" w:themeColor="text1"/>
                      <w:kern w:val="2"/>
                      <w:sz w:val="21"/>
                      <w:szCs w:val="21"/>
                      <w:highlight w:val="none"/>
                      <w14:textFill>
                        <w14:solidFill>
                          <w14:schemeClr w14:val="tx1"/>
                        </w14:solidFill>
                      </w14:textFill>
                    </w:rPr>
                    <w:t>溶解性：微溶于水，与多数有机溶剂、涂料混溶</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w:t>
                  </w: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密度：0.892</w:t>
                  </w:r>
                  <w:r>
                    <w:rPr>
                      <w:rFonts w:hint="default" w:ascii="Times New Roman" w:hAnsi="Times New Roman" w:cs="Times New Roman"/>
                      <w:bCs/>
                      <w:color w:val="000000" w:themeColor="text1"/>
                      <w:sz w:val="21"/>
                      <w:szCs w:val="21"/>
                      <w:highlight w:val="none"/>
                      <w14:textFill>
                        <w14:solidFill>
                          <w14:schemeClr w14:val="tx1"/>
                        </w14:solidFill>
                      </w14:textFill>
                    </w:rPr>
                    <w:t>g/cm</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3</w:t>
                  </w:r>
                </w:p>
              </w:tc>
              <w:tc>
                <w:tcPr>
                  <w:tcW w:w="649" w:type="pct"/>
                  <w:noWrap w:val="0"/>
                  <w:vAlign w:val="center"/>
                </w:tcPr>
                <w:p w14:paraId="1691E58C">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是</w:t>
                  </w:r>
                </w:p>
              </w:tc>
            </w:tr>
            <w:tr w14:paraId="08890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14" w:type="pct"/>
                  <w:noWrap w:val="0"/>
                  <w:vAlign w:val="center"/>
                </w:tcPr>
                <w:p w14:paraId="250709C8">
                  <w:pPr>
                    <w:keepNext w:val="0"/>
                    <w:keepLines w:val="0"/>
                    <w:pageBreakBefore w:val="0"/>
                    <w:widowControl/>
                    <w:suppressLineNumbers w:val="0"/>
                    <w:kinsoku/>
                    <w:overflowPunct/>
                    <w:topLinePunct w:val="0"/>
                    <w:bidi w:val="0"/>
                    <w:adjustRightInd w:val="0"/>
                    <w:snapToGrid/>
                    <w:spacing w:before="0" w:beforeAutospacing="0" w:after="0" w:afterAutospacing="0" w:line="240" w:lineRule="auto"/>
                    <w:ind w:left="0" w:right="0"/>
                    <w:jc w:val="cente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0"/>
                      <w:sz w:val="21"/>
                      <w:szCs w:val="21"/>
                      <w:highlight w:val="none"/>
                      <w:lang w:val="en-US" w:eastAsia="zh-CN"/>
                      <w14:textFill>
                        <w14:solidFill>
                          <w14:schemeClr w14:val="tx1"/>
                        </w14:solidFill>
                      </w14:textFill>
                    </w:rPr>
                    <w:t>粉末涂料</w:t>
                  </w:r>
                </w:p>
              </w:tc>
              <w:tc>
                <w:tcPr>
                  <w:tcW w:w="953" w:type="pct"/>
                  <w:noWrap w:val="0"/>
                  <w:vAlign w:val="center"/>
                </w:tcPr>
                <w:p w14:paraId="2036E203">
                  <w:pP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聚酯树脂50-60%</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硫酸钡30%</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安息香（脱气剂）1%</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颜料5%</w:t>
                  </w:r>
                </w:p>
              </w:tc>
              <w:tc>
                <w:tcPr>
                  <w:tcW w:w="2882" w:type="pct"/>
                  <w:noWrap w:val="0"/>
                  <w:vAlign w:val="center"/>
                </w:tcPr>
                <w:p w14:paraId="46935B56">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both"/>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外观和性状：干性粉末状</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气味：无气味</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分子式：未知 固化条件：170℃/20min()3 / 4</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pH 值：弱碱性 相对密度: 1.3~1.4</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熔点(℃)：120℃ 爆炸上限：无资料</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爆炸下限：无资料 水溶解度：0</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溶解性：微熔于醇、酮、甲苯等非极性有机溶剂</w:t>
                  </w:r>
                </w:p>
              </w:tc>
              <w:tc>
                <w:tcPr>
                  <w:tcW w:w="649" w:type="pct"/>
                  <w:noWrap w:val="0"/>
                  <w:vAlign w:val="center"/>
                </w:tcPr>
                <w:p w14:paraId="79108B3C">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否</w:t>
                  </w:r>
                </w:p>
              </w:tc>
            </w:tr>
            <w:tr w14:paraId="00C2D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862" w:type="dxa"/>
                  <w:noWrap w:val="0"/>
                  <w:vAlign w:val="center"/>
                </w:tcPr>
                <w:p w14:paraId="5DA91ADB">
                  <w:pPr>
                    <w:spacing w:line="240" w:lineRule="auto"/>
                    <w:jc w:val="both"/>
                    <w:rPr>
                      <w:rFonts w:hint="eastAsia" w:ascii="Times New Roman" w:hAnsi="Times New Roman" w:cs="Times New Roman"/>
                      <w:color w:val="000000" w:themeColor="text1"/>
                      <w:kern w:val="0"/>
                      <w:sz w:val="21"/>
                      <w:szCs w:val="21"/>
                      <w:highlight w:val="none"/>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清洗剂</w:t>
                  </w:r>
                </w:p>
              </w:tc>
              <w:tc>
                <w:tcPr>
                  <w:tcW w:w="1598" w:type="dxa"/>
                  <w:noWrap w:val="0"/>
                  <w:vAlign w:val="center"/>
                </w:tcPr>
                <w:p w14:paraId="5E81FDDB">
                  <w:pPr>
                    <w:pStyle w:val="109"/>
                    <w:tabs>
                      <w:tab w:val="left" w:pos="-2848"/>
                    </w:tabs>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乙酸乙酯</w:t>
                  </w:r>
                  <w:r>
                    <w:rPr>
                      <w:rFonts w:hint="default" w:ascii="Times New Roman" w:hAnsi="Times New Roman" w:cs="Times New Roman"/>
                      <w:color w:val="000000" w:themeColor="text1"/>
                      <w:lang w:val="en-US" w:eastAsia="zh-CN"/>
                      <w14:textFill>
                        <w14:solidFill>
                          <w14:schemeClr w14:val="tx1"/>
                        </w14:solidFill>
                      </w14:textFill>
                    </w:rPr>
                    <w:t>50%</w:t>
                  </w:r>
                </w:p>
                <w:p w14:paraId="6F05BE1E">
                  <w:pPr>
                    <w:pStyle w:val="109"/>
                    <w:tabs>
                      <w:tab w:val="left" w:pos="-2848"/>
                    </w:tabs>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乙酸正丁酯</w:t>
                  </w:r>
                  <w:r>
                    <w:rPr>
                      <w:rFonts w:hint="default" w:ascii="Times New Roman" w:hAnsi="Times New Roman" w:cs="Times New Roman"/>
                      <w:color w:val="000000" w:themeColor="text1"/>
                      <w:lang w:val="en-US" w:eastAsia="zh-CN"/>
                      <w14:textFill>
                        <w14:solidFill>
                          <w14:schemeClr w14:val="tx1"/>
                        </w14:solidFill>
                      </w14:textFill>
                    </w:rPr>
                    <w:t>50%</w:t>
                  </w:r>
                </w:p>
              </w:tc>
              <w:tc>
                <w:tcPr>
                  <w:tcW w:w="4831" w:type="dxa"/>
                  <w:noWrap w:val="0"/>
                  <w:vAlign w:val="center"/>
                </w:tcPr>
                <w:p w14:paraId="7FFED45D">
                  <w:pPr>
                    <w:pStyle w:val="109"/>
                    <w:pageBreakBefore w:val="0"/>
                    <w:tabs>
                      <w:tab w:val="left" w:pos="-2848"/>
                    </w:tabs>
                    <w:wordWrap w:val="0"/>
                    <w:overflowPunct/>
                    <w:bidi w:val="0"/>
                    <w:spacing w:line="240" w:lineRule="auto"/>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外观为无色透明液体，相对密度:0.8</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28</w:t>
                  </w:r>
                  <w:r>
                    <w:rPr>
                      <w:rFonts w:hint="default" w:ascii="Times New Roman" w:hAnsi="Times New Roman" w:cs="Times New Roman"/>
                      <w:color w:val="000000" w:themeColor="text1"/>
                      <w:sz w:val="21"/>
                      <w:szCs w:val="21"/>
                      <w:highlight w:val="none"/>
                      <w14:textFill>
                        <w14:solidFill>
                          <w14:schemeClr w14:val="tx1"/>
                        </w14:solidFill>
                      </w14:textFill>
                    </w:rPr>
                    <w:t>，危险特征:易燃，遇明火、高热能引起燃烧爆炸。</w:t>
                  </w:r>
                </w:p>
              </w:tc>
              <w:tc>
                <w:tcPr>
                  <w:tcW w:w="649" w:type="pct"/>
                  <w:noWrap w:val="0"/>
                  <w:vAlign w:val="center"/>
                </w:tcPr>
                <w:p w14:paraId="6C562FE2">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是</w:t>
                  </w:r>
                </w:p>
              </w:tc>
            </w:tr>
            <w:tr w14:paraId="3B593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14" w:type="pct"/>
                  <w:noWrap w:val="0"/>
                  <w:vAlign w:val="center"/>
                </w:tcPr>
                <w:p w14:paraId="12877CC0">
                  <w:pPr>
                    <w:keepNext w:val="0"/>
                    <w:keepLines w:val="0"/>
                    <w:pageBreakBefore w:val="0"/>
                    <w:widowControl/>
                    <w:suppressLineNumbers w:val="0"/>
                    <w:kinsoku/>
                    <w:overflowPunct/>
                    <w:topLinePunct w:val="0"/>
                    <w:bidi w:val="0"/>
                    <w:adjustRightInd w:val="0"/>
                    <w:snapToGrid/>
                    <w:spacing w:before="0" w:beforeAutospacing="0" w:after="0" w:afterAutospacing="0" w:line="240" w:lineRule="auto"/>
                    <w:ind w:left="0" w:right="0"/>
                    <w:jc w:val="cente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焊丝</w:t>
                  </w:r>
                </w:p>
              </w:tc>
              <w:tc>
                <w:tcPr>
                  <w:tcW w:w="3836" w:type="pct"/>
                  <w:gridSpan w:val="2"/>
                  <w:noWrap w:val="0"/>
                  <w:vAlign w:val="center"/>
                </w:tcPr>
                <w:p w14:paraId="75610941">
                  <w:pP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ER4043 铝硅焊丝：核心合金成分为 Si（4.5%~6.0%），Mg 含量极低；ER5356 铝镁焊丝：核心合金成分为 Mg（4.5%~5.5%）、Mn（0.05%~0.20%）</w:t>
                  </w:r>
                  <w:r>
                    <w:rPr>
                      <w:rFonts w:hint="eastAsia"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银白色金属丝</w:t>
                  </w:r>
                  <w:r>
                    <w:rPr>
                      <w:rFonts w:hint="eastAsia"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熔点（约560-620℃）、危险性</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不易燃，熔融状态下有烫伤风险等</w:t>
                  </w:r>
                </w:p>
              </w:tc>
              <w:tc>
                <w:tcPr>
                  <w:tcW w:w="649" w:type="pct"/>
                  <w:noWrap w:val="0"/>
                  <w:vAlign w:val="center"/>
                </w:tcPr>
                <w:p w14:paraId="04D8F425">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否</w:t>
                  </w:r>
                </w:p>
              </w:tc>
            </w:tr>
          </w:tbl>
          <w:p w14:paraId="7944A3D4">
            <w:pPr>
              <w:keepNext w:val="0"/>
              <w:keepLines w:val="0"/>
              <w:pageBreakBefore w:val="0"/>
              <w:widowControl/>
              <w:kinsoku/>
              <w:wordWrap/>
              <w:overflowPunct/>
              <w:topLinePunct w:val="0"/>
              <w:autoSpaceDE/>
              <w:autoSpaceDN/>
              <w:bidi w:val="0"/>
              <w:adjustRightInd/>
              <w:snapToGrid/>
              <w:spacing w:line="100" w:lineRule="exact"/>
              <w:ind w:firstLine="478" w:firstLineChars="200"/>
              <w:jc w:val="left"/>
              <w:textAlignment w:val="auto"/>
              <w:rPr>
                <w:rFonts w:hint="default" w:ascii="Times New Roman" w:hAnsi="Times New Roman" w:eastAsia="宋体" w:cs="Times New Roman"/>
                <w:b/>
                <w:bCs/>
                <w:color w:val="000000" w:themeColor="text1"/>
                <w:spacing w:val="-1"/>
                <w:sz w:val="24"/>
                <w:szCs w:val="24"/>
                <w:highlight w:val="none"/>
                <w14:textFill>
                  <w14:solidFill>
                    <w14:schemeClr w14:val="tx1"/>
                  </w14:solidFill>
                </w14:textFill>
              </w:rPr>
            </w:pPr>
          </w:p>
          <w:p w14:paraId="62D7FF59">
            <w:pPr>
              <w:widowControl/>
              <w:kinsoku/>
              <w:autoSpaceDE/>
              <w:autoSpaceDN/>
              <w:adjustRightInd/>
              <w:snapToGrid/>
              <w:spacing w:line="360" w:lineRule="auto"/>
              <w:ind w:firstLine="478" w:firstLineChars="200"/>
              <w:jc w:val="left"/>
              <w:textAlignment w:val="auto"/>
              <w:rPr>
                <w:rFonts w:hint="default" w:ascii="Times New Roman" w:hAnsi="Times New Roman" w:eastAsia="宋体" w:cs="Times New Roman"/>
                <w:b/>
                <w:bCs/>
                <w:color w:val="000000" w:themeColor="text1"/>
                <w:spacing w:val="-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pacing w:val="-1"/>
                <w:sz w:val="24"/>
                <w:szCs w:val="24"/>
                <w:highlight w:val="none"/>
                <w14:textFill>
                  <w14:solidFill>
                    <w14:schemeClr w14:val="tx1"/>
                  </w14:solidFill>
                </w14:textFill>
              </w:rPr>
              <w:t>4、生产设备</w:t>
            </w:r>
          </w:p>
          <w:p w14:paraId="0774030F">
            <w:pPr>
              <w:widowControl/>
              <w:kinsoku/>
              <w:autoSpaceDE/>
              <w:autoSpaceDN/>
              <w:adjustRightInd/>
              <w:snapToGrid/>
              <w:spacing w:line="360" w:lineRule="auto"/>
              <w:ind w:firstLine="476" w:firstLineChars="200"/>
              <w:jc w:val="left"/>
              <w:textAlignment w:val="auto"/>
              <w:rPr>
                <w:rFonts w:hint="default" w:ascii="Times New Roman" w:hAnsi="Times New Roman" w:eastAsia="宋体" w:cs="Times New Roman"/>
                <w:color w:val="000000" w:themeColor="text1"/>
                <w:spacing w:val="-1"/>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本项目生产设备见下表。</w:t>
            </w:r>
          </w:p>
          <w:p w14:paraId="3CD38D38">
            <w:pPr>
              <w:pageBreakBefore w:val="0"/>
              <w:widowControl w:val="0"/>
              <w:numPr>
                <w:ilvl w:val="0"/>
                <w:numId w:val="10"/>
              </w:numPr>
              <w:wordWrap w:val="0"/>
              <w:overflowPunct/>
              <w:bidi w:val="0"/>
              <w:spacing w:line="240" w:lineRule="auto"/>
              <w:ind w:left="0" w:leftChars="0" w:firstLine="40" w:firstLineChars="0"/>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生产设备一览表</w:t>
            </w:r>
          </w:p>
          <w:tbl>
            <w:tblPr>
              <w:tblStyle w:val="44"/>
              <w:tblW w:w="505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33"/>
              <w:gridCol w:w="1362"/>
              <w:gridCol w:w="1986"/>
              <w:gridCol w:w="753"/>
              <w:gridCol w:w="1862"/>
              <w:gridCol w:w="1880"/>
            </w:tblGrid>
            <w:tr w14:paraId="399A0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tcBorders>
                    <w:tl2br w:val="nil"/>
                    <w:tr2bl w:val="nil"/>
                  </w:tcBorders>
                  <w:noWrap/>
                  <w:vAlign w:val="center"/>
                </w:tcPr>
                <w:p w14:paraId="29C5E7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t>序号</w:t>
                  </w:r>
                </w:p>
              </w:tc>
              <w:tc>
                <w:tcPr>
                  <w:tcW w:w="803" w:type="pct"/>
                  <w:tcBorders>
                    <w:tl2br w:val="nil"/>
                    <w:tr2bl w:val="nil"/>
                  </w:tcBorders>
                  <w:noWrap/>
                  <w:vAlign w:val="center"/>
                </w:tcPr>
                <w:p w14:paraId="11F53B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t>名称</w:t>
                  </w:r>
                </w:p>
              </w:tc>
              <w:tc>
                <w:tcPr>
                  <w:tcW w:w="1171" w:type="pct"/>
                  <w:tcBorders>
                    <w:tl2br w:val="nil"/>
                    <w:tr2bl w:val="nil"/>
                  </w:tcBorders>
                  <w:noWrap/>
                  <w:vAlign w:val="center"/>
                </w:tcPr>
                <w:p w14:paraId="304D02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t>设备名称</w:t>
                  </w:r>
                </w:p>
              </w:tc>
              <w:tc>
                <w:tcPr>
                  <w:tcW w:w="444" w:type="pct"/>
                  <w:tcBorders>
                    <w:tl2br w:val="nil"/>
                    <w:tr2bl w:val="nil"/>
                  </w:tcBorders>
                  <w:noWrap/>
                  <w:vAlign w:val="center"/>
                </w:tcPr>
                <w:p w14:paraId="4374B7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t>数量</w:t>
                  </w:r>
                </w:p>
              </w:tc>
              <w:tc>
                <w:tcPr>
                  <w:tcW w:w="1098" w:type="pct"/>
                  <w:tcBorders>
                    <w:tl2br w:val="nil"/>
                    <w:tr2bl w:val="nil"/>
                  </w:tcBorders>
                  <w:noWrap/>
                  <w:vAlign w:val="center"/>
                </w:tcPr>
                <w:p w14:paraId="767817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t>规格型号</w:t>
                  </w:r>
                </w:p>
              </w:tc>
              <w:tc>
                <w:tcPr>
                  <w:tcW w:w="1109" w:type="pct"/>
                  <w:tcBorders>
                    <w:tl2br w:val="nil"/>
                    <w:tr2bl w:val="nil"/>
                  </w:tcBorders>
                  <w:noWrap/>
                  <w:vAlign w:val="center"/>
                </w:tcPr>
                <w:p w14:paraId="628DAC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t>用途</w:t>
                  </w:r>
                </w:p>
              </w:tc>
            </w:tr>
            <w:tr w14:paraId="54D04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restart"/>
                  <w:tcBorders>
                    <w:tl2br w:val="nil"/>
                    <w:tr2bl w:val="nil"/>
                  </w:tcBorders>
                  <w:noWrap/>
                  <w:vAlign w:val="center"/>
                </w:tcPr>
                <w:p w14:paraId="73CF21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1</w:t>
                  </w:r>
                </w:p>
              </w:tc>
              <w:tc>
                <w:tcPr>
                  <w:tcW w:w="803" w:type="pct"/>
                  <w:vMerge w:val="restart"/>
                  <w:tcBorders>
                    <w:tl2br w:val="nil"/>
                    <w:tr2bl w:val="nil"/>
                  </w:tcBorders>
                  <w:noWrap/>
                  <w:vAlign w:val="center"/>
                </w:tcPr>
                <w:p w14:paraId="32729A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工件表面预处理</w:t>
                  </w:r>
                  <w:r>
                    <w:rPr>
                      <w:rFonts w:hint="default" w:ascii="Times New Roman" w:hAnsi="Times New Roman" w:eastAsia="宋体" w:cs="Times New Roman"/>
                      <w:color w:val="000000" w:themeColor="text1"/>
                      <w:sz w:val="21"/>
                      <w:szCs w:val="21"/>
                      <w:highlight w:val="none"/>
                      <w14:textFill>
                        <w14:solidFill>
                          <w14:schemeClr w14:val="tx1"/>
                        </w14:solidFill>
                      </w14:textFill>
                    </w:rPr>
                    <w:t>生产线</w:t>
                  </w:r>
                </w:p>
              </w:tc>
              <w:tc>
                <w:tcPr>
                  <w:tcW w:w="1171" w:type="pct"/>
                  <w:tcBorders>
                    <w:tl2br w:val="nil"/>
                    <w:tr2bl w:val="nil"/>
                  </w:tcBorders>
                  <w:noWrap/>
                  <w:vAlign w:val="center"/>
                </w:tcPr>
                <w:p w14:paraId="475205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张力机</w:t>
                  </w:r>
                </w:p>
              </w:tc>
              <w:tc>
                <w:tcPr>
                  <w:tcW w:w="444" w:type="pct"/>
                  <w:tcBorders>
                    <w:tl2br w:val="nil"/>
                    <w:tr2bl w:val="nil"/>
                  </w:tcBorders>
                  <w:noWrap/>
                  <w:vAlign w:val="center"/>
                </w:tcPr>
                <w:p w14:paraId="07915A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台</w:t>
                  </w:r>
                </w:p>
              </w:tc>
              <w:tc>
                <w:tcPr>
                  <w:tcW w:w="1098" w:type="pct"/>
                  <w:tcBorders>
                    <w:tl2br w:val="nil"/>
                    <w:tr2bl w:val="nil"/>
                  </w:tcBorders>
                  <w:noWrap/>
                  <w:vAlign w:val="center"/>
                </w:tcPr>
                <w:p w14:paraId="1FD634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highlight w:val="none"/>
                      <w14:textFill>
                        <w14:solidFill>
                          <w14:schemeClr w14:val="tx1"/>
                        </w14:solidFill>
                      </w14:textFill>
                    </w:rPr>
                    <w:t>m/min</w:t>
                  </w:r>
                </w:p>
              </w:tc>
              <w:tc>
                <w:tcPr>
                  <w:tcW w:w="1109" w:type="pct"/>
                  <w:vMerge w:val="restart"/>
                  <w:tcBorders>
                    <w:tl2br w:val="nil"/>
                    <w:tr2bl w:val="nil"/>
                  </w:tcBorders>
                  <w:noWrap/>
                  <w:vAlign w:val="center"/>
                </w:tcPr>
                <w:p w14:paraId="0694FD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行进动力</w:t>
                  </w:r>
                </w:p>
              </w:tc>
            </w:tr>
            <w:tr w14:paraId="71955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ign w:val="center"/>
                </w:tcPr>
                <w:p w14:paraId="57E999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ign w:val="center"/>
                </w:tcPr>
                <w:p w14:paraId="55BA960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ign w:val="center"/>
                </w:tcPr>
                <w:p w14:paraId="3B7922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牵引机</w:t>
                  </w:r>
                </w:p>
              </w:tc>
              <w:tc>
                <w:tcPr>
                  <w:tcW w:w="444" w:type="pct"/>
                  <w:tcBorders>
                    <w:tl2br w:val="nil"/>
                    <w:tr2bl w:val="nil"/>
                  </w:tcBorders>
                  <w:noWrap/>
                  <w:vAlign w:val="center"/>
                </w:tcPr>
                <w:p w14:paraId="78598B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台</w:t>
                  </w:r>
                </w:p>
              </w:tc>
              <w:tc>
                <w:tcPr>
                  <w:tcW w:w="1098" w:type="pct"/>
                  <w:tcBorders>
                    <w:tl2br w:val="nil"/>
                    <w:tr2bl w:val="nil"/>
                  </w:tcBorders>
                  <w:noWrap/>
                  <w:vAlign w:val="center"/>
                </w:tcPr>
                <w:p w14:paraId="7387FB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highlight w:val="none"/>
                      <w14:textFill>
                        <w14:solidFill>
                          <w14:schemeClr w14:val="tx1"/>
                        </w14:solidFill>
                      </w14:textFill>
                    </w:rPr>
                    <w:t>m/min</w:t>
                  </w:r>
                </w:p>
              </w:tc>
              <w:tc>
                <w:tcPr>
                  <w:tcW w:w="1109" w:type="pct"/>
                  <w:vMerge w:val="continue"/>
                  <w:tcBorders>
                    <w:tl2br w:val="nil"/>
                    <w:tr2bl w:val="nil"/>
                  </w:tcBorders>
                  <w:noWrap/>
                  <w:vAlign w:val="center"/>
                </w:tcPr>
                <w:p w14:paraId="69B01D3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1B7F4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ign w:val="center"/>
                </w:tcPr>
                <w:p w14:paraId="204C1ED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ign w:val="center"/>
                </w:tcPr>
                <w:p w14:paraId="6BE85F0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0"/>
                  <w:vAlign w:val="center"/>
                </w:tcPr>
                <w:p w14:paraId="0AFB88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预</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水洗</w:t>
                  </w:r>
                  <w:r>
                    <w:rPr>
                      <w:rFonts w:hint="default" w:ascii="Times New Roman" w:hAnsi="Times New Roman" w:eastAsia="宋体" w:cs="Times New Roman"/>
                      <w:color w:val="000000" w:themeColor="text1"/>
                      <w:sz w:val="21"/>
                      <w:szCs w:val="21"/>
                      <w:highlight w:val="none"/>
                      <w14:textFill>
                        <w14:solidFill>
                          <w14:schemeClr w14:val="tx1"/>
                        </w14:solidFill>
                      </w14:textFill>
                    </w:rPr>
                    <w:t>池</w:t>
                  </w:r>
                </w:p>
              </w:tc>
              <w:tc>
                <w:tcPr>
                  <w:tcW w:w="444" w:type="pct"/>
                  <w:tcBorders>
                    <w:tl2br w:val="nil"/>
                    <w:tr2bl w:val="nil"/>
                  </w:tcBorders>
                  <w:noWrap w:val="0"/>
                  <w:vAlign w:val="center"/>
                </w:tcPr>
                <w:p w14:paraId="36DB71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座</w:t>
                  </w:r>
                </w:p>
              </w:tc>
              <w:tc>
                <w:tcPr>
                  <w:tcW w:w="1098" w:type="pct"/>
                  <w:tcBorders>
                    <w:tl2br w:val="nil"/>
                    <w:tr2bl w:val="nil"/>
                  </w:tcBorders>
                  <w:noWrap/>
                  <w:vAlign w:val="center"/>
                </w:tcPr>
                <w:p w14:paraId="2D647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m×2m×1m</w:t>
                  </w:r>
                </w:p>
              </w:tc>
              <w:tc>
                <w:tcPr>
                  <w:tcW w:w="1109" w:type="pct"/>
                  <w:tcBorders>
                    <w:tl2br w:val="nil"/>
                    <w:tr2bl w:val="nil"/>
                  </w:tcBorders>
                  <w:noWrap/>
                  <w:vAlign w:val="center"/>
                </w:tcPr>
                <w:p w14:paraId="390592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预水洗</w:t>
                  </w:r>
                </w:p>
              </w:tc>
            </w:tr>
            <w:tr w14:paraId="3639F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ign w:val="center"/>
                </w:tcPr>
                <w:p w14:paraId="5E2D93D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ign w:val="center"/>
                </w:tcPr>
                <w:p w14:paraId="4C606D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0"/>
                  <w:vAlign w:val="center"/>
                </w:tcPr>
                <w:p w14:paraId="4E9CCD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预脱脂</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池</w:t>
                  </w:r>
                </w:p>
              </w:tc>
              <w:tc>
                <w:tcPr>
                  <w:tcW w:w="444" w:type="pct"/>
                  <w:tcBorders>
                    <w:tl2br w:val="nil"/>
                    <w:tr2bl w:val="nil"/>
                  </w:tcBorders>
                  <w:noWrap w:val="0"/>
                  <w:vAlign w:val="center"/>
                </w:tcPr>
                <w:p w14:paraId="2A45B2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座</w:t>
                  </w:r>
                </w:p>
              </w:tc>
              <w:tc>
                <w:tcPr>
                  <w:tcW w:w="1098" w:type="pct"/>
                  <w:tcBorders>
                    <w:tl2br w:val="nil"/>
                    <w:tr2bl w:val="nil"/>
                  </w:tcBorders>
                  <w:noWrap/>
                  <w:vAlign w:val="center"/>
                </w:tcPr>
                <w:p w14:paraId="3A8717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z w:val="21"/>
                      <w:szCs w:val="21"/>
                      <w:highlight w:val="none"/>
                      <w14:textFill>
                        <w14:solidFill>
                          <w14:schemeClr w14:val="tx1"/>
                        </w14:solidFill>
                      </w14:textFill>
                    </w:rPr>
                    <w:t>m×2m×1m</w:t>
                  </w:r>
                </w:p>
              </w:tc>
              <w:tc>
                <w:tcPr>
                  <w:tcW w:w="1109" w:type="pct"/>
                  <w:tcBorders>
                    <w:tl2br w:val="nil"/>
                    <w:tr2bl w:val="nil"/>
                  </w:tcBorders>
                  <w:noWrap/>
                  <w:vAlign w:val="center"/>
                </w:tcPr>
                <w:p w14:paraId="1B5EC2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预脱脂</w:t>
                  </w:r>
                </w:p>
              </w:tc>
            </w:tr>
            <w:tr w14:paraId="70019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ign w:val="center"/>
                </w:tcPr>
                <w:p w14:paraId="0902A5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ign w:val="center"/>
                </w:tcPr>
                <w:p w14:paraId="03B873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0"/>
                  <w:vAlign w:val="center"/>
                </w:tcPr>
                <w:p w14:paraId="0A56B5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脱脂</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池</w:t>
                  </w:r>
                </w:p>
              </w:tc>
              <w:tc>
                <w:tcPr>
                  <w:tcW w:w="444" w:type="pct"/>
                  <w:tcBorders>
                    <w:tl2br w:val="nil"/>
                    <w:tr2bl w:val="nil"/>
                  </w:tcBorders>
                  <w:noWrap w:val="0"/>
                  <w:vAlign w:val="center"/>
                </w:tcPr>
                <w:p w14:paraId="095619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座</w:t>
                  </w:r>
                </w:p>
              </w:tc>
              <w:tc>
                <w:tcPr>
                  <w:tcW w:w="1098" w:type="pct"/>
                  <w:tcBorders>
                    <w:tl2br w:val="nil"/>
                    <w:tr2bl w:val="nil"/>
                  </w:tcBorders>
                  <w:noWrap/>
                  <w:vAlign w:val="center"/>
                </w:tcPr>
                <w:p w14:paraId="6F2DA3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z w:val="21"/>
                      <w:szCs w:val="21"/>
                      <w:highlight w:val="none"/>
                      <w14:textFill>
                        <w14:solidFill>
                          <w14:schemeClr w14:val="tx1"/>
                        </w14:solidFill>
                      </w14:textFill>
                    </w:rPr>
                    <w:t>m×2m×1m</w:t>
                  </w:r>
                </w:p>
              </w:tc>
              <w:tc>
                <w:tcPr>
                  <w:tcW w:w="1109" w:type="pct"/>
                  <w:tcBorders>
                    <w:tl2br w:val="nil"/>
                    <w:tr2bl w:val="nil"/>
                  </w:tcBorders>
                  <w:noWrap/>
                  <w:vAlign w:val="center"/>
                </w:tcPr>
                <w:p w14:paraId="4682DD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脱脂</w:t>
                  </w:r>
                </w:p>
              </w:tc>
            </w:tr>
            <w:tr w14:paraId="1D06B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ign w:val="center"/>
                </w:tcPr>
                <w:p w14:paraId="6EC3F91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ign w:val="center"/>
                </w:tcPr>
                <w:p w14:paraId="402540D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0"/>
                  <w:vAlign w:val="center"/>
                </w:tcPr>
                <w:p w14:paraId="7B5FA1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1</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水洗池</w:t>
                  </w:r>
                </w:p>
              </w:tc>
              <w:tc>
                <w:tcPr>
                  <w:tcW w:w="444" w:type="pct"/>
                  <w:tcBorders>
                    <w:tl2br w:val="nil"/>
                    <w:tr2bl w:val="nil"/>
                  </w:tcBorders>
                  <w:noWrap w:val="0"/>
                  <w:vAlign w:val="center"/>
                </w:tcPr>
                <w:p w14:paraId="740874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座</w:t>
                  </w:r>
                </w:p>
              </w:tc>
              <w:tc>
                <w:tcPr>
                  <w:tcW w:w="1098" w:type="pct"/>
                  <w:tcBorders>
                    <w:tl2br w:val="nil"/>
                    <w:tr2bl w:val="nil"/>
                  </w:tcBorders>
                  <w:noWrap/>
                  <w:vAlign w:val="center"/>
                </w:tcPr>
                <w:p w14:paraId="4197458E">
                  <w:pPr>
                    <w:keepNext w:val="0"/>
                    <w:keepLines w:val="0"/>
                    <w:pageBreakBefore w:val="0"/>
                    <w:widowControl/>
                    <w:suppressLineNumbers w:val="0"/>
                    <w:tabs>
                      <w:tab w:val="left" w:pos="674"/>
                      <w:tab w:val="center" w:pos="1470"/>
                    </w:tabs>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.5m×2m×1m</w:t>
                  </w:r>
                </w:p>
              </w:tc>
              <w:tc>
                <w:tcPr>
                  <w:tcW w:w="1109" w:type="pct"/>
                  <w:vMerge w:val="restart"/>
                  <w:tcBorders>
                    <w:tl2br w:val="nil"/>
                    <w:tr2bl w:val="nil"/>
                  </w:tcBorders>
                  <w:noWrap/>
                  <w:vAlign w:val="center"/>
                </w:tcPr>
                <w:p w14:paraId="141AD5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水洗</w:t>
                  </w:r>
                </w:p>
              </w:tc>
            </w:tr>
            <w:tr w14:paraId="03813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ign w:val="center"/>
                </w:tcPr>
                <w:p w14:paraId="273003F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ign w:val="center"/>
                </w:tcPr>
                <w:p w14:paraId="6B42762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0"/>
                  <w:vAlign w:val="center"/>
                </w:tcPr>
                <w:p w14:paraId="231454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水洗池</w:t>
                  </w:r>
                </w:p>
              </w:tc>
              <w:tc>
                <w:tcPr>
                  <w:tcW w:w="444" w:type="pct"/>
                  <w:tcBorders>
                    <w:tl2br w:val="nil"/>
                    <w:tr2bl w:val="nil"/>
                  </w:tcBorders>
                  <w:noWrap w:val="0"/>
                  <w:vAlign w:val="center"/>
                </w:tcPr>
                <w:p w14:paraId="71B9D8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座</w:t>
                  </w:r>
                </w:p>
              </w:tc>
              <w:tc>
                <w:tcPr>
                  <w:tcW w:w="1098" w:type="pct"/>
                  <w:tcBorders>
                    <w:tl2br w:val="nil"/>
                    <w:tr2bl w:val="nil"/>
                  </w:tcBorders>
                  <w:noWrap/>
                  <w:vAlign w:val="center"/>
                </w:tcPr>
                <w:p w14:paraId="117A13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highlight w:val="none"/>
                      <w14:textFill>
                        <w14:solidFill>
                          <w14:schemeClr w14:val="tx1"/>
                        </w14:solidFill>
                      </w14:textFill>
                    </w:rPr>
                    <w:t>m×2m×1m</w:t>
                  </w:r>
                </w:p>
              </w:tc>
              <w:tc>
                <w:tcPr>
                  <w:tcW w:w="1109" w:type="pct"/>
                  <w:vMerge w:val="continue"/>
                  <w:tcBorders>
                    <w:tl2br w:val="nil"/>
                    <w:tr2bl w:val="nil"/>
                  </w:tcBorders>
                  <w:noWrap/>
                  <w:vAlign w:val="center"/>
                </w:tcPr>
                <w:p w14:paraId="376EC9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ADEC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ign w:val="center"/>
                </w:tcPr>
                <w:p w14:paraId="6A7900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ign w:val="center"/>
                </w:tcPr>
                <w:p w14:paraId="12BDAF3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0"/>
                  <w:vAlign w:val="center"/>
                </w:tcPr>
                <w:p w14:paraId="2A8E1E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清</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水洗池</w:t>
                  </w:r>
                </w:p>
              </w:tc>
              <w:tc>
                <w:tcPr>
                  <w:tcW w:w="444" w:type="pct"/>
                  <w:tcBorders>
                    <w:tl2br w:val="nil"/>
                    <w:tr2bl w:val="nil"/>
                  </w:tcBorders>
                  <w:noWrap w:val="0"/>
                  <w:vAlign w:val="center"/>
                </w:tcPr>
                <w:p w14:paraId="5A8616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座</w:t>
                  </w:r>
                </w:p>
              </w:tc>
              <w:tc>
                <w:tcPr>
                  <w:tcW w:w="1098" w:type="pct"/>
                  <w:tcBorders>
                    <w:tl2br w:val="nil"/>
                    <w:tr2bl w:val="nil"/>
                  </w:tcBorders>
                  <w:noWrap/>
                  <w:vAlign w:val="center"/>
                </w:tcPr>
                <w:p w14:paraId="024EDA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highlight w:val="none"/>
                      <w14:textFill>
                        <w14:solidFill>
                          <w14:schemeClr w14:val="tx1"/>
                        </w14:solidFill>
                      </w14:textFill>
                    </w:rPr>
                    <w:t>m×2m×1m</w:t>
                  </w:r>
                </w:p>
              </w:tc>
              <w:tc>
                <w:tcPr>
                  <w:tcW w:w="1109" w:type="pct"/>
                  <w:tcBorders>
                    <w:tl2br w:val="nil"/>
                    <w:tr2bl w:val="nil"/>
                  </w:tcBorders>
                  <w:noWrap/>
                  <w:vAlign w:val="center"/>
                </w:tcPr>
                <w:p w14:paraId="28BEDE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清</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水洗</w:t>
                  </w:r>
                </w:p>
              </w:tc>
            </w:tr>
            <w:tr w14:paraId="1246F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ign w:val="center"/>
                </w:tcPr>
                <w:p w14:paraId="26F6B87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ign w:val="center"/>
                </w:tcPr>
                <w:p w14:paraId="0276F5B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0"/>
                  <w:vAlign w:val="center"/>
                </w:tcPr>
                <w:p w14:paraId="6E9563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无铬钝化池</w:t>
                  </w:r>
                </w:p>
              </w:tc>
              <w:tc>
                <w:tcPr>
                  <w:tcW w:w="444" w:type="pct"/>
                  <w:tcBorders>
                    <w:tl2br w:val="nil"/>
                    <w:tr2bl w:val="nil"/>
                  </w:tcBorders>
                  <w:noWrap w:val="0"/>
                  <w:vAlign w:val="center"/>
                </w:tcPr>
                <w:p w14:paraId="570FD7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座</w:t>
                  </w:r>
                </w:p>
              </w:tc>
              <w:tc>
                <w:tcPr>
                  <w:tcW w:w="1098" w:type="pct"/>
                  <w:tcBorders>
                    <w:tl2br w:val="nil"/>
                    <w:tr2bl w:val="nil"/>
                  </w:tcBorders>
                  <w:noWrap/>
                  <w:vAlign w:val="center"/>
                </w:tcPr>
                <w:p w14:paraId="5151D8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.5m×2m×1m</w:t>
                  </w:r>
                </w:p>
              </w:tc>
              <w:tc>
                <w:tcPr>
                  <w:tcW w:w="1109" w:type="pct"/>
                  <w:tcBorders>
                    <w:tl2br w:val="nil"/>
                    <w:tr2bl w:val="nil"/>
                  </w:tcBorders>
                  <w:noWrap/>
                  <w:vAlign w:val="center"/>
                </w:tcPr>
                <w:p w14:paraId="62AD65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无铬钝化</w:t>
                  </w:r>
                </w:p>
              </w:tc>
            </w:tr>
            <w:tr w14:paraId="72572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ign w:val="center"/>
                </w:tcPr>
                <w:p w14:paraId="7485BFE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ign w:val="center"/>
                </w:tcPr>
                <w:p w14:paraId="3E6E66B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0"/>
                  <w:vAlign w:val="center"/>
                </w:tcPr>
                <w:p w14:paraId="7DF7F8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水洗池</w:t>
                  </w:r>
                </w:p>
              </w:tc>
              <w:tc>
                <w:tcPr>
                  <w:tcW w:w="444" w:type="pct"/>
                  <w:tcBorders>
                    <w:tl2br w:val="nil"/>
                    <w:tr2bl w:val="nil"/>
                  </w:tcBorders>
                  <w:noWrap w:val="0"/>
                  <w:vAlign w:val="center"/>
                </w:tcPr>
                <w:p w14:paraId="54D10B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座</w:t>
                  </w:r>
                </w:p>
              </w:tc>
              <w:tc>
                <w:tcPr>
                  <w:tcW w:w="1098" w:type="pct"/>
                  <w:tcBorders>
                    <w:tl2br w:val="nil"/>
                    <w:tr2bl w:val="nil"/>
                  </w:tcBorders>
                  <w:noWrap/>
                  <w:vAlign w:val="center"/>
                </w:tcPr>
                <w:p w14:paraId="517CD3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m×2m×1m</w:t>
                  </w:r>
                </w:p>
              </w:tc>
              <w:tc>
                <w:tcPr>
                  <w:tcW w:w="1109" w:type="pct"/>
                  <w:tcBorders>
                    <w:tl2br w:val="nil"/>
                    <w:tr2bl w:val="nil"/>
                  </w:tcBorders>
                  <w:noWrap/>
                  <w:vAlign w:val="center"/>
                </w:tcPr>
                <w:p w14:paraId="230738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水洗</w:t>
                  </w:r>
                </w:p>
              </w:tc>
            </w:tr>
            <w:tr w14:paraId="5EF3F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ign w:val="center"/>
                </w:tcPr>
                <w:p w14:paraId="07E9C74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ign w:val="center"/>
                </w:tcPr>
                <w:p w14:paraId="29BE745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0"/>
                  <w:vAlign w:val="center"/>
                </w:tcPr>
                <w:p w14:paraId="5A1936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烘水通道</w:t>
                  </w:r>
                </w:p>
              </w:tc>
              <w:tc>
                <w:tcPr>
                  <w:tcW w:w="444" w:type="pct"/>
                  <w:tcBorders>
                    <w:tl2br w:val="nil"/>
                    <w:tr2bl w:val="nil"/>
                  </w:tcBorders>
                  <w:noWrap w:val="0"/>
                  <w:vAlign w:val="center"/>
                </w:tcPr>
                <w:p w14:paraId="439166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条</w:t>
                  </w:r>
                </w:p>
              </w:tc>
              <w:tc>
                <w:tcPr>
                  <w:tcW w:w="1098" w:type="pct"/>
                  <w:tcBorders>
                    <w:tl2br w:val="nil"/>
                    <w:tr2bl w:val="nil"/>
                  </w:tcBorders>
                  <w:noWrap/>
                  <w:vAlign w:val="center"/>
                </w:tcPr>
                <w:p w14:paraId="1D6237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30</w:t>
                  </w:r>
                  <w:r>
                    <w:rPr>
                      <w:rFonts w:hint="default" w:ascii="Times New Roman" w:hAnsi="Times New Roman" w:eastAsia="宋体" w:cs="Times New Roman"/>
                      <w:color w:val="000000" w:themeColor="text1"/>
                      <w:sz w:val="21"/>
                      <w:szCs w:val="21"/>
                      <w:highlight w:val="none"/>
                      <w14:textFill>
                        <w14:solidFill>
                          <w14:schemeClr w14:val="tx1"/>
                        </w14:solidFill>
                      </w14:textFill>
                    </w:rPr>
                    <w:t>m×</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2570</w:t>
                  </w:r>
                  <w:r>
                    <w:rPr>
                      <w:rFonts w:hint="default" w:ascii="Times New Roman" w:hAnsi="Times New Roman" w:eastAsia="宋体" w:cs="Times New Roman"/>
                      <w:color w:val="000000" w:themeColor="text1"/>
                      <w:sz w:val="21"/>
                      <w:szCs w:val="21"/>
                      <w:highlight w:val="none"/>
                      <w14:textFill>
                        <w14:solidFill>
                          <w14:schemeClr w14:val="tx1"/>
                        </w14:solidFill>
                      </w14:textFill>
                    </w:rPr>
                    <w:t>mm×</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1.5</w:t>
                  </w:r>
                  <w:r>
                    <w:rPr>
                      <w:rFonts w:hint="default" w:ascii="Times New Roman" w:hAnsi="Times New Roman" w:eastAsia="宋体" w:cs="Times New Roman"/>
                      <w:color w:val="000000" w:themeColor="text1"/>
                      <w:sz w:val="21"/>
                      <w:szCs w:val="21"/>
                      <w:highlight w:val="none"/>
                      <w14:textFill>
                        <w14:solidFill>
                          <w14:schemeClr w14:val="tx1"/>
                        </w14:solidFill>
                      </w14:textFill>
                    </w:rPr>
                    <w:t>m</w:t>
                  </w:r>
                </w:p>
              </w:tc>
              <w:tc>
                <w:tcPr>
                  <w:tcW w:w="1109" w:type="pct"/>
                  <w:vMerge w:val="restart"/>
                  <w:tcBorders>
                    <w:tl2br w:val="nil"/>
                    <w:tr2bl w:val="nil"/>
                  </w:tcBorders>
                  <w:noWrap/>
                  <w:vAlign w:val="center"/>
                </w:tcPr>
                <w:p w14:paraId="3004DC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烘干</w:t>
                  </w:r>
                </w:p>
              </w:tc>
            </w:tr>
            <w:tr w14:paraId="64CDA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ign w:val="center"/>
                </w:tcPr>
                <w:p w14:paraId="06BF6D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ign w:val="center"/>
                </w:tcPr>
                <w:p w14:paraId="1D0D18B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0"/>
                  <w:vAlign w:val="center"/>
                </w:tcPr>
                <w:p w14:paraId="3A57EF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烘水炉</w:t>
                  </w:r>
                  <w:r>
                    <w:rPr>
                      <w:rFonts w:hint="eastAsia" w:cs="Times New Roman"/>
                      <w:color w:val="000000" w:themeColor="text1"/>
                      <w:sz w:val="21"/>
                      <w:szCs w:val="21"/>
                      <w:highlight w:val="none"/>
                      <w:lang w:val="en-US" w:eastAsia="zh-CN"/>
                      <w14:textFill>
                        <w14:solidFill>
                          <w14:schemeClr w14:val="tx1"/>
                        </w14:solidFill>
                      </w14:textFill>
                    </w:rPr>
                    <w:t>加热</w:t>
                  </w:r>
                  <w:r>
                    <w:rPr>
                      <w:rFonts w:hint="default" w:ascii="Times New Roman" w:hAnsi="Times New Roman" w:eastAsia="宋体" w:cs="Times New Roman"/>
                      <w:color w:val="000000" w:themeColor="text1"/>
                      <w:sz w:val="21"/>
                      <w:szCs w:val="21"/>
                      <w:highlight w:val="none"/>
                      <w14:textFill>
                        <w14:solidFill>
                          <w14:schemeClr w14:val="tx1"/>
                        </w14:solidFill>
                      </w14:textFill>
                    </w:rPr>
                    <w:t>机</w:t>
                  </w:r>
                </w:p>
              </w:tc>
              <w:tc>
                <w:tcPr>
                  <w:tcW w:w="444" w:type="pct"/>
                  <w:tcBorders>
                    <w:tl2br w:val="nil"/>
                    <w:tr2bl w:val="nil"/>
                  </w:tcBorders>
                  <w:noWrap w:val="0"/>
                  <w:vAlign w:val="center"/>
                </w:tcPr>
                <w:p w14:paraId="157EF6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套</w:t>
                  </w:r>
                </w:p>
              </w:tc>
              <w:tc>
                <w:tcPr>
                  <w:tcW w:w="1098" w:type="pct"/>
                  <w:tcBorders>
                    <w:tl2br w:val="nil"/>
                    <w:tr2bl w:val="nil"/>
                  </w:tcBorders>
                  <w:noWrap/>
                  <w:vAlign w:val="center"/>
                </w:tcPr>
                <w:p w14:paraId="49428A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1109" w:type="pct"/>
                  <w:vMerge w:val="continue"/>
                  <w:tcBorders>
                    <w:tl2br w:val="nil"/>
                    <w:tr2bl w:val="nil"/>
                  </w:tcBorders>
                  <w:noWrap/>
                  <w:vAlign w:val="center"/>
                </w:tcPr>
                <w:p w14:paraId="13DC8D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39F2D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restart"/>
                  <w:tcBorders>
                    <w:tl2br w:val="nil"/>
                    <w:tr2bl w:val="nil"/>
                  </w:tcBorders>
                  <w:noWrap/>
                  <w:vAlign w:val="center"/>
                </w:tcPr>
                <w:p w14:paraId="14F931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803" w:type="pct"/>
                  <w:vMerge w:val="restart"/>
                  <w:tcBorders>
                    <w:tl2br w:val="nil"/>
                    <w:tr2bl w:val="nil"/>
                  </w:tcBorders>
                  <w:noWrap/>
                  <w:vAlign w:val="center"/>
                </w:tcPr>
                <w:p w14:paraId="601633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钣金加工车间</w:t>
                  </w:r>
                </w:p>
              </w:tc>
              <w:tc>
                <w:tcPr>
                  <w:tcW w:w="1171" w:type="pct"/>
                  <w:tcBorders>
                    <w:tl2br w:val="nil"/>
                    <w:tr2bl w:val="nil"/>
                  </w:tcBorders>
                  <w:noWrap w:val="0"/>
                  <w:vAlign w:val="center"/>
                </w:tcPr>
                <w:p w14:paraId="4DD9BEF9">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激光切割生产线</w:t>
                  </w:r>
                </w:p>
              </w:tc>
              <w:tc>
                <w:tcPr>
                  <w:tcW w:w="444" w:type="pct"/>
                  <w:tcBorders>
                    <w:tl2br w:val="nil"/>
                    <w:tr2bl w:val="nil"/>
                  </w:tcBorders>
                  <w:noWrap w:val="0"/>
                  <w:vAlign w:val="center"/>
                </w:tcPr>
                <w:p w14:paraId="0418246F">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10条</w:t>
                  </w:r>
                </w:p>
              </w:tc>
              <w:tc>
                <w:tcPr>
                  <w:tcW w:w="1098" w:type="pct"/>
                  <w:tcBorders>
                    <w:tl2br w:val="nil"/>
                    <w:tr2bl w:val="nil"/>
                  </w:tcBorders>
                  <w:noWrap w:val="0"/>
                  <w:vAlign w:val="center"/>
                </w:tcPr>
                <w:p w14:paraId="726169B8">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AWING</w:t>
                  </w:r>
                  <w:r>
                    <w:rPr>
                      <w:rStyle w:val="156"/>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 xml:space="preserve"> 6025</w:t>
                  </w:r>
                </w:p>
              </w:tc>
              <w:tc>
                <w:tcPr>
                  <w:tcW w:w="1109" w:type="pct"/>
                  <w:vMerge w:val="restart"/>
                  <w:tcBorders>
                    <w:tl2br w:val="nil"/>
                    <w:tr2bl w:val="nil"/>
                  </w:tcBorders>
                  <w:noWrap/>
                  <w:vAlign w:val="center"/>
                </w:tcPr>
                <w:p w14:paraId="244B9AE3">
                  <w:pPr>
                    <w:keepNext w:val="0"/>
                    <w:keepLines w:val="0"/>
                    <w:widowControl/>
                    <w:suppressLineNumbers w:val="0"/>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开料</w:t>
                  </w:r>
                </w:p>
              </w:tc>
            </w:tr>
            <w:tr w14:paraId="32E85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ign w:val="center"/>
                </w:tcPr>
                <w:p w14:paraId="433E45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ign w:val="center"/>
                </w:tcPr>
                <w:p w14:paraId="013B39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0"/>
                  <w:vAlign w:val="center"/>
                </w:tcPr>
                <w:p w14:paraId="2C1FEC5F">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数控切割机</w:t>
                  </w:r>
                </w:p>
              </w:tc>
              <w:tc>
                <w:tcPr>
                  <w:tcW w:w="444" w:type="pct"/>
                  <w:tcBorders>
                    <w:tl2br w:val="nil"/>
                    <w:tr2bl w:val="nil"/>
                  </w:tcBorders>
                  <w:noWrap w:val="0"/>
                  <w:vAlign w:val="center"/>
                </w:tcPr>
                <w:p w14:paraId="66980BFB">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10台</w:t>
                  </w:r>
                </w:p>
              </w:tc>
              <w:tc>
                <w:tcPr>
                  <w:tcW w:w="1098" w:type="pct"/>
                  <w:tcBorders>
                    <w:tl2br w:val="nil"/>
                    <w:tr2bl w:val="nil"/>
                  </w:tcBorders>
                  <w:noWrap w:val="0"/>
                  <w:vAlign w:val="center"/>
                </w:tcPr>
                <w:p w14:paraId="317941FF">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HPI-3058-36LA</w:t>
                  </w:r>
                </w:p>
              </w:tc>
              <w:tc>
                <w:tcPr>
                  <w:tcW w:w="1109" w:type="pct"/>
                  <w:vMerge w:val="continue"/>
                  <w:tcBorders>
                    <w:tl2br w:val="nil"/>
                    <w:tr2bl w:val="nil"/>
                  </w:tcBorders>
                  <w:noWrap/>
                  <w:vAlign w:val="center"/>
                </w:tcPr>
                <w:p w14:paraId="4013651A">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p>
              </w:tc>
            </w:tr>
            <w:tr w14:paraId="1F37A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ign w:val="center"/>
                </w:tcPr>
                <w:p w14:paraId="516737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ign w:val="center"/>
                </w:tcPr>
                <w:p w14:paraId="412239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0"/>
                  <w:vAlign w:val="center"/>
                </w:tcPr>
                <w:p w14:paraId="22084A32">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数控转塔冲床</w:t>
                  </w:r>
                </w:p>
              </w:tc>
              <w:tc>
                <w:tcPr>
                  <w:tcW w:w="444" w:type="pct"/>
                  <w:tcBorders>
                    <w:tl2br w:val="nil"/>
                    <w:tr2bl w:val="nil"/>
                  </w:tcBorders>
                  <w:noWrap w:val="0"/>
                  <w:vAlign w:val="center"/>
                </w:tcPr>
                <w:p w14:paraId="46EC57DA">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40台</w:t>
                  </w:r>
                </w:p>
              </w:tc>
              <w:tc>
                <w:tcPr>
                  <w:tcW w:w="1098" w:type="pct"/>
                  <w:tcBorders>
                    <w:tl2br w:val="nil"/>
                    <w:tr2bl w:val="nil"/>
                  </w:tcBorders>
                  <w:noWrap w:val="0"/>
                  <w:vAlign w:val="center"/>
                </w:tcPr>
                <w:p w14:paraId="5370E6BB">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HPE-3078</w:t>
                  </w:r>
                </w:p>
              </w:tc>
              <w:tc>
                <w:tcPr>
                  <w:tcW w:w="1109" w:type="pct"/>
                  <w:vMerge w:val="restart"/>
                  <w:tcBorders>
                    <w:tl2br w:val="nil"/>
                    <w:tr2bl w:val="nil"/>
                  </w:tcBorders>
                  <w:noWrap/>
                  <w:vAlign w:val="center"/>
                </w:tcPr>
                <w:p w14:paraId="42C57631">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冲压、折弯、焊接</w:t>
                  </w:r>
                </w:p>
              </w:tc>
            </w:tr>
            <w:tr w14:paraId="31B8B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ign w:val="center"/>
                </w:tcPr>
                <w:p w14:paraId="5E4184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ign w:val="center"/>
                </w:tcPr>
                <w:p w14:paraId="4D0937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0"/>
                  <w:vAlign w:val="center"/>
                </w:tcPr>
                <w:p w14:paraId="0D053613">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精密剪板机</w:t>
                  </w:r>
                </w:p>
              </w:tc>
              <w:tc>
                <w:tcPr>
                  <w:tcW w:w="444" w:type="pct"/>
                  <w:tcBorders>
                    <w:tl2br w:val="nil"/>
                    <w:tr2bl w:val="nil"/>
                  </w:tcBorders>
                  <w:noWrap w:val="0"/>
                  <w:vAlign w:val="center"/>
                </w:tcPr>
                <w:p w14:paraId="4910D217">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3台</w:t>
                  </w:r>
                </w:p>
              </w:tc>
              <w:tc>
                <w:tcPr>
                  <w:tcW w:w="1098" w:type="pct"/>
                  <w:tcBorders>
                    <w:tl2br w:val="nil"/>
                    <w:tr2bl w:val="nil"/>
                  </w:tcBorders>
                  <w:noWrap w:val="0"/>
                  <w:vAlign w:val="center"/>
                </w:tcPr>
                <w:p w14:paraId="78DA1F39">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w:t>
                  </w:r>
                </w:p>
              </w:tc>
              <w:tc>
                <w:tcPr>
                  <w:tcW w:w="1109" w:type="pct"/>
                  <w:vMerge w:val="continue"/>
                  <w:tcBorders>
                    <w:tl2br w:val="nil"/>
                    <w:tr2bl w:val="nil"/>
                  </w:tcBorders>
                  <w:noWrap/>
                  <w:vAlign w:val="center"/>
                </w:tcPr>
                <w:p w14:paraId="6B72041A">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p>
              </w:tc>
            </w:tr>
            <w:tr w14:paraId="30347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 w:hRule="atLeast"/>
                <w:jc w:val="center"/>
              </w:trPr>
              <w:tc>
                <w:tcPr>
                  <w:tcW w:w="373" w:type="pct"/>
                  <w:vMerge w:val="continue"/>
                  <w:tcBorders>
                    <w:tl2br w:val="nil"/>
                    <w:tr2bl w:val="nil"/>
                  </w:tcBorders>
                  <w:noWrap/>
                  <w:vAlign w:val="center"/>
                </w:tcPr>
                <w:p w14:paraId="3C21D3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ign w:val="center"/>
                </w:tcPr>
                <w:p w14:paraId="7233BF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0"/>
                  <w:vAlign w:val="center"/>
                </w:tcPr>
                <w:p w14:paraId="52A37E30">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卧式数控刨槽机</w:t>
                  </w:r>
                </w:p>
              </w:tc>
              <w:tc>
                <w:tcPr>
                  <w:tcW w:w="444" w:type="pct"/>
                  <w:tcBorders>
                    <w:tl2br w:val="nil"/>
                    <w:tr2bl w:val="nil"/>
                  </w:tcBorders>
                  <w:noWrap w:val="0"/>
                  <w:vAlign w:val="center"/>
                </w:tcPr>
                <w:p w14:paraId="4BFBFBE1">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3台</w:t>
                  </w:r>
                </w:p>
              </w:tc>
              <w:tc>
                <w:tcPr>
                  <w:tcW w:w="1098" w:type="pct"/>
                  <w:tcBorders>
                    <w:tl2br w:val="nil"/>
                    <w:tr2bl w:val="nil"/>
                  </w:tcBorders>
                  <w:noWrap w:val="0"/>
                  <w:vAlign w:val="center"/>
                </w:tcPr>
                <w:p w14:paraId="3FD5C9AF">
                  <w:pPr>
                    <w:spacing w:line="240" w:lineRule="auto"/>
                    <w:jc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w:t>
                  </w:r>
                </w:p>
              </w:tc>
              <w:tc>
                <w:tcPr>
                  <w:tcW w:w="1109" w:type="pct"/>
                  <w:vMerge w:val="continue"/>
                  <w:tcBorders>
                    <w:tl2br w:val="nil"/>
                    <w:tr2bl w:val="nil"/>
                  </w:tcBorders>
                  <w:noWrap/>
                  <w:vAlign w:val="center"/>
                </w:tcPr>
                <w:p w14:paraId="316CD66F">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p>
              </w:tc>
            </w:tr>
            <w:tr w14:paraId="246DD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ign w:val="center"/>
                </w:tcPr>
                <w:p w14:paraId="566A25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ign w:val="center"/>
                </w:tcPr>
                <w:p w14:paraId="4F959E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0"/>
                  <w:vAlign w:val="center"/>
                </w:tcPr>
                <w:p w14:paraId="257EDF9B">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数控折弯机</w:t>
                  </w:r>
                </w:p>
              </w:tc>
              <w:tc>
                <w:tcPr>
                  <w:tcW w:w="444" w:type="pct"/>
                  <w:tcBorders>
                    <w:tl2br w:val="nil"/>
                    <w:tr2bl w:val="nil"/>
                  </w:tcBorders>
                  <w:noWrap w:val="0"/>
                  <w:vAlign w:val="center"/>
                </w:tcPr>
                <w:p w14:paraId="5BADD3CB">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60台</w:t>
                  </w:r>
                </w:p>
              </w:tc>
              <w:tc>
                <w:tcPr>
                  <w:tcW w:w="1098" w:type="pct"/>
                  <w:tcBorders>
                    <w:tl2br w:val="nil"/>
                    <w:tr2bl w:val="nil"/>
                  </w:tcBorders>
                  <w:noWrap w:val="0"/>
                  <w:vAlign w:val="center"/>
                </w:tcPr>
                <w:p w14:paraId="7EB088D9">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NP20-150-400H</w:t>
                  </w:r>
                </w:p>
              </w:tc>
              <w:tc>
                <w:tcPr>
                  <w:tcW w:w="1109" w:type="pct"/>
                  <w:vMerge w:val="continue"/>
                  <w:tcBorders>
                    <w:tl2br w:val="nil"/>
                    <w:tr2bl w:val="nil"/>
                  </w:tcBorders>
                  <w:noWrap/>
                  <w:vAlign w:val="center"/>
                </w:tcPr>
                <w:p w14:paraId="41618CD7">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p>
              </w:tc>
            </w:tr>
            <w:tr w14:paraId="4E41B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73" w:type="pct"/>
                  <w:vMerge w:val="continue"/>
                  <w:tcBorders>
                    <w:tl2br w:val="nil"/>
                    <w:tr2bl w:val="nil"/>
                  </w:tcBorders>
                  <w:noWrap/>
                  <w:vAlign w:val="center"/>
                </w:tcPr>
                <w:p w14:paraId="42C41E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ign w:val="center"/>
                </w:tcPr>
                <w:p w14:paraId="084463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0"/>
                  <w:vAlign w:val="center"/>
                </w:tcPr>
                <w:p w14:paraId="02EA05CB">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滚压成型设备</w:t>
                  </w:r>
                </w:p>
              </w:tc>
              <w:tc>
                <w:tcPr>
                  <w:tcW w:w="444" w:type="pct"/>
                  <w:tcBorders>
                    <w:tl2br w:val="nil"/>
                    <w:tr2bl w:val="nil"/>
                  </w:tcBorders>
                  <w:noWrap w:val="0"/>
                  <w:vAlign w:val="center"/>
                </w:tcPr>
                <w:p w14:paraId="6E553A06">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60台</w:t>
                  </w:r>
                </w:p>
              </w:tc>
              <w:tc>
                <w:tcPr>
                  <w:tcW w:w="1098" w:type="pct"/>
                  <w:tcBorders>
                    <w:tl2br w:val="nil"/>
                    <w:tr2bl w:val="nil"/>
                  </w:tcBorders>
                  <w:noWrap w:val="0"/>
                  <w:vAlign w:val="center"/>
                </w:tcPr>
                <w:p w14:paraId="6E91A7C0">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QA28Y-4X200</w:t>
                  </w:r>
                </w:p>
              </w:tc>
              <w:tc>
                <w:tcPr>
                  <w:tcW w:w="1109" w:type="pct"/>
                  <w:vMerge w:val="continue"/>
                  <w:tcBorders>
                    <w:tl2br w:val="nil"/>
                    <w:tr2bl w:val="nil"/>
                  </w:tcBorders>
                  <w:noWrap/>
                  <w:vAlign w:val="center"/>
                </w:tcPr>
                <w:p w14:paraId="493E4C9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4E1DE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ign w:val="center"/>
                </w:tcPr>
                <w:p w14:paraId="50C1980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ign w:val="center"/>
                </w:tcPr>
                <w:p w14:paraId="46C257E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0"/>
                  <w:vAlign w:val="center"/>
                </w:tcPr>
                <w:p w14:paraId="0E51A38C">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全自动冲孔设备</w:t>
                  </w:r>
                </w:p>
              </w:tc>
              <w:tc>
                <w:tcPr>
                  <w:tcW w:w="444" w:type="pct"/>
                  <w:tcBorders>
                    <w:tl2br w:val="nil"/>
                    <w:tr2bl w:val="nil"/>
                  </w:tcBorders>
                  <w:noWrap w:val="0"/>
                  <w:vAlign w:val="center"/>
                </w:tcPr>
                <w:p w14:paraId="40013DB3">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30台</w:t>
                  </w:r>
                </w:p>
              </w:tc>
              <w:tc>
                <w:tcPr>
                  <w:tcW w:w="1098" w:type="pct"/>
                  <w:tcBorders>
                    <w:tl2br w:val="nil"/>
                    <w:tr2bl w:val="nil"/>
                  </w:tcBorders>
                  <w:noWrap w:val="0"/>
                  <w:vAlign w:val="center"/>
                </w:tcPr>
                <w:p w14:paraId="5447A21D">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CKSL150400S</w:t>
                  </w:r>
                </w:p>
              </w:tc>
              <w:tc>
                <w:tcPr>
                  <w:tcW w:w="1109" w:type="pct"/>
                  <w:vMerge w:val="continue"/>
                  <w:tcBorders>
                    <w:tl2br w:val="nil"/>
                    <w:tr2bl w:val="nil"/>
                  </w:tcBorders>
                  <w:noWrap/>
                  <w:vAlign w:val="center"/>
                </w:tcPr>
                <w:p w14:paraId="12D5578D">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p>
              </w:tc>
            </w:tr>
            <w:tr w14:paraId="2875B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ign w:val="center"/>
                </w:tcPr>
                <w:p w14:paraId="66AB8E9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ign w:val="center"/>
                </w:tcPr>
                <w:p w14:paraId="2C3FAB5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0"/>
                  <w:vAlign w:val="center"/>
                </w:tcPr>
                <w:p w14:paraId="5D47B8E4">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高速激光焊机</w:t>
                  </w:r>
                </w:p>
              </w:tc>
              <w:tc>
                <w:tcPr>
                  <w:tcW w:w="444" w:type="pct"/>
                  <w:tcBorders>
                    <w:tl2br w:val="nil"/>
                    <w:tr2bl w:val="nil"/>
                  </w:tcBorders>
                  <w:noWrap w:val="0"/>
                  <w:vAlign w:val="center"/>
                </w:tcPr>
                <w:p w14:paraId="51988B73">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30台</w:t>
                  </w:r>
                </w:p>
              </w:tc>
              <w:tc>
                <w:tcPr>
                  <w:tcW w:w="1098" w:type="pct"/>
                  <w:tcBorders>
                    <w:tl2br w:val="nil"/>
                    <w:tr2bl w:val="nil"/>
                  </w:tcBorders>
                  <w:noWrap w:val="0"/>
                  <w:vAlign w:val="center"/>
                </w:tcPr>
                <w:p w14:paraId="0AD0FB70">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250DX</w:t>
                  </w:r>
                  <w:r>
                    <w:rPr>
                      <w:rStyle w:val="156"/>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/350DX</w:t>
                  </w:r>
                </w:p>
              </w:tc>
              <w:tc>
                <w:tcPr>
                  <w:tcW w:w="1109" w:type="pct"/>
                  <w:vMerge w:val="continue"/>
                  <w:tcBorders>
                    <w:tl2br w:val="nil"/>
                    <w:tr2bl w:val="nil"/>
                  </w:tcBorders>
                  <w:noWrap/>
                  <w:vAlign w:val="center"/>
                </w:tcPr>
                <w:p w14:paraId="0154B7F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74408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ign w:val="center"/>
                </w:tcPr>
                <w:p w14:paraId="689F37B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ign w:val="center"/>
                </w:tcPr>
                <w:p w14:paraId="020CEF6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0"/>
                  <w:vAlign w:val="center"/>
                </w:tcPr>
                <w:p w14:paraId="04677528">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进口氩弧焊机</w:t>
                  </w:r>
                </w:p>
              </w:tc>
              <w:tc>
                <w:tcPr>
                  <w:tcW w:w="444" w:type="pct"/>
                  <w:tcBorders>
                    <w:tl2br w:val="nil"/>
                    <w:tr2bl w:val="nil"/>
                  </w:tcBorders>
                  <w:noWrap w:val="0"/>
                  <w:vAlign w:val="center"/>
                </w:tcPr>
                <w:p w14:paraId="3E12E7DB">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20台</w:t>
                  </w:r>
                </w:p>
              </w:tc>
              <w:tc>
                <w:tcPr>
                  <w:tcW w:w="1098" w:type="pct"/>
                  <w:tcBorders>
                    <w:tl2br w:val="nil"/>
                    <w:tr2bl w:val="nil"/>
                  </w:tcBorders>
                  <w:noWrap w:val="0"/>
                  <w:vAlign w:val="center"/>
                </w:tcPr>
                <w:p w14:paraId="207F2593">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BMS-8N</w:t>
                  </w:r>
                </w:p>
              </w:tc>
              <w:tc>
                <w:tcPr>
                  <w:tcW w:w="1109" w:type="pct"/>
                  <w:vMerge w:val="continue"/>
                  <w:tcBorders>
                    <w:tl2br w:val="nil"/>
                    <w:tr2bl w:val="nil"/>
                  </w:tcBorders>
                  <w:noWrap/>
                  <w:vAlign w:val="center"/>
                </w:tcPr>
                <w:p w14:paraId="23B72004">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p>
              </w:tc>
            </w:tr>
            <w:tr w14:paraId="22D48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ign w:val="center"/>
                </w:tcPr>
                <w:p w14:paraId="1A8A277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ign w:val="center"/>
                </w:tcPr>
                <w:p w14:paraId="3701F1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0"/>
                  <w:vAlign w:val="center"/>
                </w:tcPr>
                <w:p w14:paraId="7C5F9CA3">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多功能焊机</w:t>
                  </w:r>
                </w:p>
              </w:tc>
              <w:tc>
                <w:tcPr>
                  <w:tcW w:w="444" w:type="pct"/>
                  <w:tcBorders>
                    <w:tl2br w:val="nil"/>
                    <w:tr2bl w:val="nil"/>
                  </w:tcBorders>
                  <w:noWrap w:val="0"/>
                  <w:vAlign w:val="center"/>
                </w:tcPr>
                <w:p w14:paraId="0390BB3D">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20台</w:t>
                  </w:r>
                </w:p>
              </w:tc>
              <w:tc>
                <w:tcPr>
                  <w:tcW w:w="1098" w:type="pct"/>
                  <w:tcBorders>
                    <w:tl2br w:val="nil"/>
                    <w:tr2bl w:val="nil"/>
                  </w:tcBorders>
                  <w:noWrap w:val="0"/>
                  <w:vAlign w:val="center"/>
                </w:tcPr>
                <w:p w14:paraId="1CB28E8C">
                  <w:pPr>
                    <w:spacing w:line="240" w:lineRule="auto"/>
                    <w:jc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w:t>
                  </w:r>
                </w:p>
              </w:tc>
              <w:tc>
                <w:tcPr>
                  <w:tcW w:w="1109" w:type="pct"/>
                  <w:vMerge w:val="continue"/>
                  <w:tcBorders>
                    <w:tl2br w:val="nil"/>
                    <w:tr2bl w:val="nil"/>
                  </w:tcBorders>
                  <w:noWrap/>
                  <w:vAlign w:val="center"/>
                </w:tcPr>
                <w:p w14:paraId="1D8D91D3">
                  <w:pPr>
                    <w:keepNext w:val="0"/>
                    <w:keepLines w:val="0"/>
                    <w:widowControl/>
                    <w:suppressLineNumbers w:val="0"/>
                    <w:spacing w:line="240" w:lineRule="auto"/>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1FA26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9" w:hRule="atLeast"/>
                <w:jc w:val="center"/>
              </w:trPr>
              <w:tc>
                <w:tcPr>
                  <w:tcW w:w="373" w:type="pct"/>
                  <w:vMerge w:val="continue"/>
                  <w:tcBorders>
                    <w:tl2br w:val="nil"/>
                    <w:tr2bl w:val="nil"/>
                  </w:tcBorders>
                  <w:noWrap/>
                  <w:vAlign w:val="center"/>
                </w:tcPr>
                <w:p w14:paraId="0EB6FD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ign w:val="center"/>
                </w:tcPr>
                <w:p w14:paraId="315AA1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0"/>
                  <w:vAlign w:val="center"/>
                </w:tcPr>
                <w:p w14:paraId="6764E07B">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手磨机</w:t>
                  </w:r>
                </w:p>
              </w:tc>
              <w:tc>
                <w:tcPr>
                  <w:tcW w:w="444" w:type="pct"/>
                  <w:tcBorders>
                    <w:tl2br w:val="nil"/>
                    <w:tr2bl w:val="nil"/>
                  </w:tcBorders>
                  <w:noWrap w:val="0"/>
                  <w:vAlign w:val="center"/>
                </w:tcPr>
                <w:p w14:paraId="2DFE385A">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3台</w:t>
                  </w:r>
                </w:p>
              </w:tc>
              <w:tc>
                <w:tcPr>
                  <w:tcW w:w="1098" w:type="pct"/>
                  <w:tcBorders>
                    <w:tl2br w:val="nil"/>
                    <w:tr2bl w:val="nil"/>
                  </w:tcBorders>
                  <w:noWrap w:val="0"/>
                  <w:vAlign w:val="center"/>
                </w:tcPr>
                <w:p w14:paraId="053E3450">
                  <w:pPr>
                    <w:spacing w:line="240" w:lineRule="auto"/>
                    <w:jc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w:t>
                  </w:r>
                </w:p>
              </w:tc>
              <w:tc>
                <w:tcPr>
                  <w:tcW w:w="1109" w:type="pct"/>
                  <w:tcBorders>
                    <w:tl2br w:val="nil"/>
                    <w:tr2bl w:val="nil"/>
                  </w:tcBorders>
                  <w:noWrap/>
                  <w:vAlign w:val="center"/>
                </w:tcPr>
                <w:p w14:paraId="20201129">
                  <w:pPr>
                    <w:keepNext w:val="0"/>
                    <w:keepLines w:val="0"/>
                    <w:widowControl/>
                    <w:suppressLineNumbers w:val="0"/>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手工打磨</w:t>
                  </w:r>
                </w:p>
              </w:tc>
            </w:tr>
            <w:tr w14:paraId="2D997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0"/>
                  <w:vAlign w:val="center"/>
                </w:tcPr>
                <w:p w14:paraId="5B0B38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3" w:type="pct"/>
                  <w:vMerge w:val="continue"/>
                  <w:tcBorders>
                    <w:tl2br w:val="nil"/>
                    <w:tr2bl w:val="nil"/>
                  </w:tcBorders>
                  <w:noWrap w:val="0"/>
                  <w:vAlign w:val="center"/>
                </w:tcPr>
                <w:p w14:paraId="0F6A0B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71" w:type="pct"/>
                  <w:tcBorders>
                    <w:tl2br w:val="nil"/>
                    <w:tr2bl w:val="nil"/>
                  </w:tcBorders>
                  <w:noWrap w:val="0"/>
                  <w:vAlign w:val="center"/>
                </w:tcPr>
                <w:p w14:paraId="3B095FE6">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各类组装设备</w:t>
                  </w:r>
                </w:p>
              </w:tc>
              <w:tc>
                <w:tcPr>
                  <w:tcW w:w="444" w:type="pct"/>
                  <w:tcBorders>
                    <w:tl2br w:val="nil"/>
                    <w:tr2bl w:val="nil"/>
                  </w:tcBorders>
                  <w:noWrap w:val="0"/>
                  <w:vAlign w:val="center"/>
                </w:tcPr>
                <w:p w14:paraId="364BB8C0">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30台</w:t>
                  </w:r>
                </w:p>
              </w:tc>
              <w:tc>
                <w:tcPr>
                  <w:tcW w:w="1098" w:type="pct"/>
                  <w:tcBorders>
                    <w:tl2br w:val="nil"/>
                    <w:tr2bl w:val="nil"/>
                  </w:tcBorders>
                  <w:noWrap w:val="0"/>
                  <w:vAlign w:val="center"/>
                </w:tcPr>
                <w:p w14:paraId="2048B2A8">
                  <w:pPr>
                    <w:spacing w:line="240" w:lineRule="auto"/>
                    <w:jc w:val="center"/>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w:t>
                  </w:r>
                </w:p>
              </w:tc>
              <w:tc>
                <w:tcPr>
                  <w:tcW w:w="1109" w:type="pct"/>
                  <w:tcBorders>
                    <w:tl2br w:val="nil"/>
                    <w:tr2bl w:val="nil"/>
                  </w:tcBorders>
                  <w:noWrap w:val="0"/>
                  <w:vAlign w:val="center"/>
                </w:tcPr>
                <w:p w14:paraId="3117AEBA">
                  <w:pPr>
                    <w:keepNext w:val="0"/>
                    <w:keepLines w:val="0"/>
                    <w:widowControl/>
                    <w:suppressLineNumbers w:val="0"/>
                    <w:spacing w:line="240" w:lineRule="auto"/>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组装</w:t>
                  </w:r>
                </w:p>
              </w:tc>
            </w:tr>
            <w:tr w14:paraId="7AB76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restart"/>
                  <w:tcBorders>
                    <w:tl2br w:val="nil"/>
                    <w:tr2bl w:val="nil"/>
                  </w:tcBorders>
                  <w:noWrap w:val="0"/>
                  <w:vAlign w:val="center"/>
                </w:tcPr>
                <w:p w14:paraId="36BCA0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w:t>
                  </w:r>
                </w:p>
              </w:tc>
              <w:tc>
                <w:tcPr>
                  <w:tcW w:w="803" w:type="pct"/>
                  <w:vMerge w:val="restart"/>
                  <w:tcBorders>
                    <w:tl2br w:val="nil"/>
                    <w:tr2bl w:val="nil"/>
                  </w:tcBorders>
                  <w:noWrap w:val="0"/>
                  <w:vAlign w:val="center"/>
                </w:tcPr>
                <w:p w14:paraId="08335A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喷涂固化车间</w:t>
                  </w:r>
                </w:p>
              </w:tc>
              <w:tc>
                <w:tcPr>
                  <w:tcW w:w="1171" w:type="pct"/>
                  <w:tcBorders>
                    <w:tl2br w:val="nil"/>
                    <w:tr2bl w:val="nil"/>
                  </w:tcBorders>
                  <w:noWrap w:val="0"/>
                  <w:vAlign w:val="center"/>
                </w:tcPr>
                <w:p w14:paraId="7D6F4556">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喷粉房</w:t>
                  </w:r>
                </w:p>
              </w:tc>
              <w:tc>
                <w:tcPr>
                  <w:tcW w:w="444" w:type="pct"/>
                  <w:tcBorders>
                    <w:tl2br w:val="nil"/>
                    <w:tr2bl w:val="nil"/>
                  </w:tcBorders>
                  <w:noWrap w:val="0"/>
                  <w:vAlign w:val="center"/>
                </w:tcPr>
                <w:p w14:paraId="5FFD9E2E">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1个</w:t>
                  </w:r>
                </w:p>
              </w:tc>
              <w:tc>
                <w:tcPr>
                  <w:tcW w:w="1098" w:type="pct"/>
                  <w:tcBorders>
                    <w:tl2br w:val="nil"/>
                    <w:tr2bl w:val="nil"/>
                  </w:tcBorders>
                  <w:noWrap w:val="0"/>
                  <w:vAlign w:val="center"/>
                </w:tcPr>
                <w:p w14:paraId="307909C2">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w:t>
                  </w:r>
                </w:p>
              </w:tc>
              <w:tc>
                <w:tcPr>
                  <w:tcW w:w="1109" w:type="pct"/>
                  <w:tcBorders>
                    <w:tl2br w:val="nil"/>
                    <w:tr2bl w:val="nil"/>
                  </w:tcBorders>
                  <w:noWrap w:val="0"/>
                  <w:vAlign w:val="center"/>
                </w:tcPr>
                <w:p w14:paraId="02DB85D4">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喷粉</w:t>
                  </w:r>
                </w:p>
              </w:tc>
            </w:tr>
            <w:tr w14:paraId="5AC7C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0"/>
                  <w:vAlign w:val="center"/>
                </w:tcPr>
                <w:p w14:paraId="5EB12E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03" w:type="pct"/>
                  <w:vMerge w:val="continue"/>
                  <w:tcBorders>
                    <w:tl2br w:val="nil"/>
                    <w:tr2bl w:val="nil"/>
                  </w:tcBorders>
                  <w:noWrap w:val="0"/>
                  <w:vAlign w:val="center"/>
                </w:tcPr>
                <w:p w14:paraId="61529D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171" w:type="pct"/>
                  <w:tcBorders>
                    <w:tl2br w:val="nil"/>
                    <w:tr2bl w:val="nil"/>
                  </w:tcBorders>
                  <w:noWrap w:val="0"/>
                  <w:vAlign w:val="center"/>
                </w:tcPr>
                <w:p w14:paraId="28E0C972">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手持喷枪</w:t>
                  </w:r>
                </w:p>
              </w:tc>
              <w:tc>
                <w:tcPr>
                  <w:tcW w:w="444" w:type="pct"/>
                  <w:tcBorders>
                    <w:tl2br w:val="nil"/>
                    <w:tr2bl w:val="nil"/>
                  </w:tcBorders>
                  <w:noWrap w:val="0"/>
                  <w:vAlign w:val="center"/>
                </w:tcPr>
                <w:p w14:paraId="5D77D698">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2个</w:t>
                  </w:r>
                </w:p>
              </w:tc>
              <w:tc>
                <w:tcPr>
                  <w:tcW w:w="1098" w:type="pct"/>
                  <w:tcBorders>
                    <w:tl2br w:val="nil"/>
                    <w:tr2bl w:val="nil"/>
                  </w:tcBorders>
                  <w:noWrap w:val="0"/>
                  <w:vAlign w:val="center"/>
                </w:tcPr>
                <w:p w14:paraId="25B8AD49">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eastAsia" w:cs="Times New Roman"/>
                      <w:i w:val="0"/>
                      <w:color w:val="000000" w:themeColor="text1"/>
                      <w:kern w:val="0"/>
                      <w:sz w:val="21"/>
                      <w:szCs w:val="21"/>
                      <w:u w:val="none"/>
                      <w:lang w:val="en-US" w:eastAsia="zh-CN" w:bidi="ar"/>
                      <w14:textFill>
                        <w14:solidFill>
                          <w14:schemeClr w14:val="tx1"/>
                        </w14:solidFill>
                      </w14:textFill>
                    </w:rPr>
                    <w:t>/</w:t>
                  </w:r>
                </w:p>
              </w:tc>
              <w:tc>
                <w:tcPr>
                  <w:tcW w:w="1109" w:type="pct"/>
                  <w:tcBorders>
                    <w:tl2br w:val="nil"/>
                    <w:tr2bl w:val="nil"/>
                  </w:tcBorders>
                  <w:noWrap w:val="0"/>
                  <w:vAlign w:val="center"/>
                </w:tcPr>
                <w:p w14:paraId="5E7CD29E">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喷粉</w:t>
                  </w:r>
                </w:p>
              </w:tc>
            </w:tr>
            <w:tr w14:paraId="34D07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0"/>
                  <w:vAlign w:val="center"/>
                </w:tcPr>
                <w:p w14:paraId="62735F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03" w:type="pct"/>
                  <w:vMerge w:val="continue"/>
                  <w:tcBorders>
                    <w:tl2br w:val="nil"/>
                    <w:tr2bl w:val="nil"/>
                  </w:tcBorders>
                  <w:noWrap w:val="0"/>
                  <w:vAlign w:val="center"/>
                </w:tcPr>
                <w:p w14:paraId="0B85A7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171" w:type="pct"/>
                  <w:tcBorders>
                    <w:tl2br w:val="nil"/>
                    <w:tr2bl w:val="nil"/>
                  </w:tcBorders>
                  <w:noWrap w:val="0"/>
                  <w:vAlign w:val="center"/>
                </w:tcPr>
                <w:p w14:paraId="649CA1B0">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精涂机</w:t>
                  </w:r>
                </w:p>
              </w:tc>
              <w:tc>
                <w:tcPr>
                  <w:tcW w:w="444" w:type="pct"/>
                  <w:tcBorders>
                    <w:tl2br w:val="nil"/>
                    <w:tr2bl w:val="nil"/>
                  </w:tcBorders>
                  <w:noWrap w:val="0"/>
                  <w:vAlign w:val="center"/>
                </w:tcPr>
                <w:p w14:paraId="2ED8FC1D">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2台</w:t>
                  </w:r>
                </w:p>
              </w:tc>
              <w:tc>
                <w:tcPr>
                  <w:tcW w:w="1098" w:type="pct"/>
                  <w:tcBorders>
                    <w:tl2br w:val="nil"/>
                    <w:tr2bl w:val="nil"/>
                  </w:tcBorders>
                  <w:noWrap w:val="0"/>
                  <w:vAlign w:val="center"/>
                </w:tcPr>
                <w:p w14:paraId="12628626">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eastAsia" w:cs="Times New Roman"/>
                      <w:i w:val="0"/>
                      <w:color w:val="000000" w:themeColor="text1"/>
                      <w:kern w:val="0"/>
                      <w:sz w:val="21"/>
                      <w:szCs w:val="21"/>
                      <w:u w:val="none"/>
                      <w:lang w:val="en-US" w:eastAsia="zh-CN" w:bidi="ar"/>
                      <w14:textFill>
                        <w14:solidFill>
                          <w14:schemeClr w14:val="tx1"/>
                        </w14:solidFill>
                      </w14:textFill>
                    </w:rPr>
                    <w:t>/</w:t>
                  </w:r>
                </w:p>
              </w:tc>
              <w:tc>
                <w:tcPr>
                  <w:tcW w:w="1109" w:type="pct"/>
                  <w:tcBorders>
                    <w:tl2br w:val="nil"/>
                    <w:tr2bl w:val="nil"/>
                  </w:tcBorders>
                  <w:noWrap w:val="0"/>
                  <w:vAlign w:val="center"/>
                </w:tcPr>
                <w:p w14:paraId="507115F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精涂</w:t>
                  </w:r>
                </w:p>
              </w:tc>
            </w:tr>
            <w:tr w14:paraId="077CC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0"/>
                  <w:vAlign w:val="center"/>
                </w:tcPr>
                <w:p w14:paraId="0A6ED4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03" w:type="pct"/>
                  <w:vMerge w:val="continue"/>
                  <w:tcBorders>
                    <w:tl2br w:val="nil"/>
                    <w:tr2bl w:val="nil"/>
                  </w:tcBorders>
                  <w:noWrap w:val="0"/>
                  <w:vAlign w:val="center"/>
                </w:tcPr>
                <w:p w14:paraId="64826F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171" w:type="pct"/>
                  <w:tcBorders>
                    <w:tl2br w:val="nil"/>
                    <w:tr2bl w:val="nil"/>
                  </w:tcBorders>
                  <w:noWrap w:val="0"/>
                  <w:vAlign w:val="center"/>
                </w:tcPr>
                <w:p w14:paraId="48B9C69A">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底漆喷房</w:t>
                  </w:r>
                </w:p>
              </w:tc>
              <w:tc>
                <w:tcPr>
                  <w:tcW w:w="444" w:type="pct"/>
                  <w:tcBorders>
                    <w:tl2br w:val="nil"/>
                    <w:tr2bl w:val="nil"/>
                  </w:tcBorders>
                  <w:noWrap w:val="0"/>
                  <w:vAlign w:val="center"/>
                </w:tcPr>
                <w:p w14:paraId="7C3AA3DA">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2台</w:t>
                  </w:r>
                </w:p>
              </w:tc>
              <w:tc>
                <w:tcPr>
                  <w:tcW w:w="1098" w:type="pct"/>
                  <w:tcBorders>
                    <w:tl2br w:val="nil"/>
                    <w:tr2bl w:val="nil"/>
                  </w:tcBorders>
                  <w:noWrap w:val="0"/>
                  <w:vAlign w:val="center"/>
                </w:tcPr>
                <w:p w14:paraId="105806C8">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16m*5m*3.5m</w:t>
                  </w:r>
                </w:p>
              </w:tc>
              <w:tc>
                <w:tcPr>
                  <w:tcW w:w="1109" w:type="pct"/>
                  <w:tcBorders>
                    <w:tl2br w:val="nil"/>
                    <w:tr2bl w:val="nil"/>
                  </w:tcBorders>
                  <w:noWrap w:val="0"/>
                  <w:vAlign w:val="center"/>
                </w:tcPr>
                <w:p w14:paraId="64022170">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喷漆</w:t>
                  </w:r>
                </w:p>
              </w:tc>
            </w:tr>
            <w:tr w14:paraId="2A7CA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0"/>
                  <w:vAlign w:val="center"/>
                </w:tcPr>
                <w:p w14:paraId="6F2933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03" w:type="pct"/>
                  <w:vMerge w:val="continue"/>
                  <w:tcBorders>
                    <w:tl2br w:val="nil"/>
                    <w:tr2bl w:val="nil"/>
                  </w:tcBorders>
                  <w:noWrap w:val="0"/>
                  <w:vAlign w:val="center"/>
                </w:tcPr>
                <w:p w14:paraId="68FE8F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171" w:type="pct"/>
                  <w:tcBorders>
                    <w:tl2br w:val="nil"/>
                    <w:tr2bl w:val="nil"/>
                  </w:tcBorders>
                  <w:noWrap w:val="0"/>
                  <w:vAlign w:val="center"/>
                </w:tcPr>
                <w:p w14:paraId="1E2289A0">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底漆流平室</w:t>
                  </w:r>
                </w:p>
              </w:tc>
              <w:tc>
                <w:tcPr>
                  <w:tcW w:w="444" w:type="pct"/>
                  <w:tcBorders>
                    <w:tl2br w:val="nil"/>
                    <w:tr2bl w:val="nil"/>
                  </w:tcBorders>
                  <w:noWrap w:val="0"/>
                  <w:vAlign w:val="center"/>
                </w:tcPr>
                <w:p w14:paraId="03B45BA6">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1个</w:t>
                  </w:r>
                </w:p>
              </w:tc>
              <w:tc>
                <w:tcPr>
                  <w:tcW w:w="1098" w:type="pct"/>
                  <w:tcBorders>
                    <w:tl2br w:val="nil"/>
                    <w:tr2bl w:val="nil"/>
                  </w:tcBorders>
                  <w:noWrap w:val="0"/>
                  <w:vAlign w:val="center"/>
                </w:tcPr>
                <w:p w14:paraId="5A0D93B7">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13.5m*5m*3.5m</w:t>
                  </w:r>
                </w:p>
              </w:tc>
              <w:tc>
                <w:tcPr>
                  <w:tcW w:w="1109" w:type="pct"/>
                  <w:tcBorders>
                    <w:tl2br w:val="nil"/>
                    <w:tr2bl w:val="nil"/>
                  </w:tcBorders>
                  <w:noWrap w:val="0"/>
                  <w:vAlign w:val="center"/>
                </w:tcPr>
                <w:p w14:paraId="1E586168">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流平</w:t>
                  </w:r>
                </w:p>
              </w:tc>
            </w:tr>
            <w:tr w14:paraId="3E63E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0"/>
                  <w:vAlign w:val="center"/>
                </w:tcPr>
                <w:p w14:paraId="4E2D54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03" w:type="pct"/>
                  <w:vMerge w:val="continue"/>
                  <w:tcBorders>
                    <w:tl2br w:val="nil"/>
                    <w:tr2bl w:val="nil"/>
                  </w:tcBorders>
                  <w:noWrap w:val="0"/>
                  <w:vAlign w:val="center"/>
                </w:tcPr>
                <w:p w14:paraId="76F09F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171" w:type="pct"/>
                  <w:tcBorders>
                    <w:tl2br w:val="nil"/>
                    <w:tr2bl w:val="nil"/>
                  </w:tcBorders>
                  <w:noWrap w:val="0"/>
                  <w:vAlign w:val="center"/>
                </w:tcPr>
                <w:p w14:paraId="0517E7D4">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面漆喷房</w:t>
                  </w:r>
                </w:p>
              </w:tc>
              <w:tc>
                <w:tcPr>
                  <w:tcW w:w="444" w:type="pct"/>
                  <w:tcBorders>
                    <w:tl2br w:val="nil"/>
                    <w:tr2bl w:val="nil"/>
                  </w:tcBorders>
                  <w:noWrap w:val="0"/>
                  <w:vAlign w:val="center"/>
                </w:tcPr>
                <w:p w14:paraId="644F5F7D">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2个</w:t>
                  </w:r>
                </w:p>
              </w:tc>
              <w:tc>
                <w:tcPr>
                  <w:tcW w:w="1098" w:type="pct"/>
                  <w:tcBorders>
                    <w:tl2br w:val="nil"/>
                    <w:tr2bl w:val="nil"/>
                  </w:tcBorders>
                  <w:noWrap w:val="0"/>
                  <w:vAlign w:val="center"/>
                </w:tcPr>
                <w:p w14:paraId="744A861D">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16m*5m*3.5m</w:t>
                  </w:r>
                </w:p>
              </w:tc>
              <w:tc>
                <w:tcPr>
                  <w:tcW w:w="1109" w:type="pct"/>
                  <w:tcBorders>
                    <w:tl2br w:val="nil"/>
                    <w:tr2bl w:val="nil"/>
                  </w:tcBorders>
                  <w:noWrap w:val="0"/>
                  <w:vAlign w:val="center"/>
                </w:tcPr>
                <w:p w14:paraId="70FABB36">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喷漆</w:t>
                  </w:r>
                </w:p>
              </w:tc>
            </w:tr>
            <w:tr w14:paraId="02DE4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0"/>
                  <w:vAlign w:val="center"/>
                </w:tcPr>
                <w:p w14:paraId="4E30F8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03" w:type="pct"/>
                  <w:vMerge w:val="continue"/>
                  <w:tcBorders>
                    <w:tl2br w:val="nil"/>
                    <w:tr2bl w:val="nil"/>
                  </w:tcBorders>
                  <w:noWrap w:val="0"/>
                  <w:vAlign w:val="center"/>
                </w:tcPr>
                <w:p w14:paraId="68B9F5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171" w:type="pct"/>
                  <w:tcBorders>
                    <w:tl2br w:val="nil"/>
                    <w:tr2bl w:val="nil"/>
                  </w:tcBorders>
                  <w:noWrap w:val="0"/>
                  <w:vAlign w:val="center"/>
                </w:tcPr>
                <w:p w14:paraId="546979B5">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面漆流平室</w:t>
                  </w:r>
                </w:p>
              </w:tc>
              <w:tc>
                <w:tcPr>
                  <w:tcW w:w="444" w:type="pct"/>
                  <w:tcBorders>
                    <w:tl2br w:val="nil"/>
                    <w:tr2bl w:val="nil"/>
                  </w:tcBorders>
                  <w:noWrap w:val="0"/>
                  <w:vAlign w:val="center"/>
                </w:tcPr>
                <w:p w14:paraId="19211D0A">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1个</w:t>
                  </w:r>
                </w:p>
              </w:tc>
              <w:tc>
                <w:tcPr>
                  <w:tcW w:w="1098" w:type="pct"/>
                  <w:tcBorders>
                    <w:tl2br w:val="nil"/>
                    <w:tr2bl w:val="nil"/>
                  </w:tcBorders>
                  <w:noWrap w:val="0"/>
                  <w:vAlign w:val="center"/>
                </w:tcPr>
                <w:p w14:paraId="5C26E75A">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13.5m*5m*3.5m</w:t>
                  </w:r>
                </w:p>
              </w:tc>
              <w:tc>
                <w:tcPr>
                  <w:tcW w:w="1109" w:type="pct"/>
                  <w:tcBorders>
                    <w:tl2br w:val="nil"/>
                    <w:tr2bl w:val="nil"/>
                  </w:tcBorders>
                  <w:noWrap w:val="0"/>
                  <w:vAlign w:val="center"/>
                </w:tcPr>
                <w:p w14:paraId="2D5936C6">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流平</w:t>
                  </w:r>
                </w:p>
              </w:tc>
            </w:tr>
            <w:tr w14:paraId="42638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0"/>
                  <w:vAlign w:val="center"/>
                </w:tcPr>
                <w:p w14:paraId="2359C7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03" w:type="pct"/>
                  <w:vMerge w:val="continue"/>
                  <w:tcBorders>
                    <w:tl2br w:val="nil"/>
                    <w:tr2bl w:val="nil"/>
                  </w:tcBorders>
                  <w:noWrap w:val="0"/>
                  <w:vAlign w:val="center"/>
                </w:tcPr>
                <w:p w14:paraId="247823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171" w:type="pct"/>
                  <w:tcBorders>
                    <w:tl2br w:val="nil"/>
                    <w:tr2bl w:val="nil"/>
                  </w:tcBorders>
                  <w:noWrap w:val="0"/>
                  <w:vAlign w:val="center"/>
                </w:tcPr>
                <w:p w14:paraId="6518A6EE">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清漆喷房</w:t>
                  </w:r>
                </w:p>
              </w:tc>
              <w:tc>
                <w:tcPr>
                  <w:tcW w:w="444" w:type="pct"/>
                  <w:tcBorders>
                    <w:tl2br w:val="nil"/>
                    <w:tr2bl w:val="nil"/>
                  </w:tcBorders>
                  <w:noWrap w:val="0"/>
                  <w:vAlign w:val="center"/>
                </w:tcPr>
                <w:p w14:paraId="32E2E806">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2个</w:t>
                  </w:r>
                </w:p>
              </w:tc>
              <w:tc>
                <w:tcPr>
                  <w:tcW w:w="1098" w:type="pct"/>
                  <w:tcBorders>
                    <w:tl2br w:val="nil"/>
                    <w:tr2bl w:val="nil"/>
                  </w:tcBorders>
                  <w:noWrap w:val="0"/>
                  <w:vAlign w:val="center"/>
                </w:tcPr>
                <w:p w14:paraId="0C33CF36">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16m*5m*3.5m</w:t>
                  </w:r>
                </w:p>
              </w:tc>
              <w:tc>
                <w:tcPr>
                  <w:tcW w:w="1109" w:type="pct"/>
                  <w:tcBorders>
                    <w:tl2br w:val="nil"/>
                    <w:tr2bl w:val="nil"/>
                  </w:tcBorders>
                  <w:noWrap w:val="0"/>
                  <w:vAlign w:val="center"/>
                </w:tcPr>
                <w:p w14:paraId="0AEE002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喷漆</w:t>
                  </w:r>
                </w:p>
              </w:tc>
            </w:tr>
            <w:tr w14:paraId="095E6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0"/>
                  <w:vAlign w:val="center"/>
                </w:tcPr>
                <w:p w14:paraId="1E7797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03" w:type="pct"/>
                  <w:vMerge w:val="continue"/>
                  <w:tcBorders>
                    <w:tl2br w:val="nil"/>
                    <w:tr2bl w:val="nil"/>
                  </w:tcBorders>
                  <w:noWrap w:val="0"/>
                  <w:vAlign w:val="center"/>
                </w:tcPr>
                <w:p w14:paraId="37D456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171" w:type="pct"/>
                  <w:tcBorders>
                    <w:tl2br w:val="nil"/>
                    <w:tr2bl w:val="nil"/>
                  </w:tcBorders>
                  <w:noWrap w:val="0"/>
                  <w:vAlign w:val="center"/>
                </w:tcPr>
                <w:p w14:paraId="171581F5">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清漆流平室</w:t>
                  </w:r>
                </w:p>
              </w:tc>
              <w:tc>
                <w:tcPr>
                  <w:tcW w:w="444" w:type="pct"/>
                  <w:tcBorders>
                    <w:tl2br w:val="nil"/>
                    <w:tr2bl w:val="nil"/>
                  </w:tcBorders>
                  <w:noWrap w:val="0"/>
                  <w:vAlign w:val="center"/>
                </w:tcPr>
                <w:p w14:paraId="7724A71E">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1个</w:t>
                  </w:r>
                </w:p>
              </w:tc>
              <w:tc>
                <w:tcPr>
                  <w:tcW w:w="1098" w:type="pct"/>
                  <w:tcBorders>
                    <w:tl2br w:val="nil"/>
                    <w:tr2bl w:val="nil"/>
                  </w:tcBorders>
                  <w:noWrap w:val="0"/>
                  <w:vAlign w:val="center"/>
                </w:tcPr>
                <w:p w14:paraId="1AA8D4EA">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13.5m*5m*3.5m</w:t>
                  </w:r>
                </w:p>
              </w:tc>
              <w:tc>
                <w:tcPr>
                  <w:tcW w:w="1109" w:type="pct"/>
                  <w:tcBorders>
                    <w:tl2br w:val="nil"/>
                    <w:tr2bl w:val="nil"/>
                  </w:tcBorders>
                  <w:noWrap w:val="0"/>
                  <w:vAlign w:val="center"/>
                </w:tcPr>
                <w:p w14:paraId="7B33BC76">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流平</w:t>
                  </w:r>
                </w:p>
              </w:tc>
            </w:tr>
            <w:tr w14:paraId="67C56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0"/>
                  <w:vAlign w:val="center"/>
                </w:tcPr>
                <w:p w14:paraId="7D1ED2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03" w:type="pct"/>
                  <w:vMerge w:val="continue"/>
                  <w:tcBorders>
                    <w:tl2br w:val="nil"/>
                    <w:tr2bl w:val="nil"/>
                  </w:tcBorders>
                  <w:noWrap w:val="0"/>
                  <w:vAlign w:val="center"/>
                </w:tcPr>
                <w:p w14:paraId="46C1E8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171" w:type="pct"/>
                  <w:tcBorders>
                    <w:tl2br w:val="nil"/>
                    <w:tr2bl w:val="nil"/>
                  </w:tcBorders>
                  <w:noWrap w:val="0"/>
                  <w:vAlign w:val="center"/>
                </w:tcPr>
                <w:p w14:paraId="071AED20">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手持喷枪</w:t>
                  </w:r>
                </w:p>
              </w:tc>
              <w:tc>
                <w:tcPr>
                  <w:tcW w:w="444" w:type="pct"/>
                  <w:tcBorders>
                    <w:tl2br w:val="nil"/>
                    <w:tr2bl w:val="nil"/>
                  </w:tcBorders>
                  <w:noWrap w:val="0"/>
                  <w:vAlign w:val="center"/>
                </w:tcPr>
                <w:p w14:paraId="135EEB96">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6个</w:t>
                  </w:r>
                </w:p>
              </w:tc>
              <w:tc>
                <w:tcPr>
                  <w:tcW w:w="1098" w:type="pct"/>
                  <w:tcBorders>
                    <w:tl2br w:val="nil"/>
                    <w:tr2bl w:val="nil"/>
                  </w:tcBorders>
                  <w:noWrap w:val="0"/>
                  <w:vAlign w:val="center"/>
                </w:tcPr>
                <w:p w14:paraId="12831C17">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eastAsia" w:cs="Times New Roman"/>
                      <w:i w:val="0"/>
                      <w:color w:val="000000" w:themeColor="text1"/>
                      <w:kern w:val="0"/>
                      <w:sz w:val="21"/>
                      <w:szCs w:val="21"/>
                      <w:u w:val="none"/>
                      <w:lang w:val="en-US" w:eastAsia="zh-CN" w:bidi="ar"/>
                      <w14:textFill>
                        <w14:solidFill>
                          <w14:schemeClr w14:val="tx1"/>
                        </w14:solidFill>
                      </w14:textFill>
                    </w:rPr>
                    <w:t>/</w:t>
                  </w:r>
                </w:p>
              </w:tc>
              <w:tc>
                <w:tcPr>
                  <w:tcW w:w="1109" w:type="pct"/>
                  <w:tcBorders>
                    <w:tl2br w:val="nil"/>
                    <w:tr2bl w:val="nil"/>
                  </w:tcBorders>
                  <w:noWrap w:val="0"/>
                  <w:vAlign w:val="center"/>
                </w:tcPr>
                <w:p w14:paraId="7DB662EF">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喷漆</w:t>
                  </w:r>
                </w:p>
              </w:tc>
            </w:tr>
            <w:tr w14:paraId="08900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0"/>
                  <w:vAlign w:val="center"/>
                </w:tcPr>
                <w:p w14:paraId="719F0C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03" w:type="pct"/>
                  <w:vMerge w:val="continue"/>
                  <w:tcBorders>
                    <w:tl2br w:val="nil"/>
                    <w:tr2bl w:val="nil"/>
                  </w:tcBorders>
                  <w:noWrap w:val="0"/>
                  <w:vAlign w:val="center"/>
                </w:tcPr>
                <w:p w14:paraId="67ECFC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171" w:type="pct"/>
                  <w:tcBorders>
                    <w:tl2br w:val="nil"/>
                    <w:tr2bl w:val="nil"/>
                  </w:tcBorders>
                  <w:noWrap w:val="0"/>
                  <w:vAlign w:val="center"/>
                </w:tcPr>
                <w:p w14:paraId="0CF5DFA5">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精涂机</w:t>
                  </w:r>
                </w:p>
              </w:tc>
              <w:tc>
                <w:tcPr>
                  <w:tcW w:w="444" w:type="pct"/>
                  <w:tcBorders>
                    <w:tl2br w:val="nil"/>
                    <w:tr2bl w:val="nil"/>
                  </w:tcBorders>
                  <w:noWrap w:val="0"/>
                  <w:vAlign w:val="center"/>
                </w:tcPr>
                <w:p w14:paraId="19B10AA6">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6台</w:t>
                  </w:r>
                </w:p>
              </w:tc>
              <w:tc>
                <w:tcPr>
                  <w:tcW w:w="1098" w:type="pct"/>
                  <w:tcBorders>
                    <w:tl2br w:val="nil"/>
                    <w:tr2bl w:val="nil"/>
                  </w:tcBorders>
                  <w:noWrap w:val="0"/>
                  <w:vAlign w:val="center"/>
                </w:tcPr>
                <w:p w14:paraId="363FC8BF">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eastAsia" w:cs="Times New Roman"/>
                      <w:i w:val="0"/>
                      <w:color w:val="000000" w:themeColor="text1"/>
                      <w:kern w:val="0"/>
                      <w:sz w:val="21"/>
                      <w:szCs w:val="21"/>
                      <w:u w:val="none"/>
                      <w:lang w:val="en-US" w:eastAsia="zh-CN" w:bidi="ar"/>
                      <w14:textFill>
                        <w14:solidFill>
                          <w14:schemeClr w14:val="tx1"/>
                        </w14:solidFill>
                      </w14:textFill>
                    </w:rPr>
                    <w:t>/</w:t>
                  </w:r>
                </w:p>
              </w:tc>
              <w:tc>
                <w:tcPr>
                  <w:tcW w:w="1109" w:type="pct"/>
                  <w:tcBorders>
                    <w:tl2br w:val="nil"/>
                    <w:tr2bl w:val="nil"/>
                  </w:tcBorders>
                  <w:noWrap w:val="0"/>
                  <w:vAlign w:val="center"/>
                </w:tcPr>
                <w:p w14:paraId="2053CFF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精</w:t>
                  </w:r>
                  <w:r>
                    <w:rPr>
                      <w:rFonts w:hint="eastAsia" w:cs="Times New Roman"/>
                      <w:i w:val="0"/>
                      <w:color w:val="000000" w:themeColor="text1"/>
                      <w:kern w:val="0"/>
                      <w:sz w:val="21"/>
                      <w:szCs w:val="21"/>
                      <w:u w:val="none"/>
                      <w:lang w:val="en-US" w:eastAsia="zh-CN" w:bidi="ar"/>
                      <w14:textFill>
                        <w14:solidFill>
                          <w14:schemeClr w14:val="tx1"/>
                        </w14:solidFill>
                      </w14:textFill>
                    </w:rPr>
                    <w:t>涂</w:t>
                  </w:r>
                </w:p>
              </w:tc>
            </w:tr>
            <w:tr w14:paraId="6538B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0"/>
                  <w:vAlign w:val="center"/>
                </w:tcPr>
                <w:p w14:paraId="283B1B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03" w:type="pct"/>
                  <w:vMerge w:val="continue"/>
                  <w:tcBorders>
                    <w:tl2br w:val="nil"/>
                    <w:tr2bl w:val="nil"/>
                  </w:tcBorders>
                  <w:noWrap w:val="0"/>
                  <w:vAlign w:val="center"/>
                </w:tcPr>
                <w:p w14:paraId="26C6E2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171" w:type="pct"/>
                  <w:tcBorders>
                    <w:tl2br w:val="nil"/>
                    <w:tr2bl w:val="nil"/>
                  </w:tcBorders>
                  <w:noWrap w:val="0"/>
                  <w:vAlign w:val="center"/>
                </w:tcPr>
                <w:p w14:paraId="4FC6EB21">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调漆房</w:t>
                  </w:r>
                </w:p>
              </w:tc>
              <w:tc>
                <w:tcPr>
                  <w:tcW w:w="444" w:type="pct"/>
                  <w:tcBorders>
                    <w:tl2br w:val="nil"/>
                    <w:tr2bl w:val="nil"/>
                  </w:tcBorders>
                  <w:noWrap w:val="0"/>
                  <w:vAlign w:val="center"/>
                </w:tcPr>
                <w:p w14:paraId="5615ACFD">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1个</w:t>
                  </w:r>
                </w:p>
              </w:tc>
              <w:tc>
                <w:tcPr>
                  <w:tcW w:w="1098" w:type="pct"/>
                  <w:tcBorders>
                    <w:tl2br w:val="nil"/>
                    <w:tr2bl w:val="nil"/>
                  </w:tcBorders>
                  <w:noWrap w:val="0"/>
                  <w:vAlign w:val="center"/>
                </w:tcPr>
                <w:p w14:paraId="647D86D2">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eastAsia" w:cs="Times New Roman"/>
                      <w:i w:val="0"/>
                      <w:color w:val="000000" w:themeColor="text1"/>
                      <w:kern w:val="0"/>
                      <w:sz w:val="21"/>
                      <w:szCs w:val="21"/>
                      <w:u w:val="none"/>
                      <w:lang w:val="en-US" w:eastAsia="zh-CN" w:bidi="ar"/>
                      <w14:textFill>
                        <w14:solidFill>
                          <w14:schemeClr w14:val="tx1"/>
                        </w14:solidFill>
                      </w14:textFill>
                    </w:rPr>
                    <w:t>/</w:t>
                  </w:r>
                </w:p>
              </w:tc>
              <w:tc>
                <w:tcPr>
                  <w:tcW w:w="1109" w:type="pct"/>
                  <w:tcBorders>
                    <w:tl2br w:val="nil"/>
                    <w:tr2bl w:val="nil"/>
                  </w:tcBorders>
                  <w:noWrap w:val="0"/>
                  <w:vAlign w:val="center"/>
                </w:tcPr>
                <w:p w14:paraId="07BC493B">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调漆</w:t>
                  </w:r>
                </w:p>
              </w:tc>
            </w:tr>
            <w:tr w14:paraId="4FB94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0"/>
                  <w:vAlign w:val="center"/>
                </w:tcPr>
                <w:p w14:paraId="334A6A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03" w:type="pct"/>
                  <w:vMerge w:val="continue"/>
                  <w:tcBorders>
                    <w:tl2br w:val="nil"/>
                    <w:tr2bl w:val="nil"/>
                  </w:tcBorders>
                  <w:noWrap w:val="0"/>
                  <w:vAlign w:val="center"/>
                </w:tcPr>
                <w:p w14:paraId="1625D3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171" w:type="pct"/>
                  <w:tcBorders>
                    <w:tl2br w:val="nil"/>
                    <w:tr2bl w:val="nil"/>
                  </w:tcBorders>
                  <w:noWrap w:val="0"/>
                  <w:vAlign w:val="center"/>
                </w:tcPr>
                <w:p w14:paraId="5995D571">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固化通道</w:t>
                  </w:r>
                </w:p>
              </w:tc>
              <w:tc>
                <w:tcPr>
                  <w:tcW w:w="444" w:type="pct"/>
                  <w:tcBorders>
                    <w:tl2br w:val="nil"/>
                    <w:tr2bl w:val="nil"/>
                  </w:tcBorders>
                  <w:noWrap w:val="0"/>
                  <w:vAlign w:val="center"/>
                </w:tcPr>
                <w:p w14:paraId="6C500E0D">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条</w:t>
                  </w:r>
                </w:p>
              </w:tc>
              <w:tc>
                <w:tcPr>
                  <w:tcW w:w="1098" w:type="pct"/>
                  <w:tcBorders>
                    <w:tl2br w:val="nil"/>
                    <w:tr2bl w:val="nil"/>
                  </w:tcBorders>
                  <w:noWrap w:val="0"/>
                  <w:vAlign w:val="center"/>
                </w:tcPr>
                <w:p w14:paraId="788B2498">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eastAsia" w:cs="Times New Roman"/>
                      <w:i w:val="0"/>
                      <w:color w:val="000000" w:themeColor="text1"/>
                      <w:kern w:val="0"/>
                      <w:sz w:val="21"/>
                      <w:szCs w:val="21"/>
                      <w:u w:val="none"/>
                      <w:lang w:val="en-US" w:eastAsia="zh-CN" w:bidi="ar"/>
                      <w14:textFill>
                        <w14:solidFill>
                          <w14:schemeClr w14:val="tx1"/>
                        </w14:solidFill>
                      </w14:textFill>
                    </w:rPr>
                    <w:t>65m×2m</w:t>
                  </w:r>
                </w:p>
              </w:tc>
              <w:tc>
                <w:tcPr>
                  <w:tcW w:w="1109" w:type="pct"/>
                  <w:tcBorders>
                    <w:tl2br w:val="nil"/>
                    <w:tr2bl w:val="nil"/>
                  </w:tcBorders>
                  <w:noWrap w:val="0"/>
                  <w:vAlign w:val="center"/>
                </w:tcPr>
                <w:p w14:paraId="527E6224">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固化通道</w:t>
                  </w:r>
                </w:p>
              </w:tc>
            </w:tr>
            <w:tr w14:paraId="767A5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0"/>
                  <w:vAlign w:val="center"/>
                </w:tcPr>
                <w:p w14:paraId="79B894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03" w:type="pct"/>
                  <w:vMerge w:val="continue"/>
                  <w:tcBorders>
                    <w:tl2br w:val="nil"/>
                    <w:tr2bl w:val="nil"/>
                  </w:tcBorders>
                  <w:noWrap w:val="0"/>
                  <w:vAlign w:val="center"/>
                </w:tcPr>
                <w:p w14:paraId="0F7B08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171" w:type="pct"/>
                  <w:tcBorders>
                    <w:tl2br w:val="nil"/>
                    <w:tr2bl w:val="nil"/>
                  </w:tcBorders>
                  <w:noWrap w:val="0"/>
                  <w:vAlign w:val="center"/>
                </w:tcPr>
                <w:p w14:paraId="78236ECA">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牵引机</w:t>
                  </w:r>
                </w:p>
              </w:tc>
              <w:tc>
                <w:tcPr>
                  <w:tcW w:w="444" w:type="pct"/>
                  <w:tcBorders>
                    <w:tl2br w:val="nil"/>
                    <w:tr2bl w:val="nil"/>
                  </w:tcBorders>
                  <w:noWrap w:val="0"/>
                  <w:vAlign w:val="center"/>
                </w:tcPr>
                <w:p w14:paraId="180A8CC1">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1台</w:t>
                  </w:r>
                </w:p>
              </w:tc>
              <w:tc>
                <w:tcPr>
                  <w:tcW w:w="1098" w:type="pct"/>
                  <w:tcBorders>
                    <w:tl2br w:val="nil"/>
                    <w:tr2bl w:val="nil"/>
                  </w:tcBorders>
                  <w:noWrap w:val="0"/>
                  <w:vAlign w:val="center"/>
                </w:tcPr>
                <w:p w14:paraId="797B7A81">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w:t>
                  </w:r>
                </w:p>
              </w:tc>
              <w:tc>
                <w:tcPr>
                  <w:tcW w:w="1109" w:type="pct"/>
                  <w:tcBorders>
                    <w:tl2br w:val="nil"/>
                    <w:tr2bl w:val="nil"/>
                  </w:tcBorders>
                  <w:noWrap w:val="0"/>
                  <w:vAlign w:val="center"/>
                </w:tcPr>
                <w:p w14:paraId="3F979A6E">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牵引</w:t>
                  </w:r>
                </w:p>
              </w:tc>
            </w:tr>
            <w:tr w14:paraId="35F3A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0"/>
                  <w:vAlign w:val="center"/>
                </w:tcPr>
                <w:p w14:paraId="7F218D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03" w:type="pct"/>
                  <w:vMerge w:val="continue"/>
                  <w:tcBorders>
                    <w:tl2br w:val="nil"/>
                    <w:tr2bl w:val="nil"/>
                  </w:tcBorders>
                  <w:noWrap w:val="0"/>
                  <w:vAlign w:val="center"/>
                </w:tcPr>
                <w:p w14:paraId="3340BE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171" w:type="pct"/>
                  <w:tcBorders>
                    <w:tl2br w:val="nil"/>
                    <w:tr2bl w:val="nil"/>
                  </w:tcBorders>
                  <w:noWrap w:val="0"/>
                  <w:vAlign w:val="center"/>
                </w:tcPr>
                <w:p w14:paraId="356F3EA3">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物料预热通道</w:t>
                  </w:r>
                </w:p>
              </w:tc>
              <w:tc>
                <w:tcPr>
                  <w:tcW w:w="444" w:type="pct"/>
                  <w:tcBorders>
                    <w:tl2br w:val="nil"/>
                    <w:tr2bl w:val="nil"/>
                  </w:tcBorders>
                  <w:noWrap w:val="0"/>
                  <w:vAlign w:val="center"/>
                </w:tcPr>
                <w:p w14:paraId="1EEFC696">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1条</w:t>
                  </w:r>
                </w:p>
              </w:tc>
              <w:tc>
                <w:tcPr>
                  <w:tcW w:w="1098" w:type="pct"/>
                  <w:tcBorders>
                    <w:tl2br w:val="nil"/>
                    <w:tr2bl w:val="nil"/>
                  </w:tcBorders>
                  <w:noWrap w:val="0"/>
                  <w:vAlign w:val="center"/>
                </w:tcPr>
                <w:p w14:paraId="6B314FAE">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w:t>
                  </w:r>
                </w:p>
              </w:tc>
              <w:tc>
                <w:tcPr>
                  <w:tcW w:w="1109" w:type="pct"/>
                  <w:tcBorders>
                    <w:tl2br w:val="nil"/>
                    <w:tr2bl w:val="nil"/>
                  </w:tcBorders>
                  <w:noWrap w:val="0"/>
                  <w:vAlign w:val="center"/>
                </w:tcPr>
                <w:p w14:paraId="194D81D1">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预热</w:t>
                  </w:r>
                </w:p>
              </w:tc>
            </w:tr>
            <w:tr w14:paraId="6B359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0"/>
                  <w:vAlign w:val="center"/>
                </w:tcPr>
                <w:p w14:paraId="010AB8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03" w:type="pct"/>
                  <w:vMerge w:val="continue"/>
                  <w:tcBorders>
                    <w:tl2br w:val="nil"/>
                    <w:tr2bl w:val="nil"/>
                  </w:tcBorders>
                  <w:noWrap w:val="0"/>
                  <w:vAlign w:val="center"/>
                </w:tcPr>
                <w:p w14:paraId="3E4292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171" w:type="pct"/>
                  <w:tcBorders>
                    <w:tl2br w:val="nil"/>
                    <w:tr2bl w:val="nil"/>
                  </w:tcBorders>
                  <w:noWrap w:val="0"/>
                  <w:vAlign w:val="center"/>
                </w:tcPr>
                <w:p w14:paraId="45D29BA8">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喷粉房</w:t>
                  </w:r>
                </w:p>
              </w:tc>
              <w:tc>
                <w:tcPr>
                  <w:tcW w:w="444" w:type="pct"/>
                  <w:tcBorders>
                    <w:tl2br w:val="nil"/>
                    <w:tr2bl w:val="nil"/>
                  </w:tcBorders>
                  <w:noWrap w:val="0"/>
                  <w:vAlign w:val="center"/>
                </w:tcPr>
                <w:p w14:paraId="7ED5D98A">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1个</w:t>
                  </w:r>
                </w:p>
              </w:tc>
              <w:tc>
                <w:tcPr>
                  <w:tcW w:w="1098" w:type="pct"/>
                  <w:tcBorders>
                    <w:tl2br w:val="nil"/>
                    <w:tr2bl w:val="nil"/>
                  </w:tcBorders>
                  <w:noWrap w:val="0"/>
                  <w:vAlign w:val="center"/>
                </w:tcPr>
                <w:p w14:paraId="616F1A17">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w:t>
                  </w:r>
                </w:p>
              </w:tc>
              <w:tc>
                <w:tcPr>
                  <w:tcW w:w="1109" w:type="pct"/>
                  <w:tcBorders>
                    <w:tl2br w:val="nil"/>
                    <w:tr2bl w:val="nil"/>
                  </w:tcBorders>
                  <w:noWrap w:val="0"/>
                  <w:vAlign w:val="center"/>
                </w:tcPr>
                <w:p w14:paraId="22E7B392">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喷粉</w:t>
                  </w:r>
                </w:p>
              </w:tc>
            </w:tr>
            <w:tr w14:paraId="10C25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vMerge w:val="continue"/>
                  <w:tcBorders>
                    <w:tl2br w:val="nil"/>
                    <w:tr2bl w:val="nil"/>
                  </w:tcBorders>
                  <w:noWrap w:val="0"/>
                  <w:vAlign w:val="center"/>
                </w:tcPr>
                <w:p w14:paraId="301949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03" w:type="pct"/>
                  <w:vMerge w:val="continue"/>
                  <w:tcBorders>
                    <w:tl2br w:val="nil"/>
                    <w:tr2bl w:val="nil"/>
                  </w:tcBorders>
                  <w:noWrap w:val="0"/>
                  <w:vAlign w:val="center"/>
                </w:tcPr>
                <w:p w14:paraId="5AC9D2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171" w:type="pct"/>
                  <w:tcBorders>
                    <w:tl2br w:val="nil"/>
                    <w:tr2bl w:val="nil"/>
                  </w:tcBorders>
                  <w:noWrap w:val="0"/>
                  <w:vAlign w:val="center"/>
                </w:tcPr>
                <w:p w14:paraId="4DD718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i w:val="0"/>
                      <w:color w:val="000000" w:themeColor="text1"/>
                      <w:kern w:val="0"/>
                      <w:sz w:val="21"/>
                      <w:szCs w:val="21"/>
                      <w:u w:val="none"/>
                      <w:lang w:val="en-US" w:eastAsia="zh-CN" w:bidi="ar"/>
                      <w14:textFill>
                        <w14:solidFill>
                          <w14:schemeClr w14:val="tx1"/>
                        </w14:solidFill>
                      </w14:textFill>
                    </w:rPr>
                    <w:t>固化</w:t>
                  </w: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炉</w:t>
                  </w:r>
                </w:p>
              </w:tc>
              <w:tc>
                <w:tcPr>
                  <w:tcW w:w="444" w:type="pct"/>
                  <w:tcBorders>
                    <w:tl2br w:val="nil"/>
                    <w:tr2bl w:val="nil"/>
                  </w:tcBorders>
                  <w:noWrap w:val="0"/>
                  <w:vAlign w:val="center"/>
                </w:tcPr>
                <w:p w14:paraId="609DE37A">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4个</w:t>
                  </w:r>
                </w:p>
              </w:tc>
              <w:tc>
                <w:tcPr>
                  <w:tcW w:w="1098" w:type="pct"/>
                  <w:tcBorders>
                    <w:tl2br w:val="nil"/>
                    <w:tr2bl w:val="nil"/>
                  </w:tcBorders>
                  <w:noWrap w:val="0"/>
                  <w:vAlign w:val="center"/>
                </w:tcPr>
                <w:p w14:paraId="7009D871">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电气两用</w:t>
                  </w:r>
                </w:p>
              </w:tc>
              <w:tc>
                <w:tcPr>
                  <w:tcW w:w="1109" w:type="pct"/>
                  <w:tcBorders>
                    <w:tl2br w:val="nil"/>
                    <w:tr2bl w:val="nil"/>
                  </w:tcBorders>
                  <w:noWrap w:val="0"/>
                  <w:vAlign w:val="center"/>
                </w:tcPr>
                <w:p w14:paraId="25F98EFA">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烘烤固化</w:t>
                  </w:r>
                </w:p>
              </w:tc>
            </w:tr>
            <w:tr w14:paraId="25E76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73" w:type="pct"/>
                  <w:tcBorders>
                    <w:tl2br w:val="nil"/>
                    <w:tr2bl w:val="nil"/>
                  </w:tcBorders>
                  <w:noWrap w:val="0"/>
                  <w:vAlign w:val="center"/>
                </w:tcPr>
                <w:p w14:paraId="76EDA5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w:t>
                  </w:r>
                </w:p>
              </w:tc>
              <w:tc>
                <w:tcPr>
                  <w:tcW w:w="803" w:type="pct"/>
                  <w:tcBorders>
                    <w:tl2br w:val="nil"/>
                    <w:tr2bl w:val="nil"/>
                  </w:tcBorders>
                  <w:noWrap w:val="0"/>
                  <w:vAlign w:val="center"/>
                </w:tcPr>
                <w:p w14:paraId="5EF530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公用工程</w:t>
                  </w:r>
                </w:p>
              </w:tc>
              <w:tc>
                <w:tcPr>
                  <w:tcW w:w="1171" w:type="pct"/>
                  <w:tcBorders>
                    <w:tl2br w:val="nil"/>
                    <w:tr2bl w:val="nil"/>
                  </w:tcBorders>
                  <w:noWrap w:val="0"/>
                  <w:vAlign w:val="center"/>
                </w:tcPr>
                <w:p w14:paraId="4AD5B0D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空压机</w:t>
                  </w:r>
                </w:p>
              </w:tc>
              <w:tc>
                <w:tcPr>
                  <w:tcW w:w="444" w:type="pct"/>
                  <w:tcBorders>
                    <w:tl2br w:val="nil"/>
                    <w:tr2bl w:val="nil"/>
                  </w:tcBorders>
                  <w:noWrap w:val="0"/>
                  <w:vAlign w:val="center"/>
                </w:tcPr>
                <w:p w14:paraId="540FABD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3台</w:t>
                  </w:r>
                </w:p>
              </w:tc>
              <w:tc>
                <w:tcPr>
                  <w:tcW w:w="1098" w:type="pct"/>
                  <w:tcBorders>
                    <w:tl2br w:val="nil"/>
                    <w:tr2bl w:val="nil"/>
                  </w:tcBorders>
                  <w:noWrap w:val="0"/>
                  <w:vAlign w:val="center"/>
                </w:tcPr>
                <w:p w14:paraId="24DD2088">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w:t>
                  </w:r>
                </w:p>
              </w:tc>
              <w:tc>
                <w:tcPr>
                  <w:tcW w:w="1109" w:type="pct"/>
                  <w:tcBorders>
                    <w:tl2br w:val="nil"/>
                    <w:tr2bl w:val="nil"/>
                  </w:tcBorders>
                  <w:noWrap w:val="0"/>
                  <w:vAlign w:val="center"/>
                </w:tcPr>
                <w:p w14:paraId="2B21ED34">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吹扫、气动设施</w:t>
                  </w:r>
                </w:p>
              </w:tc>
            </w:tr>
          </w:tbl>
          <w:p w14:paraId="7B760590">
            <w:pPr>
              <w:keepNext w:val="0"/>
              <w:keepLines w:val="0"/>
              <w:pageBreakBefore w:val="0"/>
              <w:widowControl/>
              <w:kinsoku/>
              <w:wordWrap/>
              <w:overflowPunct/>
              <w:topLinePunct w:val="0"/>
              <w:autoSpaceDE/>
              <w:autoSpaceDN/>
              <w:bidi w:val="0"/>
              <w:adjustRightInd/>
              <w:snapToGrid/>
              <w:spacing w:line="100" w:lineRule="exact"/>
              <w:ind w:firstLine="478" w:firstLineChars="200"/>
              <w:jc w:val="left"/>
              <w:textAlignment w:val="auto"/>
              <w:rPr>
                <w:rFonts w:hint="default" w:ascii="Times New Roman" w:hAnsi="Times New Roman" w:eastAsia="宋体" w:cs="Times New Roman"/>
                <w:b/>
                <w:bCs/>
                <w:color w:val="000000" w:themeColor="text1"/>
                <w:spacing w:val="-1"/>
                <w:sz w:val="24"/>
                <w:szCs w:val="24"/>
                <w:highlight w:val="none"/>
                <w14:textFill>
                  <w14:solidFill>
                    <w14:schemeClr w14:val="tx1"/>
                  </w14:solidFill>
                </w14:textFill>
              </w:rPr>
            </w:pPr>
          </w:p>
          <w:p w14:paraId="49CC267D">
            <w:pPr>
              <w:widowControl/>
              <w:kinsoku/>
              <w:autoSpaceDE/>
              <w:autoSpaceDN/>
              <w:adjustRightInd/>
              <w:snapToGrid/>
              <w:spacing w:line="360" w:lineRule="auto"/>
              <w:ind w:firstLine="478" w:firstLineChars="200"/>
              <w:jc w:val="left"/>
              <w:textAlignment w:val="auto"/>
              <w:rPr>
                <w:rFonts w:hint="default" w:ascii="Times New Roman" w:hAnsi="Times New Roman" w:eastAsia="宋体" w:cs="Times New Roman"/>
                <w:b/>
                <w:bCs/>
                <w:color w:val="000000" w:themeColor="text1"/>
                <w:spacing w:val="-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pacing w:val="-1"/>
                <w:sz w:val="24"/>
                <w:szCs w:val="24"/>
                <w:highlight w:val="none"/>
                <w14:textFill>
                  <w14:solidFill>
                    <w14:schemeClr w14:val="tx1"/>
                  </w14:solidFill>
                </w14:textFill>
              </w:rPr>
              <w:t>5、劳动定员和工作制度</w:t>
            </w:r>
          </w:p>
          <w:p w14:paraId="1BF1E840">
            <w:pPr>
              <w:widowControl/>
              <w:kinsoku/>
              <w:autoSpaceDE/>
              <w:autoSpaceDN/>
              <w:adjustRightInd/>
              <w:snapToGrid/>
              <w:spacing w:line="360" w:lineRule="auto"/>
              <w:ind w:firstLine="480" w:firstLineChars="200"/>
              <w:jc w:val="left"/>
              <w:textAlignment w:val="auto"/>
              <w:rPr>
                <w:rFonts w:hint="eastAsia" w:ascii="Times New Roman" w:hAnsi="Times New Roman" w:eastAsia="宋体" w:cs="Times New Roman"/>
                <w:b/>
                <w:bCs/>
                <w:color w:val="000000" w:themeColor="text1"/>
                <w:spacing w:val="-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项目劳动定员</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160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人</w:t>
            </w:r>
            <w:r>
              <w:rPr>
                <w:rFonts w:hint="default" w:ascii="Times New Roman" w:hAnsi="Times New Roman" w:eastAsia="宋体" w:cs="Times New Roman"/>
                <w:bCs/>
                <w:color w:val="000000" w:themeColor="text1"/>
                <w:sz w:val="24"/>
                <w:szCs w:val="24"/>
                <w:highlight w:val="none"/>
                <w14:textFill>
                  <w14:solidFill>
                    <w14:schemeClr w14:val="tx1"/>
                  </w14:solidFill>
                </w14:textFill>
              </w:rPr>
              <w:t>，</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其中140人</w:t>
            </w:r>
            <w:r>
              <w:rPr>
                <w:rFonts w:hint="default" w:ascii="Times New Roman" w:hAnsi="Times New Roman" w:eastAsia="宋体" w:cs="Times New Roman"/>
                <w:color w:val="000000" w:themeColor="text1"/>
                <w:sz w:val="24"/>
                <w:szCs w:val="24"/>
                <w:highlight w:val="none"/>
                <w14:textFill>
                  <w14:solidFill>
                    <w14:schemeClr w14:val="tx1"/>
                  </w14:solidFill>
                </w14:textFill>
              </w:rPr>
              <w:t>在厂内食宿；</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项目工作制度为1班制，</w:t>
            </w:r>
            <w:r>
              <w:rPr>
                <w:rFonts w:hint="default" w:ascii="Times New Roman" w:hAnsi="Times New Roman" w:eastAsia="宋体" w:cs="Times New Roman"/>
                <w:color w:val="000000" w:themeColor="text1"/>
                <w:sz w:val="24"/>
                <w:szCs w:val="24"/>
                <w:highlight w:val="none"/>
                <w14:textFill>
                  <w14:solidFill>
                    <w14:schemeClr w14:val="tx1"/>
                  </w14:solidFill>
                </w14:textFill>
              </w:rPr>
              <w:t>每天工作8小时，年工作天数</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241</w:t>
            </w:r>
            <w:r>
              <w:rPr>
                <w:rFonts w:hint="default" w:ascii="Times New Roman" w:hAnsi="Times New Roman" w:eastAsia="宋体" w:cs="Times New Roman"/>
                <w:color w:val="000000" w:themeColor="text1"/>
                <w:sz w:val="24"/>
                <w:szCs w:val="24"/>
                <w:highlight w:val="none"/>
                <w14:textFill>
                  <w14:solidFill>
                    <w14:schemeClr w14:val="tx1"/>
                  </w14:solidFill>
                </w14:textFill>
              </w:rPr>
              <w:t>天</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p>
          <w:p w14:paraId="1DBB6E01">
            <w:pPr>
              <w:widowControl/>
              <w:kinsoku/>
              <w:autoSpaceDE/>
              <w:autoSpaceDN/>
              <w:adjustRightInd/>
              <w:snapToGrid/>
              <w:spacing w:line="360" w:lineRule="auto"/>
              <w:ind w:firstLine="478" w:firstLineChars="200"/>
              <w:jc w:val="left"/>
              <w:textAlignment w:val="auto"/>
              <w:rPr>
                <w:rFonts w:hint="default" w:ascii="Times New Roman" w:hAnsi="Times New Roman" w:eastAsia="宋体" w:cs="Times New Roman"/>
                <w:b/>
                <w:bCs/>
                <w:color w:val="000000" w:themeColor="text1"/>
                <w:spacing w:val="-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pacing w:val="-1"/>
                <w:sz w:val="24"/>
                <w:szCs w:val="24"/>
                <w:highlight w:val="none"/>
                <w14:textFill>
                  <w14:solidFill>
                    <w14:schemeClr w14:val="tx1"/>
                  </w14:solidFill>
                </w14:textFill>
              </w:rPr>
              <w:t>6、能源和资源消耗</w:t>
            </w:r>
          </w:p>
          <w:p w14:paraId="0EB00DCD">
            <w:pPr>
              <w:widowControl/>
              <w:kinsoku/>
              <w:autoSpaceDE/>
              <w:autoSpaceDN/>
              <w:adjustRightInd/>
              <w:snapToGrid/>
              <w:spacing w:line="360" w:lineRule="auto"/>
              <w:ind w:firstLine="476" w:firstLineChars="200"/>
              <w:jc w:val="left"/>
              <w:textAlignment w:val="auto"/>
              <w:rPr>
                <w:rFonts w:hint="default" w:ascii="Times New Roman" w:hAnsi="Times New Roman" w:eastAsia="宋体" w:cs="Times New Roman"/>
                <w:color w:val="000000" w:themeColor="text1"/>
                <w:spacing w:val="-1"/>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（1）供电</w:t>
            </w:r>
          </w:p>
          <w:p w14:paraId="5790F33A">
            <w:pPr>
              <w:widowControl/>
              <w:kinsoku/>
              <w:autoSpaceDE/>
              <w:autoSpaceDN/>
              <w:adjustRightInd/>
              <w:snapToGrid/>
              <w:spacing w:line="360" w:lineRule="auto"/>
              <w:ind w:firstLine="476" w:firstLineChars="200"/>
              <w:jc w:val="left"/>
              <w:textAlignment w:val="auto"/>
              <w:rPr>
                <w:rFonts w:hint="default" w:ascii="Times New Roman" w:hAnsi="Times New Roman" w:eastAsia="宋体" w:cs="Times New Roman"/>
                <w:color w:val="000000" w:themeColor="text1"/>
                <w:spacing w:val="-1"/>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本项目用电由市政供电网提供，年用电量约</w:t>
            </w:r>
            <w:r>
              <w:rPr>
                <w:rFonts w:hint="eastAsia" w:cs="Times New Roman"/>
                <w:color w:val="000000" w:themeColor="text1"/>
                <w:spacing w:val="-1"/>
                <w:sz w:val="24"/>
                <w:szCs w:val="24"/>
                <w:highlight w:val="none"/>
                <w:lang w:val="en-US" w:eastAsia="zh-CN"/>
                <w14:textFill>
                  <w14:solidFill>
                    <w14:schemeClr w14:val="tx1"/>
                  </w14:solidFill>
                </w14:textFill>
              </w:rPr>
              <w:t>235</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万千瓦·时，不设备用发电机或锅炉。</w:t>
            </w:r>
          </w:p>
          <w:p w14:paraId="22C6CA7D">
            <w:pPr>
              <w:widowControl/>
              <w:kinsoku/>
              <w:autoSpaceDE/>
              <w:autoSpaceDN/>
              <w:adjustRightInd/>
              <w:snapToGrid/>
              <w:spacing w:line="360" w:lineRule="auto"/>
              <w:ind w:firstLine="476" w:firstLineChars="200"/>
              <w:jc w:val="left"/>
              <w:textAlignment w:val="auto"/>
              <w:rPr>
                <w:rFonts w:hint="default" w:ascii="Times New Roman" w:hAnsi="Times New Roman" w:eastAsia="宋体" w:cs="Times New Roman"/>
                <w:color w:val="000000" w:themeColor="text1"/>
                <w:spacing w:val="-1"/>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（2）给水</w:t>
            </w:r>
          </w:p>
          <w:p w14:paraId="71252184">
            <w:pPr>
              <w:keepNext w:val="0"/>
              <w:keepLines w:val="0"/>
              <w:suppressLineNumbers w:val="0"/>
              <w:adjustRightInd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本项目营运期用水主要为生活用水和生产用水，废水产生主要为生活污水和生产废水。</w:t>
            </w:r>
          </w:p>
          <w:p w14:paraId="0525C2E2">
            <w:pPr>
              <w:pStyle w:val="22"/>
              <w:keepNext w:val="0"/>
              <w:keepLines w:val="0"/>
              <w:suppressLineNumbers w:val="0"/>
              <w:spacing w:before="0" w:beforeAutospacing="0" w:after="0" w:afterAutospacing="0" w:line="360" w:lineRule="auto"/>
              <w:ind w:left="0" w:right="0" w:firstLine="48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①生活用水：本项目</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设置</w:t>
            </w:r>
            <w:r>
              <w:rPr>
                <w:rFonts w:hint="default" w:ascii="Times New Roman" w:hAnsi="Times New Roman" w:cs="Times New Roman"/>
                <w:color w:val="000000" w:themeColor="text1"/>
                <w:sz w:val="24"/>
                <w:szCs w:val="24"/>
                <w:highlight w:val="none"/>
                <w14:textFill>
                  <w14:solidFill>
                    <w14:schemeClr w14:val="tx1"/>
                  </w14:solidFill>
                </w14:textFill>
              </w:rPr>
              <w:t>职工宿舍</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设</w:t>
            </w:r>
            <w:r>
              <w:rPr>
                <w:rFonts w:hint="eastAsia" w:cs="Times New Roman"/>
                <w:color w:val="000000" w:themeColor="text1"/>
                <w:sz w:val="24"/>
                <w:szCs w:val="24"/>
                <w:highlight w:val="none"/>
                <w:lang w:val="en-US" w:eastAsia="zh-CN"/>
                <w14:textFill>
                  <w14:solidFill>
                    <w14:schemeClr w14:val="tx1"/>
                  </w14:solidFill>
                </w14:textFill>
              </w:rPr>
              <w:t>有</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食堂</w:t>
            </w:r>
            <w:r>
              <w:rPr>
                <w:rFonts w:hint="default" w:ascii="Times New Roman" w:hAnsi="Times New Roman" w:cs="Times New Roman"/>
                <w:color w:val="000000" w:themeColor="text1"/>
                <w:sz w:val="24"/>
                <w:szCs w:val="24"/>
                <w:highlight w:val="none"/>
                <w14:textFill>
                  <w14:solidFill>
                    <w14:schemeClr w14:val="tx1"/>
                  </w14:solidFill>
                </w14:textFill>
              </w:rPr>
              <w:t>，劳动定员</w:t>
            </w:r>
            <w:r>
              <w:rPr>
                <w:rFonts w:hint="eastAsia" w:cs="Times New Roman"/>
                <w:color w:val="000000" w:themeColor="text1"/>
                <w:sz w:val="24"/>
                <w:szCs w:val="24"/>
                <w:highlight w:val="none"/>
                <w:lang w:val="en-US" w:eastAsia="zh-CN"/>
                <w14:textFill>
                  <w14:solidFill>
                    <w14:schemeClr w14:val="tx1"/>
                  </w14:solidFill>
                </w14:textFill>
              </w:rPr>
              <w:t>16</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0</w:t>
            </w:r>
            <w:r>
              <w:rPr>
                <w:rFonts w:hint="default" w:ascii="Times New Roman" w:hAnsi="Times New Roman" w:cs="Times New Roman"/>
                <w:color w:val="000000" w:themeColor="text1"/>
                <w:sz w:val="24"/>
                <w:szCs w:val="24"/>
                <w:highlight w:val="none"/>
                <w14:textFill>
                  <w14:solidFill>
                    <w14:schemeClr w14:val="tx1"/>
                  </w14:solidFill>
                </w14:textFill>
              </w:rPr>
              <w:t>人</w:t>
            </w:r>
            <w:r>
              <w:rPr>
                <w:rFonts w:hint="default" w:ascii="Times New Roman" w:hAnsi="Times New Roman" w:eastAsia="宋体" w:cs="Times New Roman"/>
                <w:bCs/>
                <w:color w:val="000000" w:themeColor="text1"/>
                <w:sz w:val="24"/>
                <w:szCs w:val="24"/>
                <w:highlight w:val="none"/>
                <w14:textFill>
                  <w14:solidFill>
                    <w14:schemeClr w14:val="tx1"/>
                  </w14:solidFill>
                </w14:textFill>
              </w:rPr>
              <w:t>，</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其中140人</w:t>
            </w:r>
            <w:r>
              <w:rPr>
                <w:rFonts w:hint="default" w:ascii="Times New Roman" w:hAnsi="Times New Roman" w:eastAsia="宋体" w:cs="Times New Roman"/>
                <w:color w:val="000000" w:themeColor="text1"/>
                <w:sz w:val="24"/>
                <w:szCs w:val="24"/>
                <w:highlight w:val="none"/>
                <w14:textFill>
                  <w14:solidFill>
                    <w14:schemeClr w14:val="tx1"/>
                  </w14:solidFill>
                </w14:textFill>
              </w:rPr>
              <w:t>在厂内食宿</w:t>
            </w:r>
            <w:r>
              <w:rPr>
                <w:rFonts w:hint="default" w:ascii="Times New Roman" w:hAnsi="Times New Roman" w:cs="Times New Roman"/>
                <w:color w:val="000000" w:themeColor="text1"/>
                <w:sz w:val="24"/>
                <w:szCs w:val="24"/>
                <w:highlight w:val="none"/>
                <w14:textFill>
                  <w14:solidFill>
                    <w14:schemeClr w14:val="tx1"/>
                  </w14:solidFill>
                </w14:textFill>
              </w:rPr>
              <w:t>，年工作时间为</w:t>
            </w:r>
            <w:r>
              <w:rPr>
                <w:rFonts w:hint="eastAsia" w:cs="Times New Roman"/>
                <w:color w:val="000000" w:themeColor="text1"/>
                <w:sz w:val="24"/>
                <w:szCs w:val="24"/>
                <w:highlight w:val="none"/>
                <w:lang w:val="en-US" w:eastAsia="zh-CN"/>
                <w14:textFill>
                  <w14:solidFill>
                    <w14:schemeClr w14:val="tx1"/>
                  </w14:solidFill>
                </w14:textFill>
              </w:rPr>
              <w:t>241</w:t>
            </w:r>
            <w:r>
              <w:rPr>
                <w:rFonts w:hint="default" w:ascii="Times New Roman" w:hAnsi="Times New Roman" w:cs="Times New Roman"/>
                <w:color w:val="000000" w:themeColor="text1"/>
                <w:sz w:val="24"/>
                <w:szCs w:val="24"/>
                <w:highlight w:val="none"/>
                <w14:textFill>
                  <w14:solidFill>
                    <w14:schemeClr w14:val="tx1"/>
                  </w14:solidFill>
                </w14:textFill>
              </w:rPr>
              <w:t>天，每天工作8小时，生活用水量为</w:t>
            </w:r>
            <w:r>
              <w:rPr>
                <w:rFonts w:hint="eastAsia" w:cs="Times New Roman"/>
                <w:color w:val="000000" w:themeColor="text1"/>
                <w:sz w:val="24"/>
                <w:szCs w:val="24"/>
                <w:highlight w:val="none"/>
                <w:lang w:val="en-US" w:eastAsia="zh-CN"/>
                <w14:textFill>
                  <w14:solidFill>
                    <w14:schemeClr w14:val="tx1"/>
                  </w14:solidFill>
                </w14:textFill>
              </w:rPr>
              <w:t>2300</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/a。</w:t>
            </w:r>
          </w:p>
          <w:p w14:paraId="74C4F9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②生产用水：本项目生产用水为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水帘柜用水、喷淋塔用水</w:t>
            </w:r>
            <w:r>
              <w:rPr>
                <w:rFonts w:hint="eastAsia" w:cs="Times New Roman"/>
                <w:color w:val="000000" w:themeColor="text1"/>
                <w:sz w:val="24"/>
                <w:szCs w:val="24"/>
                <w:highlight w:val="none"/>
                <w:lang w:val="en-US" w:eastAsia="zh-CN"/>
                <w14:textFill>
                  <w14:solidFill>
                    <w14:schemeClr w14:val="tx1"/>
                  </w14:solidFill>
                </w14:textFill>
              </w:rPr>
              <w:t>和</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前处理用水。</w:t>
            </w:r>
            <w:r>
              <w:rPr>
                <w:rFonts w:hint="eastAsia" w:cs="Times New Roman"/>
                <w:color w:val="000000" w:themeColor="text1"/>
                <w:sz w:val="24"/>
                <w:szCs w:val="24"/>
                <w:highlight w:val="none"/>
                <w:lang w:val="en-US" w:eastAsia="zh-CN"/>
                <w14:textFill>
                  <w14:solidFill>
                    <w14:schemeClr w14:val="tx1"/>
                  </w14:solidFill>
                </w14:textFill>
              </w:rPr>
              <w:t>根据建设单位提供资料，项目设备自带封闭式冷却功能，无需额外设置冷却塔等敞开式冷却设备，无冷却用新鲜水。</w:t>
            </w:r>
          </w:p>
          <w:p w14:paraId="57577C14">
            <w:pPr>
              <w:pStyle w:val="29"/>
              <w:wordWrap w:val="0"/>
              <w:topLinePunct/>
              <w:spacing w:line="360" w:lineRule="auto"/>
              <w:ind w:firstLine="482" w:firstLineChars="200"/>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eastAsia" w:ascii="Times New Roman" w:hAnsi="Times New Roman" w:cs="Times New Roman"/>
                <w:b/>
                <w:bCs/>
                <w:color w:val="000000" w:themeColor="text1"/>
                <w:sz w:val="24"/>
                <w:highlight w:val="none"/>
                <w:lang w:val="en-US" w:eastAsia="zh-CN"/>
                <w14:textFill>
                  <w14:solidFill>
                    <w14:schemeClr w14:val="tx1"/>
                  </w14:solidFill>
                </w14:textFill>
              </w:rPr>
              <w:t>A.水帘柜用水</w:t>
            </w:r>
          </w:p>
          <w:p w14:paraId="2AEADD55">
            <w:pPr>
              <w:pStyle w:val="29"/>
              <w:wordWrap w:val="0"/>
              <w:topLinePunct/>
              <w:spacing w:line="360" w:lineRule="auto"/>
              <w:ind w:firstLine="480" w:firstLineChars="200"/>
              <w:rPr>
                <w:rFonts w:ascii="Times New Roman" w:hAnsi="Times New Roman" w:cs="Times New Roman"/>
                <w:color w:val="000000" w:themeColor="text1"/>
                <w:sz w:val="24"/>
                <w:highlight w:val="none"/>
                <w14:textFill>
                  <w14:solidFill>
                    <w14:schemeClr w14:val="tx1"/>
                  </w14:solidFill>
                </w14:textFill>
              </w:rPr>
            </w:pPr>
            <w:r>
              <w:rPr>
                <w:rFonts w:hint="eastAsia" w:ascii="Times New Roman" w:hAnsi="Times New Roman" w:cs="Times New Roman"/>
                <w:color w:val="000000" w:themeColor="text1"/>
                <w:sz w:val="24"/>
                <w:highlight w:val="none"/>
                <w14:textFill>
                  <w14:solidFill>
                    <w14:schemeClr w14:val="tx1"/>
                  </w14:solidFill>
                </w14:textFill>
              </w:rPr>
              <w:t>根据</w:t>
            </w:r>
            <w:r>
              <w:rPr>
                <w:rFonts w:ascii="Times New Roman" w:hAnsi="Times New Roman" w:cs="Times New Roman"/>
                <w:color w:val="000000" w:themeColor="text1"/>
                <w:sz w:val="24"/>
                <w:highlight w:val="none"/>
                <w14:textFill>
                  <w14:solidFill>
                    <w14:schemeClr w14:val="tx1"/>
                  </w14:solidFill>
                </w14:textFill>
              </w:rPr>
              <w:t>《简明通风设计手册》（孙一坚主编）第527页表10-48“各种吸收装置的技术经济比较”内容，</w:t>
            </w:r>
            <w:r>
              <w:rPr>
                <w:rFonts w:hint="eastAsia" w:ascii="Times New Roman" w:hAnsi="Times New Roman" w:cs="Times New Roman"/>
                <w:color w:val="000000" w:themeColor="text1"/>
                <w:sz w:val="24"/>
                <w:szCs w:val="24"/>
                <w:highlight w:val="none"/>
                <w14:textFill>
                  <w14:solidFill>
                    <w14:schemeClr w14:val="tx1"/>
                  </w14:solidFill>
                </w14:textFill>
              </w:rPr>
              <w:t>喷淋塔的液气比0.1 L/m</w:t>
            </w:r>
            <w:r>
              <w:rPr>
                <w:rFonts w:hint="eastAsia" w:ascii="Times New Roman" w:hAnsi="Times New Roman" w:cs="Times New Roman"/>
                <w:color w:val="000000" w:themeColor="text1"/>
                <w:sz w:val="24"/>
                <w:szCs w:val="24"/>
                <w:highlight w:val="none"/>
                <w:vertAlign w:val="superscript"/>
                <w14:textFill>
                  <w14:solidFill>
                    <w14:schemeClr w14:val="tx1"/>
                  </w14:solidFill>
                </w14:textFill>
              </w:rPr>
              <w:t>3</w:t>
            </w:r>
            <w:r>
              <w:rPr>
                <w:rFonts w:hint="eastAsia" w:ascii="Times New Roman" w:hAnsi="Times New Roman" w:cs="Times New Roman"/>
                <w:color w:val="000000" w:themeColor="text1"/>
                <w:sz w:val="24"/>
                <w:szCs w:val="24"/>
                <w:highlight w:val="none"/>
                <w14:textFill>
                  <w14:solidFill>
                    <w14:schemeClr w14:val="tx1"/>
                  </w14:solidFill>
                </w14:textFill>
              </w:rPr>
              <w:t>～1.0 L/m</w:t>
            </w:r>
            <w:r>
              <w:rPr>
                <w:rFonts w:hint="eastAsia" w:ascii="Times New Roman" w:hAnsi="Times New Roman" w:cs="Times New Roman"/>
                <w:color w:val="000000" w:themeColor="text1"/>
                <w:sz w:val="24"/>
                <w:szCs w:val="24"/>
                <w:highlight w:val="none"/>
                <w:vertAlign w:val="superscript"/>
                <w14:textFill>
                  <w14:solidFill>
                    <w14:schemeClr w14:val="tx1"/>
                  </w14:solidFill>
                </w14:textFill>
              </w:rPr>
              <w:t>3</w:t>
            </w:r>
            <w:r>
              <w:rPr>
                <w:rFonts w:hint="eastAsia" w:ascii="Times New Roman" w:hAnsi="Times New Roman" w:cs="Times New Roman"/>
                <w:color w:val="000000" w:themeColor="text1"/>
                <w:sz w:val="24"/>
                <w:szCs w:val="24"/>
                <w:highlight w:val="none"/>
                <w14:textFill>
                  <w14:solidFill>
                    <w14:schemeClr w14:val="tx1"/>
                  </w14:solidFill>
                </w14:textFill>
              </w:rPr>
              <w:t>，水帘柜喷淋用水参考液气比1.0 L/m</w:t>
            </w:r>
            <w:r>
              <w:rPr>
                <w:rFonts w:hint="eastAsia" w:ascii="Times New Roman" w:hAnsi="Times New Roman" w:cs="Times New Roman"/>
                <w:color w:val="000000" w:themeColor="text1"/>
                <w:sz w:val="24"/>
                <w:szCs w:val="24"/>
                <w:highlight w:val="none"/>
                <w:vertAlign w:val="superscript"/>
                <w14:textFill>
                  <w14:solidFill>
                    <w14:schemeClr w14:val="tx1"/>
                  </w14:solidFill>
                </w14:textFill>
              </w:rPr>
              <w:t>3</w:t>
            </w:r>
            <w:r>
              <w:rPr>
                <w:rFonts w:hint="eastAsia" w:ascii="Times New Roman" w:hAnsi="Times New Roman" w:cs="Times New Roman"/>
                <w:color w:val="000000" w:themeColor="text1"/>
                <w:sz w:val="24"/>
                <w:szCs w:val="24"/>
                <w:highlight w:val="none"/>
                <w14:textFill>
                  <w14:solidFill>
                    <w14:schemeClr w14:val="tx1"/>
                  </w14:solidFill>
                </w14:textFill>
              </w:rPr>
              <w:t>算，本次评价取</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w:t>
            </w:r>
            <w:r>
              <w:rPr>
                <w:rFonts w:ascii="Times New Roman" w:hAnsi="Times New Roman" w:cs="Times New Roman"/>
                <w:color w:val="000000" w:themeColor="text1"/>
                <w:sz w:val="24"/>
                <w:szCs w:val="24"/>
                <w:highlight w:val="none"/>
                <w14:textFill>
                  <w14:solidFill>
                    <w14:schemeClr w14:val="tx1"/>
                  </w14:solidFill>
                </w14:textFill>
              </w:rPr>
              <w:t>L/m</w:t>
            </w:r>
            <w:r>
              <w:rPr>
                <w:rFonts w:ascii="Times New Roman" w:hAnsi="Times New Roman" w:cs="Times New Roman"/>
                <w:color w:val="000000" w:themeColor="text1"/>
                <w:sz w:val="24"/>
                <w:szCs w:val="24"/>
                <w:highlight w:val="none"/>
                <w:vertAlign w:val="superscript"/>
                <w14:textFill>
                  <w14:solidFill>
                    <w14:schemeClr w14:val="tx1"/>
                  </w14:solidFill>
                </w14:textFill>
              </w:rPr>
              <w:t>3</w:t>
            </w:r>
            <w:r>
              <w:rPr>
                <w:rFonts w:ascii="Times New Roman" w:hAnsi="Times New Roman" w:cs="Times New Roman"/>
                <w:color w:val="000000" w:themeColor="text1"/>
                <w:sz w:val="24"/>
                <w:szCs w:val="24"/>
                <w:highlight w:val="none"/>
                <w14:textFill>
                  <w14:solidFill>
                    <w14:schemeClr w14:val="tx1"/>
                  </w14:solidFill>
                </w14:textFill>
              </w:rPr>
              <w:t>计算，</w:t>
            </w:r>
            <w:r>
              <w:rPr>
                <w:rFonts w:ascii="Times New Roman" w:hAnsi="Times New Roman" w:cs="Times New Roman"/>
                <w:color w:val="000000" w:themeColor="text1"/>
                <w:sz w:val="24"/>
                <w:highlight w:val="none"/>
                <w14:textFill>
                  <w14:solidFill>
                    <w14:schemeClr w14:val="tx1"/>
                  </w14:solidFill>
                </w14:textFill>
              </w:rPr>
              <w:t>在</w:t>
            </w:r>
            <w:r>
              <w:rPr>
                <w:rFonts w:hint="eastAsia" w:ascii="Times New Roman" w:hAnsi="Times New Roman" w:cs="Times New Roman"/>
                <w:color w:val="000000" w:themeColor="text1"/>
                <w:sz w:val="24"/>
                <w:highlight w:val="none"/>
                <w14:textFill>
                  <w14:solidFill>
                    <w14:schemeClr w14:val="tx1"/>
                  </w14:solidFill>
                </w14:textFill>
              </w:rPr>
              <w:t>喷漆工序收集</w:t>
            </w:r>
            <w:r>
              <w:rPr>
                <w:rFonts w:ascii="Times New Roman" w:hAnsi="Times New Roman" w:cs="Times New Roman"/>
                <w:color w:val="000000" w:themeColor="text1"/>
                <w:sz w:val="24"/>
                <w:highlight w:val="none"/>
                <w14:textFill>
                  <w14:solidFill>
                    <w14:schemeClr w14:val="tx1"/>
                  </w14:solidFill>
                </w14:textFill>
              </w:rPr>
              <w:t>风量为</w:t>
            </w:r>
            <w:r>
              <w:rPr>
                <w:rFonts w:hint="eastAsia" w:ascii="Times New Roman" w:hAnsi="Times New Roman" w:cs="Times New Roman"/>
                <w:color w:val="000000" w:themeColor="text1"/>
                <w:sz w:val="24"/>
                <w:highlight w:val="none"/>
                <w:lang w:val="en-US" w:eastAsia="zh-CN"/>
                <w14:textFill>
                  <w14:solidFill>
                    <w14:schemeClr w14:val="tx1"/>
                  </w14:solidFill>
                </w14:textFill>
              </w:rPr>
              <w:t>181200</w:t>
            </w:r>
            <w:r>
              <w:rPr>
                <w:rFonts w:ascii="Times New Roman" w:hAnsi="Times New Roman" w:cs="Times New Roman"/>
                <w:color w:val="000000" w:themeColor="text1"/>
                <w:sz w:val="24"/>
                <w:highlight w:val="none"/>
                <w14:textFill>
                  <w14:solidFill>
                    <w14:schemeClr w14:val="tx1"/>
                  </w14:solidFill>
                </w14:textFill>
              </w:rPr>
              <w:t>m</w:t>
            </w:r>
            <w:r>
              <w:rPr>
                <w:rFonts w:ascii="Times New Roman" w:hAnsi="Times New Roman" w:cs="Times New Roman"/>
                <w:color w:val="000000" w:themeColor="text1"/>
                <w:sz w:val="24"/>
                <w:highlight w:val="none"/>
                <w:vertAlign w:val="superscript"/>
                <w14:textFill>
                  <w14:solidFill>
                    <w14:schemeClr w14:val="tx1"/>
                  </w14:solidFill>
                </w14:textFill>
              </w:rPr>
              <w:t>3</w:t>
            </w:r>
            <w:r>
              <w:rPr>
                <w:rFonts w:ascii="Times New Roman" w:hAnsi="Times New Roman" w:cs="Times New Roman"/>
                <w:color w:val="000000" w:themeColor="text1"/>
                <w:sz w:val="24"/>
                <w:highlight w:val="none"/>
                <w14:textFill>
                  <w14:solidFill>
                    <w14:schemeClr w14:val="tx1"/>
                  </w14:solidFill>
                </w14:textFill>
              </w:rPr>
              <w:t>/h的情况下</w:t>
            </w:r>
            <w:r>
              <w:rPr>
                <w:rFonts w:hint="eastAsia" w:ascii="Times New Roman" w:hAnsi="Times New Roman" w:cs="Times New Roman"/>
                <w:color w:val="000000" w:themeColor="text1"/>
                <w:sz w:val="24"/>
                <w:highlight w:val="none"/>
                <w14:textFill>
                  <w14:solidFill>
                    <w14:schemeClr w14:val="tx1"/>
                  </w14:solidFill>
                </w14:textFill>
              </w:rPr>
              <w:t>（不含固化过程）</w:t>
            </w:r>
            <w:r>
              <w:rPr>
                <w:rFonts w:ascii="Times New Roman" w:hAnsi="Times New Roman" w:cs="Times New Roman"/>
                <w:color w:val="000000" w:themeColor="text1"/>
                <w:sz w:val="24"/>
                <w:highlight w:val="none"/>
                <w14:textFill>
                  <w14:solidFill>
                    <w14:schemeClr w14:val="tx1"/>
                  </w14:solidFill>
                </w14:textFill>
              </w:rPr>
              <w:t>，</w:t>
            </w:r>
            <w:r>
              <w:rPr>
                <w:rFonts w:hint="eastAsia" w:ascii="Times New Roman" w:hAnsi="Times New Roman" w:cs="Times New Roman"/>
                <w:color w:val="000000" w:themeColor="text1"/>
                <w:sz w:val="24"/>
                <w:highlight w:val="none"/>
                <w:lang w:eastAsia="zh-CN"/>
                <w14:textFill>
                  <w14:solidFill>
                    <w14:schemeClr w14:val="tx1"/>
                  </w14:solidFill>
                </w14:textFill>
              </w:rPr>
              <w:t>漆粉涂装线</w:t>
            </w:r>
            <w:r>
              <w:rPr>
                <w:rFonts w:ascii="Times New Roman" w:hAnsi="Times New Roman" w:cs="Times New Roman"/>
                <w:color w:val="000000" w:themeColor="text1"/>
                <w:sz w:val="24"/>
                <w:highlight w:val="none"/>
                <w14:textFill>
                  <w14:solidFill>
                    <w14:schemeClr w14:val="tx1"/>
                  </w14:solidFill>
                </w14:textFill>
              </w:rPr>
              <w:t>的</w:t>
            </w:r>
            <w:r>
              <w:rPr>
                <w:rFonts w:hint="eastAsia" w:ascii="Times New Roman" w:hAnsi="Times New Roman" w:cs="Times New Roman"/>
                <w:color w:val="000000" w:themeColor="text1"/>
                <w:sz w:val="24"/>
                <w:highlight w:val="none"/>
                <w:lang w:eastAsia="zh-CN"/>
                <w14:textFill>
                  <w14:solidFill>
                    <w14:schemeClr w14:val="tx1"/>
                  </w14:solidFill>
                </w14:textFill>
              </w:rPr>
              <w:t>水帘柜</w:t>
            </w:r>
            <w:r>
              <w:rPr>
                <w:rFonts w:ascii="Times New Roman" w:hAnsi="Times New Roman" w:cs="Times New Roman"/>
                <w:color w:val="000000" w:themeColor="text1"/>
                <w:sz w:val="24"/>
                <w:highlight w:val="none"/>
                <w14:textFill>
                  <w14:solidFill>
                    <w14:schemeClr w14:val="tx1"/>
                  </w14:solidFill>
                </w14:textFill>
              </w:rPr>
              <w:t>循环用水量为</w:t>
            </w:r>
            <w:r>
              <w:rPr>
                <w:rFonts w:hint="eastAsia" w:ascii="Times New Roman" w:hAnsi="Times New Roman" w:cs="Times New Roman"/>
                <w:color w:val="000000" w:themeColor="text1"/>
                <w:sz w:val="24"/>
                <w:highlight w:val="none"/>
                <w:lang w:val="en-US" w:eastAsia="zh-CN"/>
                <w14:textFill>
                  <w14:solidFill>
                    <w14:schemeClr w14:val="tx1"/>
                  </w14:solidFill>
                </w14:textFill>
              </w:rPr>
              <w:t>181.2</w:t>
            </w:r>
            <w:r>
              <w:rPr>
                <w:rFonts w:ascii="Times New Roman" w:hAnsi="Times New Roman" w:cs="Times New Roman"/>
                <w:color w:val="000000" w:themeColor="text1"/>
                <w:sz w:val="24"/>
                <w:highlight w:val="none"/>
                <w14:textFill>
                  <w14:solidFill>
                    <w14:schemeClr w14:val="tx1"/>
                  </w14:solidFill>
                </w14:textFill>
              </w:rPr>
              <w:t>m</w:t>
            </w:r>
            <w:r>
              <w:rPr>
                <w:rFonts w:ascii="Times New Roman" w:hAnsi="Times New Roman" w:cs="Times New Roman"/>
                <w:color w:val="000000" w:themeColor="text1"/>
                <w:sz w:val="24"/>
                <w:highlight w:val="none"/>
                <w:vertAlign w:val="superscript"/>
                <w14:textFill>
                  <w14:solidFill>
                    <w14:schemeClr w14:val="tx1"/>
                  </w14:solidFill>
                </w14:textFill>
              </w:rPr>
              <w:t>3</w:t>
            </w:r>
            <w:r>
              <w:rPr>
                <w:rFonts w:ascii="Times New Roman" w:hAnsi="Times New Roman" w:cs="Times New Roman"/>
                <w:color w:val="000000" w:themeColor="text1"/>
                <w:sz w:val="24"/>
                <w:highlight w:val="none"/>
                <w14:textFill>
                  <w14:solidFill>
                    <w14:schemeClr w14:val="tx1"/>
                  </w14:solidFill>
                </w14:textFill>
              </w:rPr>
              <w:t>/h，即</w:t>
            </w:r>
            <w:r>
              <w:rPr>
                <w:rFonts w:hint="eastAsia" w:ascii="Times New Roman" w:hAnsi="Times New Roman" w:cs="Times New Roman"/>
                <w:color w:val="000000" w:themeColor="text1"/>
                <w:sz w:val="24"/>
                <w:highlight w:val="none"/>
                <w:lang w:val="en-US" w:eastAsia="zh-CN"/>
                <w14:textFill>
                  <w14:solidFill>
                    <w14:schemeClr w14:val="tx1"/>
                  </w14:solidFill>
                </w14:textFill>
              </w:rPr>
              <w:t>349353.6</w:t>
            </w:r>
            <w:r>
              <w:rPr>
                <w:rFonts w:ascii="Times New Roman" w:hAnsi="Times New Roman" w:cs="Times New Roman"/>
                <w:color w:val="000000" w:themeColor="text1"/>
                <w:sz w:val="24"/>
                <w:highlight w:val="none"/>
                <w14:textFill>
                  <w14:solidFill>
                    <w14:schemeClr w14:val="tx1"/>
                  </w14:solidFill>
                </w14:textFill>
              </w:rPr>
              <w:t>m</w:t>
            </w:r>
            <w:r>
              <w:rPr>
                <w:rFonts w:ascii="Times New Roman" w:hAnsi="Times New Roman" w:cs="Times New Roman"/>
                <w:color w:val="000000" w:themeColor="text1"/>
                <w:sz w:val="24"/>
                <w:highlight w:val="none"/>
                <w:vertAlign w:val="superscript"/>
                <w14:textFill>
                  <w14:solidFill>
                    <w14:schemeClr w14:val="tx1"/>
                  </w14:solidFill>
                </w14:textFill>
              </w:rPr>
              <w:t>3</w:t>
            </w:r>
            <w:r>
              <w:rPr>
                <w:rFonts w:ascii="Times New Roman" w:hAnsi="Times New Roman" w:cs="Times New Roman"/>
                <w:color w:val="000000" w:themeColor="text1"/>
                <w:sz w:val="24"/>
                <w:highlight w:val="none"/>
                <w14:textFill>
                  <w14:solidFill>
                    <w14:schemeClr w14:val="tx1"/>
                  </w14:solidFill>
                </w14:textFill>
              </w:rPr>
              <w:t>/a。</w:t>
            </w:r>
          </w:p>
          <w:p w14:paraId="32B4AD05">
            <w:pPr>
              <w:pStyle w:val="29"/>
              <w:wordWrap w:val="0"/>
              <w:topLinePunct/>
              <w:spacing w:line="360" w:lineRule="auto"/>
              <w:ind w:firstLine="480" w:firstLineChars="200"/>
              <w:rPr>
                <w:rFonts w:ascii="Times New Roman" w:hAnsi="Times New Roman" w:cs="Times New Roman"/>
                <w:color w:val="000000" w:themeColor="text1"/>
                <w:sz w:val="24"/>
                <w:highlight w:val="none"/>
                <w14:textFill>
                  <w14:solidFill>
                    <w14:schemeClr w14:val="tx1"/>
                  </w14:solidFill>
                </w14:textFill>
              </w:rPr>
            </w:pPr>
            <w:r>
              <w:rPr>
                <w:rFonts w:hint="eastAsia" w:ascii="Times New Roman" w:hAnsi="Times New Roman" w:cs="Times New Roman"/>
                <w:color w:val="000000" w:themeColor="text1"/>
                <w:sz w:val="24"/>
                <w:highlight w:val="none"/>
                <w:lang w:eastAsia="zh-CN"/>
                <w14:textFill>
                  <w14:solidFill>
                    <w14:schemeClr w14:val="tx1"/>
                  </w14:solidFill>
                </w14:textFill>
              </w:rPr>
              <w:t>水帘柜</w:t>
            </w:r>
            <w:r>
              <w:rPr>
                <w:rFonts w:ascii="Times New Roman" w:hAnsi="Times New Roman" w:cs="Times New Roman"/>
                <w:color w:val="000000" w:themeColor="text1"/>
                <w:sz w:val="24"/>
                <w:highlight w:val="none"/>
                <w14:textFill>
                  <w14:solidFill>
                    <w14:schemeClr w14:val="tx1"/>
                  </w14:solidFill>
                </w14:textFill>
              </w:rPr>
              <w:t>喷淋损耗量根据《给水排水设计手册2-建筑集水排水》（第二版，中国建筑工业出版社）P559表7-32水量损失表，水膜、冰塔、孔流等风吹损失占循环流量的0.5~1.5%（本项目取1%），蒸发损失占循环流量的0.4~0.6%（本项目取0.</w:t>
            </w:r>
            <w:r>
              <w:rPr>
                <w:rFonts w:hint="eastAsia" w:ascii="Times New Roman" w:hAnsi="Times New Roman" w:cs="Times New Roman"/>
                <w:color w:val="000000" w:themeColor="text1"/>
                <w:sz w:val="24"/>
                <w:highlight w:val="none"/>
                <w14:textFill>
                  <w14:solidFill>
                    <w14:schemeClr w14:val="tx1"/>
                  </w14:solidFill>
                </w14:textFill>
              </w:rPr>
              <w:t>5</w:t>
            </w:r>
            <w:r>
              <w:rPr>
                <w:rFonts w:ascii="Times New Roman" w:hAnsi="Times New Roman" w:cs="Times New Roman"/>
                <w:color w:val="000000" w:themeColor="text1"/>
                <w:sz w:val="24"/>
                <w:highlight w:val="none"/>
                <w14:textFill>
                  <w14:solidFill>
                    <w14:schemeClr w14:val="tx1"/>
                  </w14:solidFill>
                </w14:textFill>
              </w:rPr>
              <w:t>%），即损耗量共占循环流量</w:t>
            </w:r>
            <w:r>
              <w:rPr>
                <w:rFonts w:hint="eastAsia" w:ascii="Times New Roman" w:hAnsi="Times New Roman" w:cs="Times New Roman"/>
                <w:color w:val="000000" w:themeColor="text1"/>
                <w:sz w:val="24"/>
                <w:highlight w:val="none"/>
                <w14:textFill>
                  <w14:solidFill>
                    <w14:schemeClr w14:val="tx1"/>
                  </w14:solidFill>
                </w14:textFill>
              </w:rPr>
              <w:t>1.5</w:t>
            </w:r>
            <w:r>
              <w:rPr>
                <w:rFonts w:ascii="Times New Roman" w:hAnsi="Times New Roman" w:cs="Times New Roman"/>
                <w:color w:val="000000" w:themeColor="text1"/>
                <w:sz w:val="24"/>
                <w:highlight w:val="none"/>
                <w14:textFill>
                  <w14:solidFill>
                    <w14:schemeClr w14:val="tx1"/>
                  </w14:solidFill>
                </w14:textFill>
              </w:rPr>
              <w:t>%。</w:t>
            </w:r>
            <w:r>
              <w:rPr>
                <w:rFonts w:hint="eastAsia" w:ascii="Times New Roman" w:hAnsi="Times New Roman" w:cs="Times New Roman"/>
                <w:color w:val="000000" w:themeColor="text1"/>
                <w:sz w:val="24"/>
                <w:highlight w:val="none"/>
                <w:lang w:eastAsia="zh-CN"/>
                <w14:textFill>
                  <w14:solidFill>
                    <w14:schemeClr w14:val="tx1"/>
                  </w14:solidFill>
                </w14:textFill>
              </w:rPr>
              <w:t>漆粉涂装线</w:t>
            </w:r>
            <w:r>
              <w:rPr>
                <w:rFonts w:ascii="Times New Roman" w:hAnsi="Times New Roman" w:cs="Times New Roman"/>
                <w:color w:val="000000" w:themeColor="text1"/>
                <w:sz w:val="24"/>
                <w:highlight w:val="none"/>
                <w14:textFill>
                  <w14:solidFill>
                    <w14:schemeClr w14:val="tx1"/>
                  </w14:solidFill>
                </w14:textFill>
              </w:rPr>
              <w:t>的</w:t>
            </w:r>
            <w:r>
              <w:rPr>
                <w:rFonts w:hint="eastAsia" w:ascii="Times New Roman" w:hAnsi="Times New Roman" w:cs="Times New Roman"/>
                <w:color w:val="000000" w:themeColor="text1"/>
                <w:sz w:val="24"/>
                <w:highlight w:val="none"/>
                <w:lang w:eastAsia="zh-CN"/>
                <w14:textFill>
                  <w14:solidFill>
                    <w14:schemeClr w14:val="tx1"/>
                  </w14:solidFill>
                </w14:textFill>
              </w:rPr>
              <w:t>水帘柜</w:t>
            </w:r>
            <w:r>
              <w:rPr>
                <w:rFonts w:ascii="Times New Roman" w:hAnsi="Times New Roman" w:cs="Times New Roman"/>
                <w:color w:val="000000" w:themeColor="text1"/>
                <w:sz w:val="24"/>
                <w:highlight w:val="none"/>
                <w14:textFill>
                  <w14:solidFill>
                    <w14:schemeClr w14:val="tx1"/>
                  </w14:solidFill>
                </w14:textFill>
              </w:rPr>
              <w:t>循环损耗补充水量为</w:t>
            </w:r>
            <w:r>
              <w:rPr>
                <w:rFonts w:hint="eastAsia" w:ascii="Times New Roman" w:hAnsi="Times New Roman" w:cs="Times New Roman"/>
                <w:color w:val="000000" w:themeColor="text1"/>
                <w:sz w:val="24"/>
                <w:highlight w:val="none"/>
                <w:lang w:val="en-US" w:eastAsia="zh-CN"/>
                <w14:textFill>
                  <w14:solidFill>
                    <w14:schemeClr w14:val="tx1"/>
                  </w14:solidFill>
                </w14:textFill>
              </w:rPr>
              <w:t>349353.6</w:t>
            </w:r>
            <w:r>
              <w:rPr>
                <w:rFonts w:ascii="Times New Roman" w:hAnsi="Times New Roman" w:cs="Times New Roman"/>
                <w:color w:val="000000" w:themeColor="text1"/>
                <w:sz w:val="24"/>
                <w:highlight w:val="none"/>
                <w14:textFill>
                  <w14:solidFill>
                    <w14:schemeClr w14:val="tx1"/>
                  </w14:solidFill>
                </w14:textFill>
              </w:rPr>
              <w:t>m</w:t>
            </w:r>
            <w:r>
              <w:rPr>
                <w:rFonts w:ascii="Times New Roman" w:hAnsi="Times New Roman" w:cs="Times New Roman"/>
                <w:color w:val="000000" w:themeColor="text1"/>
                <w:sz w:val="24"/>
                <w:highlight w:val="none"/>
                <w:vertAlign w:val="superscript"/>
                <w14:textFill>
                  <w14:solidFill>
                    <w14:schemeClr w14:val="tx1"/>
                  </w14:solidFill>
                </w14:textFill>
              </w:rPr>
              <w:t>3</w:t>
            </w:r>
            <w:r>
              <w:rPr>
                <w:rFonts w:ascii="Times New Roman" w:hAnsi="Times New Roman" w:cs="Times New Roman"/>
                <w:color w:val="000000" w:themeColor="text1"/>
                <w:sz w:val="24"/>
                <w:highlight w:val="none"/>
                <w14:textFill>
                  <w14:solidFill>
                    <w14:schemeClr w14:val="tx1"/>
                  </w14:solidFill>
                </w14:textFill>
              </w:rPr>
              <w:t>/a×</w:t>
            </w:r>
            <w:r>
              <w:rPr>
                <w:rFonts w:hint="eastAsia" w:ascii="Times New Roman" w:hAnsi="Times New Roman" w:cs="Times New Roman"/>
                <w:color w:val="000000" w:themeColor="text1"/>
                <w:sz w:val="24"/>
                <w:highlight w:val="none"/>
                <w14:textFill>
                  <w14:solidFill>
                    <w14:schemeClr w14:val="tx1"/>
                  </w14:solidFill>
                </w14:textFill>
              </w:rPr>
              <w:t>1.5</w:t>
            </w:r>
            <w:r>
              <w:rPr>
                <w:rFonts w:ascii="Times New Roman" w:hAnsi="Times New Roman" w:cs="Times New Roman"/>
                <w:color w:val="000000" w:themeColor="text1"/>
                <w:sz w:val="24"/>
                <w:highlight w:val="none"/>
                <w14:textFill>
                  <w14:solidFill>
                    <w14:schemeClr w14:val="tx1"/>
                  </w14:solidFill>
                </w14:textFill>
              </w:rPr>
              <w:t>%=</w:t>
            </w:r>
            <w:r>
              <w:rPr>
                <w:rFonts w:hint="eastAsia" w:ascii="Times New Roman" w:hAnsi="Times New Roman" w:cs="Times New Roman"/>
                <w:color w:val="000000" w:themeColor="text1"/>
                <w:sz w:val="24"/>
                <w:highlight w:val="none"/>
                <w:lang w:val="en-US" w:eastAsia="zh-CN"/>
                <w14:textFill>
                  <w14:solidFill>
                    <w14:schemeClr w14:val="tx1"/>
                  </w14:solidFill>
                </w14:textFill>
              </w:rPr>
              <w:t>5240.304</w:t>
            </w:r>
            <w:r>
              <w:rPr>
                <w:rFonts w:ascii="Times New Roman" w:hAnsi="Times New Roman" w:cs="Times New Roman"/>
                <w:color w:val="000000" w:themeColor="text1"/>
                <w:sz w:val="24"/>
                <w:highlight w:val="none"/>
                <w14:textFill>
                  <w14:solidFill>
                    <w14:schemeClr w14:val="tx1"/>
                  </w14:solidFill>
                </w14:textFill>
              </w:rPr>
              <w:t>m</w:t>
            </w:r>
            <w:r>
              <w:rPr>
                <w:rFonts w:ascii="Times New Roman" w:hAnsi="Times New Roman" w:cs="Times New Roman"/>
                <w:color w:val="000000" w:themeColor="text1"/>
                <w:sz w:val="24"/>
                <w:highlight w:val="none"/>
                <w:vertAlign w:val="superscript"/>
                <w14:textFill>
                  <w14:solidFill>
                    <w14:schemeClr w14:val="tx1"/>
                  </w14:solidFill>
                </w14:textFill>
              </w:rPr>
              <w:t>3</w:t>
            </w:r>
            <w:r>
              <w:rPr>
                <w:rFonts w:ascii="Times New Roman" w:hAnsi="Times New Roman" w:cs="Times New Roman"/>
                <w:color w:val="000000" w:themeColor="text1"/>
                <w:sz w:val="24"/>
                <w:highlight w:val="none"/>
                <w14:textFill>
                  <w14:solidFill>
                    <w14:schemeClr w14:val="tx1"/>
                  </w14:solidFill>
                </w14:textFill>
              </w:rPr>
              <w:t>/a。</w:t>
            </w:r>
          </w:p>
          <w:p w14:paraId="214171D3">
            <w:pPr>
              <w:pStyle w:val="29"/>
              <w:wordWrap w:val="0"/>
              <w:topLinePunct/>
              <w:spacing w:line="360" w:lineRule="auto"/>
              <w:ind w:firstLine="480" w:firstLineChars="200"/>
              <w:rPr>
                <w:rFonts w:ascii="Times New Roman" w:hAnsi="Times New Roman" w:cs="Times New Roman"/>
                <w:color w:val="000000" w:themeColor="text1"/>
                <w:sz w:val="24"/>
                <w:highlight w:val="none"/>
                <w14:textFill>
                  <w14:solidFill>
                    <w14:schemeClr w14:val="tx1"/>
                  </w14:solidFill>
                </w14:textFill>
              </w:rPr>
            </w:pPr>
            <w:r>
              <w:rPr>
                <w:rFonts w:ascii="Times New Roman" w:hAnsi="Times New Roman" w:cs="Times New Roman"/>
                <w:color w:val="000000" w:themeColor="text1"/>
                <w:sz w:val="24"/>
                <w:highlight w:val="none"/>
                <w14:textFill>
                  <w14:solidFill>
                    <w14:schemeClr w14:val="tx1"/>
                  </w14:solidFill>
                </w14:textFill>
              </w:rPr>
              <w:t>喷漆房内设有</w:t>
            </w:r>
            <w:r>
              <w:rPr>
                <w:rFonts w:hint="eastAsia" w:ascii="Times New Roman" w:hAnsi="Times New Roman" w:cs="Times New Roman"/>
                <w:color w:val="000000" w:themeColor="text1"/>
                <w:sz w:val="24"/>
                <w:highlight w:val="none"/>
                <w:lang w:eastAsia="zh-CN"/>
                <w14:textFill>
                  <w14:solidFill>
                    <w14:schemeClr w14:val="tx1"/>
                  </w14:solidFill>
                </w14:textFill>
              </w:rPr>
              <w:t>水帘柜</w:t>
            </w:r>
            <w:r>
              <w:rPr>
                <w:rFonts w:ascii="Times New Roman" w:hAnsi="Times New Roman" w:cs="Times New Roman"/>
                <w:color w:val="000000" w:themeColor="text1"/>
                <w:sz w:val="24"/>
                <w:highlight w:val="none"/>
                <w14:textFill>
                  <w14:solidFill>
                    <w14:schemeClr w14:val="tx1"/>
                  </w14:solidFill>
                </w14:textFill>
              </w:rPr>
              <w:t>的循环水池，</w:t>
            </w:r>
            <w:r>
              <w:rPr>
                <w:rFonts w:hint="eastAsia" w:ascii="Times New Roman" w:hAnsi="Times New Roman" w:cs="Times New Roman"/>
                <w:color w:val="000000" w:themeColor="text1"/>
                <w:sz w:val="24"/>
                <w:highlight w:val="none"/>
                <w:lang w:eastAsia="zh-CN"/>
                <w14:textFill>
                  <w14:solidFill>
                    <w14:schemeClr w14:val="tx1"/>
                  </w14:solidFill>
                </w14:textFill>
              </w:rPr>
              <w:t>漆粉涂装线</w:t>
            </w:r>
            <w:r>
              <w:rPr>
                <w:rFonts w:ascii="Times New Roman" w:hAnsi="Times New Roman" w:cs="Times New Roman"/>
                <w:color w:val="000000" w:themeColor="text1"/>
                <w:sz w:val="24"/>
                <w:highlight w:val="none"/>
                <w14:textFill>
                  <w14:solidFill>
                    <w14:schemeClr w14:val="tx1"/>
                  </w14:solidFill>
                </w14:textFill>
              </w:rPr>
              <w:t>循环水池总有效容积为</w:t>
            </w:r>
            <w:r>
              <w:rPr>
                <w:rFonts w:hint="eastAsia" w:ascii="Times New Roman" w:hAnsi="Times New Roman" w:cs="Times New Roman"/>
                <w:color w:val="000000" w:themeColor="text1"/>
                <w:sz w:val="24"/>
                <w:highlight w:val="none"/>
                <w14:textFill>
                  <w14:solidFill>
                    <w14:schemeClr w14:val="tx1"/>
                  </w14:solidFill>
                </w14:textFill>
              </w:rPr>
              <w:t>16.2</w:t>
            </w:r>
            <w:r>
              <w:rPr>
                <w:rFonts w:ascii="Times New Roman" w:hAnsi="Times New Roman" w:cs="Times New Roman"/>
                <w:color w:val="000000" w:themeColor="text1"/>
                <w:sz w:val="24"/>
                <w:highlight w:val="none"/>
                <w14:textFill>
                  <w14:solidFill>
                    <w14:schemeClr w14:val="tx1"/>
                  </w14:solidFill>
                </w14:textFill>
              </w:rPr>
              <w:t>m</w:t>
            </w:r>
            <w:r>
              <w:rPr>
                <w:rFonts w:ascii="Times New Roman" w:hAnsi="Times New Roman" w:cs="Times New Roman"/>
                <w:color w:val="000000" w:themeColor="text1"/>
                <w:sz w:val="24"/>
                <w:highlight w:val="none"/>
                <w:vertAlign w:val="superscript"/>
                <w14:textFill>
                  <w14:solidFill>
                    <w14:schemeClr w14:val="tx1"/>
                  </w14:solidFill>
                </w14:textFill>
              </w:rPr>
              <w:t>3</w:t>
            </w:r>
            <w:r>
              <w:rPr>
                <w:rFonts w:ascii="Times New Roman" w:hAnsi="Times New Roman" w:cs="Times New Roman"/>
                <w:color w:val="000000" w:themeColor="text1"/>
                <w:sz w:val="24"/>
                <w:highlight w:val="none"/>
                <w14:textFill>
                  <w14:solidFill>
                    <w14:schemeClr w14:val="tx1"/>
                  </w14:solidFill>
                </w14:textFill>
              </w:rPr>
              <w:t>，每</w:t>
            </w:r>
            <w:r>
              <w:rPr>
                <w:rFonts w:hint="eastAsia" w:ascii="Times New Roman" w:hAnsi="Times New Roman" w:cs="Times New Roman"/>
                <w:color w:val="000000" w:themeColor="text1"/>
                <w:sz w:val="24"/>
                <w:highlight w:val="none"/>
                <w14:textFill>
                  <w14:solidFill>
                    <w14:schemeClr w14:val="tx1"/>
                  </w14:solidFill>
                </w14:textFill>
              </w:rPr>
              <w:t>月</w:t>
            </w:r>
            <w:r>
              <w:rPr>
                <w:rFonts w:ascii="Times New Roman" w:hAnsi="Times New Roman" w:cs="Times New Roman"/>
                <w:color w:val="000000" w:themeColor="text1"/>
                <w:sz w:val="24"/>
                <w:highlight w:val="none"/>
                <w14:textFill>
                  <w14:solidFill>
                    <w14:schemeClr w14:val="tx1"/>
                  </w14:solidFill>
                </w14:textFill>
              </w:rPr>
              <w:t>更换一次，对应更换补充用水量为</w:t>
            </w:r>
            <w:r>
              <w:rPr>
                <w:rFonts w:hint="eastAsia" w:ascii="Times New Roman" w:hAnsi="Times New Roman" w:cs="Times New Roman"/>
                <w:color w:val="000000" w:themeColor="text1"/>
                <w:sz w:val="24"/>
                <w:highlight w:val="none"/>
                <w14:textFill>
                  <w14:solidFill>
                    <w14:schemeClr w14:val="tx1"/>
                  </w14:solidFill>
                </w14:textFill>
              </w:rPr>
              <w:t>16.2</w:t>
            </w:r>
            <w:r>
              <w:rPr>
                <w:rFonts w:ascii="Times New Roman" w:hAnsi="Times New Roman" w:cs="Times New Roman"/>
                <w:color w:val="000000" w:themeColor="text1"/>
                <w:sz w:val="24"/>
                <w:highlight w:val="none"/>
                <w14:textFill>
                  <w14:solidFill>
                    <w14:schemeClr w14:val="tx1"/>
                  </w14:solidFill>
                </w14:textFill>
              </w:rPr>
              <w:t>m</w:t>
            </w:r>
            <w:r>
              <w:rPr>
                <w:rFonts w:ascii="Times New Roman" w:hAnsi="Times New Roman" w:cs="Times New Roman"/>
                <w:color w:val="000000" w:themeColor="text1"/>
                <w:sz w:val="24"/>
                <w:highlight w:val="none"/>
                <w:vertAlign w:val="superscript"/>
                <w14:textFill>
                  <w14:solidFill>
                    <w14:schemeClr w14:val="tx1"/>
                  </w14:solidFill>
                </w14:textFill>
              </w:rPr>
              <w:t>3</w:t>
            </w:r>
            <w:r>
              <w:rPr>
                <w:rFonts w:ascii="Times New Roman" w:hAnsi="Times New Roman" w:cs="Times New Roman"/>
                <w:color w:val="000000" w:themeColor="text1"/>
                <w:sz w:val="24"/>
                <w:highlight w:val="none"/>
                <w14:textFill>
                  <w14:solidFill>
                    <w14:schemeClr w14:val="tx1"/>
                  </w14:solidFill>
                </w14:textFill>
              </w:rPr>
              <w:t>×</w:t>
            </w:r>
            <w:r>
              <w:rPr>
                <w:rFonts w:hint="eastAsia" w:ascii="Times New Roman" w:hAnsi="Times New Roman" w:cs="Times New Roman"/>
                <w:color w:val="000000" w:themeColor="text1"/>
                <w:sz w:val="24"/>
                <w:highlight w:val="none"/>
                <w14:textFill>
                  <w14:solidFill>
                    <w14:schemeClr w14:val="tx1"/>
                  </w14:solidFill>
                </w14:textFill>
              </w:rPr>
              <w:t>12</w:t>
            </w:r>
            <w:r>
              <w:rPr>
                <w:rFonts w:ascii="Times New Roman" w:hAnsi="Times New Roman" w:cs="Times New Roman"/>
                <w:color w:val="000000" w:themeColor="text1"/>
                <w:sz w:val="24"/>
                <w:highlight w:val="none"/>
                <w14:textFill>
                  <w14:solidFill>
                    <w14:schemeClr w14:val="tx1"/>
                  </w14:solidFill>
                </w14:textFill>
              </w:rPr>
              <w:t>次/年=</w:t>
            </w:r>
            <w:r>
              <w:rPr>
                <w:rFonts w:hint="eastAsia" w:ascii="Times New Roman" w:hAnsi="Times New Roman" w:cs="Times New Roman"/>
                <w:color w:val="000000" w:themeColor="text1"/>
                <w:sz w:val="24"/>
                <w:highlight w:val="none"/>
                <w14:textFill>
                  <w14:solidFill>
                    <w14:schemeClr w14:val="tx1"/>
                  </w14:solidFill>
                </w14:textFill>
              </w:rPr>
              <w:t>194.4</w:t>
            </w:r>
            <w:r>
              <w:rPr>
                <w:rFonts w:ascii="Times New Roman" w:hAnsi="Times New Roman" w:cs="Times New Roman"/>
                <w:color w:val="000000" w:themeColor="text1"/>
                <w:sz w:val="24"/>
                <w:highlight w:val="none"/>
                <w14:textFill>
                  <w14:solidFill>
                    <w14:schemeClr w14:val="tx1"/>
                  </w14:solidFill>
                </w14:textFill>
              </w:rPr>
              <w:t>m</w:t>
            </w:r>
            <w:r>
              <w:rPr>
                <w:rFonts w:ascii="Times New Roman" w:hAnsi="Times New Roman" w:cs="Times New Roman"/>
                <w:color w:val="000000" w:themeColor="text1"/>
                <w:sz w:val="24"/>
                <w:highlight w:val="none"/>
                <w:vertAlign w:val="superscript"/>
                <w14:textFill>
                  <w14:solidFill>
                    <w14:schemeClr w14:val="tx1"/>
                  </w14:solidFill>
                </w14:textFill>
              </w:rPr>
              <w:t>3</w:t>
            </w:r>
            <w:r>
              <w:rPr>
                <w:rFonts w:ascii="Times New Roman" w:hAnsi="Times New Roman" w:cs="Times New Roman"/>
                <w:color w:val="000000" w:themeColor="text1"/>
                <w:sz w:val="24"/>
                <w:highlight w:val="none"/>
                <w14:textFill>
                  <w14:solidFill>
                    <w14:schemeClr w14:val="tx1"/>
                  </w14:solidFill>
                </w14:textFill>
              </w:rPr>
              <w:t>/a，更换后的废水</w:t>
            </w:r>
            <w:r>
              <w:rPr>
                <w:rFonts w:hint="eastAsia" w:ascii="Times New Roman" w:hAnsi="Times New Roman" w:cs="Times New Roman"/>
                <w:color w:val="000000" w:themeColor="text1"/>
                <w:sz w:val="24"/>
                <w:highlight w:val="none"/>
                <w:lang w:val="en-US" w:eastAsia="zh-CN"/>
                <w14:textFill>
                  <w14:solidFill>
                    <w14:schemeClr w14:val="tx1"/>
                  </w14:solidFill>
                </w14:textFill>
              </w:rPr>
              <w:t>交由有资质单位处置</w:t>
            </w:r>
            <w:r>
              <w:rPr>
                <w:rFonts w:ascii="Times New Roman" w:hAnsi="Times New Roman" w:cs="Times New Roman"/>
                <w:color w:val="000000" w:themeColor="text1"/>
                <w:sz w:val="24"/>
                <w:highlight w:val="none"/>
                <w14:textFill>
                  <w14:solidFill>
                    <w14:schemeClr w14:val="tx1"/>
                  </w14:solidFill>
                </w14:textFill>
              </w:rPr>
              <w:t>，本项目</w:t>
            </w:r>
            <w:r>
              <w:rPr>
                <w:rFonts w:hint="eastAsia" w:ascii="Times New Roman" w:hAnsi="Times New Roman" w:cs="Times New Roman"/>
                <w:color w:val="000000" w:themeColor="text1"/>
                <w:sz w:val="24"/>
                <w:highlight w:val="none"/>
                <w:lang w:eastAsia="zh-CN"/>
                <w14:textFill>
                  <w14:solidFill>
                    <w14:schemeClr w14:val="tx1"/>
                  </w14:solidFill>
                </w14:textFill>
              </w:rPr>
              <w:t>漆粉涂装线水帘柜</w:t>
            </w:r>
            <w:r>
              <w:rPr>
                <w:rFonts w:ascii="Times New Roman" w:hAnsi="Times New Roman" w:cs="Times New Roman"/>
                <w:color w:val="000000" w:themeColor="text1"/>
                <w:sz w:val="24"/>
                <w:highlight w:val="none"/>
                <w14:textFill>
                  <w14:solidFill>
                    <w14:schemeClr w14:val="tx1"/>
                  </w14:solidFill>
                </w14:textFill>
              </w:rPr>
              <w:t>用水总量为：</w:t>
            </w:r>
            <w:r>
              <w:rPr>
                <w:rFonts w:hint="eastAsia" w:ascii="Times New Roman" w:hAnsi="Times New Roman" w:cs="Times New Roman"/>
                <w:color w:val="000000" w:themeColor="text1"/>
                <w:sz w:val="24"/>
                <w:highlight w:val="none"/>
                <w:lang w:val="en-US" w:eastAsia="zh-CN"/>
                <w14:textFill>
                  <w14:solidFill>
                    <w14:schemeClr w14:val="tx1"/>
                  </w14:solidFill>
                </w14:textFill>
              </w:rPr>
              <w:t>5240.304</w:t>
            </w:r>
            <w:r>
              <w:rPr>
                <w:rFonts w:ascii="Times New Roman" w:hAnsi="Times New Roman" w:cs="Times New Roman"/>
                <w:color w:val="000000" w:themeColor="text1"/>
                <w:sz w:val="24"/>
                <w:highlight w:val="none"/>
                <w14:textFill>
                  <w14:solidFill>
                    <w14:schemeClr w14:val="tx1"/>
                  </w14:solidFill>
                </w14:textFill>
              </w:rPr>
              <w:t>m</w:t>
            </w:r>
            <w:r>
              <w:rPr>
                <w:rFonts w:ascii="Times New Roman" w:hAnsi="Times New Roman" w:cs="Times New Roman"/>
                <w:color w:val="000000" w:themeColor="text1"/>
                <w:sz w:val="24"/>
                <w:highlight w:val="none"/>
                <w:vertAlign w:val="superscript"/>
                <w14:textFill>
                  <w14:solidFill>
                    <w14:schemeClr w14:val="tx1"/>
                  </w14:solidFill>
                </w14:textFill>
              </w:rPr>
              <w:t>3</w:t>
            </w:r>
            <w:r>
              <w:rPr>
                <w:rFonts w:ascii="Times New Roman" w:hAnsi="Times New Roman" w:cs="Times New Roman"/>
                <w:color w:val="000000" w:themeColor="text1"/>
                <w:sz w:val="24"/>
                <w:highlight w:val="none"/>
                <w14:textFill>
                  <w14:solidFill>
                    <w14:schemeClr w14:val="tx1"/>
                  </w14:solidFill>
                </w14:textFill>
              </w:rPr>
              <w:t>/a+</w:t>
            </w:r>
            <w:r>
              <w:rPr>
                <w:rFonts w:hint="eastAsia" w:ascii="Times New Roman" w:hAnsi="Times New Roman" w:cs="Times New Roman"/>
                <w:color w:val="000000" w:themeColor="text1"/>
                <w:sz w:val="24"/>
                <w:highlight w:val="none"/>
                <w14:textFill>
                  <w14:solidFill>
                    <w14:schemeClr w14:val="tx1"/>
                  </w14:solidFill>
                </w14:textFill>
              </w:rPr>
              <w:t>194.4</w:t>
            </w:r>
            <w:r>
              <w:rPr>
                <w:rFonts w:ascii="Times New Roman" w:hAnsi="Times New Roman" w:cs="Times New Roman"/>
                <w:color w:val="000000" w:themeColor="text1"/>
                <w:sz w:val="24"/>
                <w:highlight w:val="none"/>
                <w14:textFill>
                  <w14:solidFill>
                    <w14:schemeClr w14:val="tx1"/>
                  </w14:solidFill>
                </w14:textFill>
              </w:rPr>
              <w:t>m</w:t>
            </w:r>
            <w:r>
              <w:rPr>
                <w:rFonts w:ascii="Times New Roman" w:hAnsi="Times New Roman" w:cs="Times New Roman"/>
                <w:color w:val="000000" w:themeColor="text1"/>
                <w:sz w:val="24"/>
                <w:highlight w:val="none"/>
                <w:vertAlign w:val="superscript"/>
                <w14:textFill>
                  <w14:solidFill>
                    <w14:schemeClr w14:val="tx1"/>
                  </w14:solidFill>
                </w14:textFill>
              </w:rPr>
              <w:t>3</w:t>
            </w:r>
            <w:r>
              <w:rPr>
                <w:rFonts w:ascii="Times New Roman" w:hAnsi="Times New Roman" w:cs="Times New Roman"/>
                <w:color w:val="000000" w:themeColor="text1"/>
                <w:sz w:val="24"/>
                <w:highlight w:val="none"/>
                <w14:textFill>
                  <w14:solidFill>
                    <w14:schemeClr w14:val="tx1"/>
                  </w14:solidFill>
                </w14:textFill>
              </w:rPr>
              <w:t>/a=</w:t>
            </w:r>
            <w:r>
              <w:rPr>
                <w:rFonts w:hint="eastAsia" w:ascii="Times New Roman" w:hAnsi="Times New Roman" w:cs="Times New Roman"/>
                <w:color w:val="000000" w:themeColor="text1"/>
                <w:sz w:val="24"/>
                <w:highlight w:val="none"/>
                <w:lang w:val="en-US" w:eastAsia="zh-CN"/>
                <w14:textFill>
                  <w14:solidFill>
                    <w14:schemeClr w14:val="tx1"/>
                  </w14:solidFill>
                </w14:textFill>
              </w:rPr>
              <w:t>5434.704</w:t>
            </w:r>
            <w:r>
              <w:rPr>
                <w:rFonts w:ascii="Times New Roman" w:hAnsi="Times New Roman" w:cs="Times New Roman"/>
                <w:color w:val="000000" w:themeColor="text1"/>
                <w:sz w:val="24"/>
                <w:highlight w:val="none"/>
                <w14:textFill>
                  <w14:solidFill>
                    <w14:schemeClr w14:val="tx1"/>
                  </w14:solidFill>
                </w14:textFill>
              </w:rPr>
              <w:t>m</w:t>
            </w:r>
            <w:r>
              <w:rPr>
                <w:rFonts w:ascii="Times New Roman" w:hAnsi="Times New Roman" w:cs="Times New Roman"/>
                <w:color w:val="000000" w:themeColor="text1"/>
                <w:sz w:val="24"/>
                <w:highlight w:val="none"/>
                <w:vertAlign w:val="superscript"/>
                <w14:textFill>
                  <w14:solidFill>
                    <w14:schemeClr w14:val="tx1"/>
                  </w14:solidFill>
                </w14:textFill>
              </w:rPr>
              <w:t>3</w:t>
            </w:r>
            <w:r>
              <w:rPr>
                <w:rFonts w:ascii="Times New Roman" w:hAnsi="Times New Roman" w:cs="Times New Roman"/>
                <w:color w:val="000000" w:themeColor="text1"/>
                <w:sz w:val="24"/>
                <w:highlight w:val="none"/>
                <w14:textFill>
                  <w14:solidFill>
                    <w14:schemeClr w14:val="tx1"/>
                  </w14:solidFill>
                </w14:textFill>
              </w:rPr>
              <w:t>/a。</w:t>
            </w:r>
          </w:p>
          <w:p w14:paraId="2E91286B">
            <w:pPr>
              <w:pStyle w:val="29"/>
              <w:wordWrap w:val="0"/>
              <w:topLinePunct/>
              <w:spacing w:line="360" w:lineRule="auto"/>
              <w:ind w:firstLine="482" w:firstLineChars="200"/>
              <w:rPr>
                <w:rFonts w:ascii="Times New Roman" w:hAnsi="Times New Roman" w:cs="Times New Roman"/>
                <w:b/>
                <w:bCs/>
                <w:color w:val="000000" w:themeColor="text1"/>
                <w:sz w:val="24"/>
                <w:highlight w:val="none"/>
                <w14:textFill>
                  <w14:solidFill>
                    <w14:schemeClr w14:val="tx1"/>
                  </w14:solidFill>
                </w14:textFill>
              </w:rPr>
            </w:pPr>
            <w:r>
              <w:rPr>
                <w:rFonts w:ascii="Times New Roman" w:hAnsi="Times New Roman" w:cs="Times New Roman"/>
                <w:b/>
                <w:bCs/>
                <w:color w:val="000000" w:themeColor="text1"/>
                <w:sz w:val="24"/>
                <w:highlight w:val="none"/>
                <w14:textFill>
                  <w14:solidFill>
                    <w14:schemeClr w14:val="tx1"/>
                  </w14:solidFill>
                </w14:textFill>
              </w:rPr>
              <w:t>B、</w:t>
            </w:r>
            <w:r>
              <w:rPr>
                <w:rFonts w:hint="eastAsia" w:ascii="Times New Roman" w:hAnsi="Times New Roman" w:cs="Times New Roman"/>
                <w:b/>
                <w:bCs/>
                <w:color w:val="000000" w:themeColor="text1"/>
                <w:sz w:val="24"/>
                <w:highlight w:val="none"/>
                <w14:textFill>
                  <w14:solidFill>
                    <w14:schemeClr w14:val="tx1"/>
                  </w14:solidFill>
                </w14:textFill>
              </w:rPr>
              <w:t>喷淋塔用</w:t>
            </w:r>
            <w:r>
              <w:rPr>
                <w:rFonts w:ascii="Times New Roman" w:hAnsi="Times New Roman" w:cs="Times New Roman"/>
                <w:b/>
                <w:bCs/>
                <w:color w:val="000000" w:themeColor="text1"/>
                <w:sz w:val="24"/>
                <w:highlight w:val="none"/>
                <w14:textFill>
                  <w14:solidFill>
                    <w14:schemeClr w14:val="tx1"/>
                  </w14:solidFill>
                </w14:textFill>
              </w:rPr>
              <w:t>水</w:t>
            </w:r>
          </w:p>
          <w:p w14:paraId="77B2E2E4">
            <w:pPr>
              <w:pStyle w:val="29"/>
              <w:wordWrap w:val="0"/>
              <w:topLinePunct/>
              <w:spacing w:line="360" w:lineRule="auto"/>
              <w:ind w:firstLine="480" w:firstLineChars="200"/>
              <w:rPr>
                <w:rFonts w:ascii="Times New Roman" w:hAnsi="Times New Roman" w:cs="Times New Roman"/>
                <w:color w:val="000000" w:themeColor="text1"/>
                <w:sz w:val="24"/>
                <w:highlight w:val="none"/>
                <w14:textFill>
                  <w14:solidFill>
                    <w14:schemeClr w14:val="tx1"/>
                  </w14:solidFill>
                </w14:textFill>
              </w:rPr>
            </w:pPr>
            <w:r>
              <w:rPr>
                <w:rFonts w:ascii="Times New Roman" w:hAnsi="Times New Roman" w:cs="Times New Roman"/>
                <w:color w:val="000000" w:themeColor="text1"/>
                <w:sz w:val="24"/>
                <w:highlight w:val="none"/>
                <w14:textFill>
                  <w14:solidFill>
                    <w14:schemeClr w14:val="tx1"/>
                  </w14:solidFill>
                </w14:textFill>
              </w:rPr>
              <w:t>与</w:t>
            </w:r>
            <w:r>
              <w:rPr>
                <w:rFonts w:hint="eastAsia" w:ascii="Times New Roman" w:hAnsi="Times New Roman" w:cs="Times New Roman"/>
                <w:color w:val="000000" w:themeColor="text1"/>
                <w:sz w:val="24"/>
                <w:highlight w:val="none"/>
                <w:lang w:eastAsia="zh-CN"/>
                <w14:textFill>
                  <w14:solidFill>
                    <w14:schemeClr w14:val="tx1"/>
                  </w14:solidFill>
                </w14:textFill>
              </w:rPr>
              <w:t>水帘柜</w:t>
            </w:r>
            <w:r>
              <w:rPr>
                <w:rFonts w:ascii="Times New Roman" w:hAnsi="Times New Roman" w:cs="Times New Roman"/>
                <w:color w:val="000000" w:themeColor="text1"/>
                <w:sz w:val="24"/>
                <w:highlight w:val="none"/>
                <w14:textFill>
                  <w14:solidFill>
                    <w14:schemeClr w14:val="tx1"/>
                  </w14:solidFill>
                </w14:textFill>
              </w:rPr>
              <w:t>用水计算过程相同，</w:t>
            </w:r>
            <w:r>
              <w:rPr>
                <w:rFonts w:hint="eastAsia" w:ascii="Times New Roman" w:hAnsi="Times New Roman" w:cs="Times New Roman"/>
                <w:color w:val="000000" w:themeColor="text1"/>
                <w:sz w:val="24"/>
                <w:highlight w:val="none"/>
                <w:lang w:val="en-US" w:eastAsia="zh-CN"/>
                <w14:textFill>
                  <w14:solidFill>
                    <w14:schemeClr w14:val="tx1"/>
                  </w14:solidFill>
                </w14:textFill>
              </w:rPr>
              <w:t>喷淋塔</w:t>
            </w:r>
            <w:r>
              <w:rPr>
                <w:rFonts w:hint="eastAsia" w:ascii="Times New Roman" w:hAnsi="Times New Roman" w:cs="Times New Roman"/>
                <w:color w:val="000000" w:themeColor="text1"/>
                <w:sz w:val="24"/>
                <w:highlight w:val="none"/>
                <w14:textFill>
                  <w14:solidFill>
                    <w14:schemeClr w14:val="tx1"/>
                  </w14:solidFill>
                </w14:textFill>
              </w:rPr>
              <w:t>总风量为</w:t>
            </w:r>
            <w:r>
              <w:rPr>
                <w:rFonts w:hint="eastAsia" w:ascii="Times New Roman" w:hAnsi="Times New Roman" w:cs="Times New Roman"/>
                <w:color w:val="000000" w:themeColor="text1"/>
                <w:sz w:val="24"/>
                <w:highlight w:val="none"/>
                <w:lang w:val="en-US" w:eastAsia="zh-CN"/>
                <w14:textFill>
                  <w14:solidFill>
                    <w14:schemeClr w14:val="tx1"/>
                  </w14:solidFill>
                </w14:textFill>
              </w:rPr>
              <w:t>40</w:t>
            </w:r>
            <w:r>
              <w:rPr>
                <w:rFonts w:hint="eastAsia" w:ascii="Times New Roman" w:hAnsi="Times New Roman" w:cs="Times New Roman"/>
                <w:color w:val="000000" w:themeColor="text1"/>
                <w:sz w:val="24"/>
                <w:highlight w:val="none"/>
                <w14:textFill>
                  <w14:solidFill>
                    <w14:schemeClr w14:val="tx1"/>
                  </w14:solidFill>
                </w14:textFill>
              </w:rPr>
              <w:t>000</w:t>
            </w:r>
            <w:r>
              <w:rPr>
                <w:rFonts w:ascii="Times New Roman" w:hAnsi="Times New Roman" w:cs="Times New Roman"/>
                <w:color w:val="000000" w:themeColor="text1"/>
                <w:sz w:val="24"/>
                <w:highlight w:val="none"/>
                <w14:textFill>
                  <w14:solidFill>
                    <w14:schemeClr w14:val="tx1"/>
                  </w14:solidFill>
                </w14:textFill>
              </w:rPr>
              <w:t>m</w:t>
            </w:r>
            <w:r>
              <w:rPr>
                <w:rFonts w:ascii="Times New Roman" w:hAnsi="Times New Roman" w:cs="Times New Roman"/>
                <w:color w:val="000000" w:themeColor="text1"/>
                <w:sz w:val="24"/>
                <w:highlight w:val="none"/>
                <w:vertAlign w:val="superscript"/>
                <w14:textFill>
                  <w14:solidFill>
                    <w14:schemeClr w14:val="tx1"/>
                  </w14:solidFill>
                </w14:textFill>
              </w:rPr>
              <w:t>3</w:t>
            </w:r>
            <w:r>
              <w:rPr>
                <w:rFonts w:ascii="Times New Roman" w:hAnsi="Times New Roman" w:cs="Times New Roman"/>
                <w:color w:val="000000" w:themeColor="text1"/>
                <w:sz w:val="24"/>
                <w:highlight w:val="none"/>
                <w14:textFill>
                  <w14:solidFill>
                    <w14:schemeClr w14:val="tx1"/>
                  </w14:solidFill>
                </w14:textFill>
              </w:rPr>
              <w:t>/h</w:t>
            </w:r>
            <w:r>
              <w:rPr>
                <w:rFonts w:hint="eastAsia" w:ascii="Times New Roman" w:hAnsi="Times New Roman" w:cs="Times New Roman"/>
                <w:color w:val="000000" w:themeColor="text1"/>
                <w:sz w:val="24"/>
                <w:highlight w:val="none"/>
                <w14:textFill>
                  <w14:solidFill>
                    <w14:schemeClr w14:val="tx1"/>
                  </w14:solidFill>
                </w14:textFill>
              </w:rPr>
              <w:t>，对应</w:t>
            </w:r>
            <w:r>
              <w:rPr>
                <w:rFonts w:ascii="Times New Roman" w:hAnsi="Times New Roman" w:cs="Times New Roman"/>
                <w:color w:val="000000" w:themeColor="text1"/>
                <w:sz w:val="24"/>
                <w:highlight w:val="none"/>
                <w14:textFill>
                  <w14:solidFill>
                    <w14:schemeClr w14:val="tx1"/>
                  </w14:solidFill>
                </w14:textFill>
              </w:rPr>
              <w:t>喷淋塔循环用水量为</w:t>
            </w:r>
            <w:r>
              <w:rPr>
                <w:rFonts w:hint="eastAsia" w:ascii="Times New Roman" w:hAnsi="Times New Roman" w:cs="Times New Roman"/>
                <w:color w:val="000000" w:themeColor="text1"/>
                <w:sz w:val="24"/>
                <w:highlight w:val="none"/>
                <w:lang w:val="en-US" w:eastAsia="zh-CN"/>
                <w14:textFill>
                  <w14:solidFill>
                    <w14:schemeClr w14:val="tx1"/>
                  </w14:solidFill>
                </w14:textFill>
              </w:rPr>
              <w:t>40</w:t>
            </w:r>
            <w:r>
              <w:rPr>
                <w:rFonts w:ascii="Times New Roman" w:hAnsi="Times New Roman" w:cs="Times New Roman"/>
                <w:color w:val="000000" w:themeColor="text1"/>
                <w:sz w:val="24"/>
                <w:highlight w:val="none"/>
                <w14:textFill>
                  <w14:solidFill>
                    <w14:schemeClr w14:val="tx1"/>
                  </w14:solidFill>
                </w14:textFill>
              </w:rPr>
              <w:t>m</w:t>
            </w:r>
            <w:r>
              <w:rPr>
                <w:rFonts w:ascii="Times New Roman" w:hAnsi="Times New Roman" w:cs="Times New Roman"/>
                <w:color w:val="000000" w:themeColor="text1"/>
                <w:sz w:val="24"/>
                <w:highlight w:val="none"/>
                <w:vertAlign w:val="superscript"/>
                <w14:textFill>
                  <w14:solidFill>
                    <w14:schemeClr w14:val="tx1"/>
                  </w14:solidFill>
                </w14:textFill>
              </w:rPr>
              <w:t>3</w:t>
            </w:r>
            <w:r>
              <w:rPr>
                <w:rFonts w:ascii="Times New Roman" w:hAnsi="Times New Roman" w:cs="Times New Roman"/>
                <w:color w:val="000000" w:themeColor="text1"/>
                <w:sz w:val="24"/>
                <w:highlight w:val="none"/>
                <w14:textFill>
                  <w14:solidFill>
                    <w14:schemeClr w14:val="tx1"/>
                  </w14:solidFill>
                </w14:textFill>
              </w:rPr>
              <w:t>/h，即</w:t>
            </w:r>
            <w:r>
              <w:rPr>
                <w:rFonts w:hint="eastAsia" w:ascii="Times New Roman" w:hAnsi="Times New Roman" w:cs="Times New Roman"/>
                <w:color w:val="000000" w:themeColor="text1"/>
                <w:sz w:val="24"/>
                <w:highlight w:val="none"/>
                <w:lang w:val="en-US" w:eastAsia="zh-CN"/>
                <w14:textFill>
                  <w14:solidFill>
                    <w14:schemeClr w14:val="tx1"/>
                  </w14:solidFill>
                </w14:textFill>
              </w:rPr>
              <w:t>77120</w:t>
            </w:r>
            <w:r>
              <w:rPr>
                <w:rFonts w:ascii="Times New Roman" w:hAnsi="Times New Roman" w:cs="Times New Roman"/>
                <w:color w:val="000000" w:themeColor="text1"/>
                <w:sz w:val="24"/>
                <w:highlight w:val="none"/>
                <w14:textFill>
                  <w14:solidFill>
                    <w14:schemeClr w14:val="tx1"/>
                  </w14:solidFill>
                </w14:textFill>
              </w:rPr>
              <w:t>m</w:t>
            </w:r>
            <w:r>
              <w:rPr>
                <w:rFonts w:ascii="Times New Roman" w:hAnsi="Times New Roman" w:cs="Times New Roman"/>
                <w:color w:val="000000" w:themeColor="text1"/>
                <w:sz w:val="24"/>
                <w:highlight w:val="none"/>
                <w:vertAlign w:val="superscript"/>
                <w14:textFill>
                  <w14:solidFill>
                    <w14:schemeClr w14:val="tx1"/>
                  </w14:solidFill>
                </w14:textFill>
              </w:rPr>
              <w:t>3</w:t>
            </w:r>
            <w:r>
              <w:rPr>
                <w:rFonts w:ascii="Times New Roman" w:hAnsi="Times New Roman" w:cs="Times New Roman"/>
                <w:color w:val="000000" w:themeColor="text1"/>
                <w:sz w:val="24"/>
                <w:highlight w:val="none"/>
                <w14:textFill>
                  <w14:solidFill>
                    <w14:schemeClr w14:val="tx1"/>
                  </w14:solidFill>
                </w14:textFill>
              </w:rPr>
              <w:t>/a，循环损耗补充水量为</w:t>
            </w:r>
            <w:r>
              <w:rPr>
                <w:rFonts w:hint="eastAsia" w:ascii="Times New Roman" w:hAnsi="Times New Roman" w:cs="Times New Roman"/>
                <w:color w:val="000000" w:themeColor="text1"/>
                <w:sz w:val="24"/>
                <w:highlight w:val="none"/>
                <w:lang w:val="en-US" w:eastAsia="zh-CN"/>
                <w14:textFill>
                  <w14:solidFill>
                    <w14:schemeClr w14:val="tx1"/>
                  </w14:solidFill>
                </w14:textFill>
              </w:rPr>
              <w:t>7712</w:t>
            </w:r>
            <w:r>
              <w:rPr>
                <w:rFonts w:ascii="Times New Roman" w:hAnsi="Times New Roman" w:cs="Times New Roman"/>
                <w:color w:val="000000" w:themeColor="text1"/>
                <w:sz w:val="24"/>
                <w:highlight w:val="none"/>
                <w14:textFill>
                  <w14:solidFill>
                    <w14:schemeClr w14:val="tx1"/>
                  </w14:solidFill>
                </w14:textFill>
              </w:rPr>
              <w:t>0m</w:t>
            </w:r>
            <w:r>
              <w:rPr>
                <w:rFonts w:ascii="Times New Roman" w:hAnsi="Times New Roman" w:cs="Times New Roman"/>
                <w:color w:val="000000" w:themeColor="text1"/>
                <w:sz w:val="24"/>
                <w:highlight w:val="none"/>
                <w:vertAlign w:val="superscript"/>
                <w14:textFill>
                  <w14:solidFill>
                    <w14:schemeClr w14:val="tx1"/>
                  </w14:solidFill>
                </w14:textFill>
              </w:rPr>
              <w:t>3</w:t>
            </w:r>
            <w:r>
              <w:rPr>
                <w:rFonts w:ascii="Times New Roman" w:hAnsi="Times New Roman" w:cs="Times New Roman"/>
                <w:color w:val="000000" w:themeColor="text1"/>
                <w:sz w:val="24"/>
                <w:highlight w:val="none"/>
                <w14:textFill>
                  <w14:solidFill>
                    <w14:schemeClr w14:val="tx1"/>
                  </w14:solidFill>
                </w14:textFill>
              </w:rPr>
              <w:t>/a×</w:t>
            </w:r>
            <w:r>
              <w:rPr>
                <w:rFonts w:hint="eastAsia" w:ascii="Times New Roman" w:hAnsi="Times New Roman" w:cs="Times New Roman"/>
                <w:color w:val="000000" w:themeColor="text1"/>
                <w:sz w:val="24"/>
                <w:highlight w:val="none"/>
                <w14:textFill>
                  <w14:solidFill>
                    <w14:schemeClr w14:val="tx1"/>
                  </w14:solidFill>
                </w14:textFill>
              </w:rPr>
              <w:t>1.5</w:t>
            </w:r>
            <w:r>
              <w:rPr>
                <w:rFonts w:ascii="Times New Roman" w:hAnsi="Times New Roman" w:cs="Times New Roman"/>
                <w:color w:val="000000" w:themeColor="text1"/>
                <w:sz w:val="24"/>
                <w:highlight w:val="none"/>
                <w14:textFill>
                  <w14:solidFill>
                    <w14:schemeClr w14:val="tx1"/>
                  </w14:solidFill>
                </w14:textFill>
              </w:rPr>
              <w:t>%=</w:t>
            </w:r>
            <w:r>
              <w:rPr>
                <w:rFonts w:hint="eastAsia" w:ascii="Times New Roman" w:hAnsi="Times New Roman" w:cs="Times New Roman"/>
                <w:color w:val="000000" w:themeColor="text1"/>
                <w:sz w:val="24"/>
                <w:highlight w:val="none"/>
                <w:lang w:val="en-US" w:eastAsia="zh-CN"/>
                <w14:textFill>
                  <w14:solidFill>
                    <w14:schemeClr w14:val="tx1"/>
                  </w14:solidFill>
                </w14:textFill>
              </w:rPr>
              <w:t>1156.8</w:t>
            </w:r>
            <w:r>
              <w:rPr>
                <w:rFonts w:ascii="Times New Roman" w:hAnsi="Times New Roman" w:cs="Times New Roman"/>
                <w:color w:val="000000" w:themeColor="text1"/>
                <w:sz w:val="24"/>
                <w:highlight w:val="none"/>
                <w14:textFill>
                  <w14:solidFill>
                    <w14:schemeClr w14:val="tx1"/>
                  </w14:solidFill>
                </w14:textFill>
              </w:rPr>
              <w:t>m</w:t>
            </w:r>
            <w:r>
              <w:rPr>
                <w:rFonts w:ascii="Times New Roman" w:hAnsi="Times New Roman" w:cs="Times New Roman"/>
                <w:color w:val="000000" w:themeColor="text1"/>
                <w:sz w:val="24"/>
                <w:highlight w:val="none"/>
                <w:vertAlign w:val="superscript"/>
                <w14:textFill>
                  <w14:solidFill>
                    <w14:schemeClr w14:val="tx1"/>
                  </w14:solidFill>
                </w14:textFill>
              </w:rPr>
              <w:t>3</w:t>
            </w:r>
            <w:r>
              <w:rPr>
                <w:rFonts w:ascii="Times New Roman" w:hAnsi="Times New Roman" w:cs="Times New Roman"/>
                <w:color w:val="000000" w:themeColor="text1"/>
                <w:sz w:val="24"/>
                <w:highlight w:val="none"/>
                <w14:textFill>
                  <w14:solidFill>
                    <w14:schemeClr w14:val="tx1"/>
                  </w14:solidFill>
                </w14:textFill>
              </w:rPr>
              <w:t>/a。</w:t>
            </w:r>
          </w:p>
          <w:p w14:paraId="7B9FB325">
            <w:pPr>
              <w:pStyle w:val="29"/>
              <w:wordWrap w:val="0"/>
              <w:topLinePunct/>
              <w:spacing w:line="360" w:lineRule="auto"/>
              <w:ind w:firstLine="480" w:firstLineChars="200"/>
              <w:rPr>
                <w:rFonts w:ascii="Times New Roman" w:hAnsi="Times New Roman" w:cs="Times New Roman"/>
                <w:color w:val="000000" w:themeColor="text1"/>
                <w:sz w:val="24"/>
                <w:highlight w:val="none"/>
                <w14:textFill>
                  <w14:solidFill>
                    <w14:schemeClr w14:val="tx1"/>
                  </w14:solidFill>
                </w14:textFill>
              </w:rPr>
            </w:pPr>
            <w:r>
              <w:rPr>
                <w:rFonts w:hint="eastAsia" w:ascii="Times New Roman" w:hAnsi="Times New Roman" w:cs="Times New Roman"/>
                <w:color w:val="000000" w:themeColor="text1"/>
                <w:sz w:val="24"/>
                <w:highlight w:val="none"/>
                <w14:textFill>
                  <w14:solidFill>
                    <w14:schemeClr w14:val="tx1"/>
                  </w14:solidFill>
                </w14:textFill>
              </w:rPr>
              <w:t>本项目废气治理设施设置</w:t>
            </w:r>
            <w:r>
              <w:rPr>
                <w:rFonts w:ascii="Times New Roman" w:hAnsi="Times New Roman" w:cs="Times New Roman"/>
                <w:color w:val="000000" w:themeColor="text1"/>
                <w:sz w:val="24"/>
                <w:highlight w:val="none"/>
                <w14:textFill>
                  <w14:solidFill>
                    <w14:schemeClr w14:val="tx1"/>
                  </w14:solidFill>
                </w14:textFill>
              </w:rPr>
              <w:t>喷淋塔</w:t>
            </w:r>
            <w:r>
              <w:rPr>
                <w:rFonts w:hint="eastAsia" w:ascii="Times New Roman" w:hAnsi="Times New Roman" w:cs="Times New Roman"/>
                <w:color w:val="000000" w:themeColor="text1"/>
                <w:sz w:val="24"/>
                <w:highlight w:val="none"/>
                <w:lang w:val="en-US" w:eastAsia="zh-CN"/>
                <w14:textFill>
                  <w14:solidFill>
                    <w14:schemeClr w14:val="tx1"/>
                  </w14:solidFill>
                </w14:textFill>
              </w:rPr>
              <w:t>1个</w:t>
            </w:r>
            <w:r>
              <w:rPr>
                <w:rFonts w:hint="eastAsia" w:ascii="Times New Roman" w:hAnsi="Times New Roman" w:cs="Times New Roman"/>
                <w:color w:val="000000" w:themeColor="text1"/>
                <w:sz w:val="24"/>
                <w:highlight w:val="none"/>
                <w14:textFill>
                  <w14:solidFill>
                    <w14:schemeClr w14:val="tx1"/>
                  </w14:solidFill>
                </w14:textFill>
              </w:rPr>
              <w:t>，塔内</w:t>
            </w:r>
            <w:r>
              <w:rPr>
                <w:rFonts w:ascii="Times New Roman" w:hAnsi="Times New Roman" w:cs="Times New Roman"/>
                <w:color w:val="000000" w:themeColor="text1"/>
                <w:sz w:val="24"/>
                <w:highlight w:val="none"/>
                <w14:textFill>
                  <w14:solidFill>
                    <w14:schemeClr w14:val="tx1"/>
                  </w14:solidFill>
                </w14:textFill>
              </w:rPr>
              <w:t>循环水吸附漆雾后污染物浓度会增大，需定期</w:t>
            </w:r>
            <w:r>
              <w:rPr>
                <w:rFonts w:hint="eastAsia" w:ascii="Times New Roman" w:hAnsi="Times New Roman" w:cs="Times New Roman"/>
                <w:color w:val="000000" w:themeColor="text1"/>
                <w:sz w:val="24"/>
                <w:highlight w:val="none"/>
                <w:lang w:val="en-US" w:eastAsia="zh-CN"/>
                <w14:textFill>
                  <w14:solidFill>
                    <w14:schemeClr w14:val="tx1"/>
                  </w14:solidFill>
                </w14:textFill>
              </w:rPr>
              <w:t>捞渣</w:t>
            </w:r>
            <w:r>
              <w:rPr>
                <w:rFonts w:ascii="Times New Roman" w:hAnsi="Times New Roman" w:cs="Times New Roman"/>
                <w:color w:val="000000" w:themeColor="text1"/>
                <w:sz w:val="24"/>
                <w:highlight w:val="none"/>
                <w14:textFill>
                  <w14:solidFill>
                    <w14:schemeClr w14:val="tx1"/>
                  </w14:solidFill>
                </w14:textFill>
              </w:rPr>
              <w:t>更换，预计每周更换1次，一个月更换4次，</w:t>
            </w:r>
            <w:r>
              <w:rPr>
                <w:rFonts w:hint="eastAsia" w:ascii="Times New Roman" w:hAnsi="Times New Roman" w:cs="Times New Roman"/>
                <w:color w:val="000000" w:themeColor="text1"/>
                <w:sz w:val="24"/>
                <w:highlight w:val="none"/>
                <w14:textFill>
                  <w14:solidFill>
                    <w14:schemeClr w14:val="tx1"/>
                  </w14:solidFill>
                </w14:textFill>
              </w:rPr>
              <w:t>喷淋塔内</w:t>
            </w:r>
            <w:r>
              <w:rPr>
                <w:rFonts w:ascii="Times New Roman" w:hAnsi="Times New Roman" w:cs="Times New Roman"/>
                <w:color w:val="000000" w:themeColor="text1"/>
                <w:sz w:val="24"/>
                <w:highlight w:val="none"/>
                <w14:textFill>
                  <w14:solidFill>
                    <w14:schemeClr w14:val="tx1"/>
                  </w14:solidFill>
                </w14:textFill>
              </w:rPr>
              <w:t>循环水箱容积约0.7t，则喷淋塔循环水更换量为</w:t>
            </w:r>
            <w:r>
              <w:rPr>
                <w:rFonts w:hint="eastAsia" w:ascii="Times New Roman" w:hAnsi="Times New Roman" w:cs="Times New Roman"/>
                <w:color w:val="000000" w:themeColor="text1"/>
                <w:sz w:val="24"/>
                <w:highlight w:val="none"/>
                <w14:textFill>
                  <w14:solidFill>
                    <w14:schemeClr w14:val="tx1"/>
                  </w14:solidFill>
                </w14:textFill>
              </w:rPr>
              <w:t>1台×</w:t>
            </w:r>
            <w:r>
              <w:rPr>
                <w:rFonts w:ascii="Times New Roman" w:hAnsi="Times New Roman" w:cs="Times New Roman"/>
                <w:color w:val="000000" w:themeColor="text1"/>
                <w:sz w:val="24"/>
                <w:highlight w:val="none"/>
                <w14:textFill>
                  <w14:solidFill>
                    <w14:schemeClr w14:val="tx1"/>
                  </w14:solidFill>
                </w14:textFill>
              </w:rPr>
              <w:t>0.7t×4</w:t>
            </w:r>
            <w:r>
              <w:rPr>
                <w:rFonts w:hint="eastAsia" w:ascii="Times New Roman" w:hAnsi="Times New Roman" w:cs="Times New Roman"/>
                <w:color w:val="000000" w:themeColor="text1"/>
                <w:sz w:val="24"/>
                <w:highlight w:val="none"/>
                <w14:textFill>
                  <w14:solidFill>
                    <w14:schemeClr w14:val="tx1"/>
                  </w14:solidFill>
                </w14:textFill>
              </w:rPr>
              <w:t>8次/年</w:t>
            </w:r>
            <w:r>
              <w:rPr>
                <w:rFonts w:ascii="Times New Roman" w:hAnsi="Times New Roman" w:cs="Times New Roman"/>
                <w:color w:val="000000" w:themeColor="text1"/>
                <w:sz w:val="24"/>
                <w:highlight w:val="none"/>
                <w14:textFill>
                  <w14:solidFill>
                    <w14:schemeClr w14:val="tx1"/>
                  </w14:solidFill>
                </w14:textFill>
              </w:rPr>
              <w:t>=</w:t>
            </w:r>
            <w:r>
              <w:rPr>
                <w:rFonts w:hint="eastAsia" w:ascii="Times New Roman" w:hAnsi="Times New Roman" w:cs="Times New Roman"/>
                <w:color w:val="000000" w:themeColor="text1"/>
                <w:sz w:val="24"/>
                <w:highlight w:val="none"/>
                <w14:textFill>
                  <w14:solidFill>
                    <w14:schemeClr w14:val="tx1"/>
                  </w14:solidFill>
                </w14:textFill>
              </w:rPr>
              <w:t>33.6</w:t>
            </w:r>
            <w:r>
              <w:rPr>
                <w:rFonts w:ascii="Times New Roman" w:hAnsi="Times New Roman" w:cs="Times New Roman"/>
                <w:color w:val="000000" w:themeColor="text1"/>
                <w:sz w:val="24"/>
                <w:highlight w:val="none"/>
                <w14:textFill>
                  <w14:solidFill>
                    <w14:schemeClr w14:val="tx1"/>
                  </w14:solidFill>
                </w14:textFill>
              </w:rPr>
              <w:t>t/a，更换后的废水</w:t>
            </w:r>
            <w:r>
              <w:rPr>
                <w:rFonts w:hint="eastAsia" w:ascii="Times New Roman" w:hAnsi="Times New Roman" w:cs="Times New Roman"/>
                <w:color w:val="000000" w:themeColor="text1"/>
                <w:sz w:val="24"/>
                <w:highlight w:val="none"/>
                <w:lang w:val="en-US" w:eastAsia="zh-CN"/>
                <w14:textFill>
                  <w14:solidFill>
                    <w14:schemeClr w14:val="tx1"/>
                  </w14:solidFill>
                </w14:textFill>
              </w:rPr>
              <w:t>交由有资质单位处置</w:t>
            </w:r>
            <w:r>
              <w:rPr>
                <w:rFonts w:ascii="Times New Roman" w:hAnsi="Times New Roman" w:cs="Times New Roman"/>
                <w:color w:val="000000" w:themeColor="text1"/>
                <w:sz w:val="24"/>
                <w:highlight w:val="none"/>
                <w14:textFill>
                  <w14:solidFill>
                    <w14:schemeClr w14:val="tx1"/>
                  </w14:solidFill>
                </w14:textFill>
              </w:rPr>
              <w:t>，本项目喷淋塔用水总量为：</w:t>
            </w:r>
            <w:r>
              <w:rPr>
                <w:rFonts w:hint="eastAsia" w:ascii="Times New Roman" w:hAnsi="Times New Roman" w:cs="Times New Roman"/>
                <w:color w:val="000000" w:themeColor="text1"/>
                <w:sz w:val="24"/>
                <w:highlight w:val="none"/>
                <w:lang w:val="en-US" w:eastAsia="zh-CN"/>
                <w14:textFill>
                  <w14:solidFill>
                    <w14:schemeClr w14:val="tx1"/>
                  </w14:solidFill>
                </w14:textFill>
              </w:rPr>
              <w:t>1156.8</w:t>
            </w:r>
            <w:r>
              <w:rPr>
                <w:rFonts w:ascii="Times New Roman" w:hAnsi="Times New Roman" w:cs="Times New Roman"/>
                <w:color w:val="000000" w:themeColor="text1"/>
                <w:sz w:val="24"/>
                <w:highlight w:val="none"/>
                <w14:textFill>
                  <w14:solidFill>
                    <w14:schemeClr w14:val="tx1"/>
                  </w14:solidFill>
                </w14:textFill>
              </w:rPr>
              <w:t>m</w:t>
            </w:r>
            <w:r>
              <w:rPr>
                <w:rFonts w:ascii="Times New Roman" w:hAnsi="Times New Roman" w:cs="Times New Roman"/>
                <w:color w:val="000000" w:themeColor="text1"/>
                <w:sz w:val="24"/>
                <w:highlight w:val="none"/>
                <w:vertAlign w:val="superscript"/>
                <w14:textFill>
                  <w14:solidFill>
                    <w14:schemeClr w14:val="tx1"/>
                  </w14:solidFill>
                </w14:textFill>
              </w:rPr>
              <w:t>3</w:t>
            </w:r>
            <w:r>
              <w:rPr>
                <w:rFonts w:ascii="Times New Roman" w:hAnsi="Times New Roman" w:cs="Times New Roman"/>
                <w:color w:val="000000" w:themeColor="text1"/>
                <w:sz w:val="24"/>
                <w:highlight w:val="none"/>
                <w14:textFill>
                  <w14:solidFill>
                    <w14:schemeClr w14:val="tx1"/>
                  </w14:solidFill>
                </w14:textFill>
              </w:rPr>
              <w:t>/a+</w:t>
            </w:r>
            <w:r>
              <w:rPr>
                <w:rFonts w:hint="eastAsia" w:ascii="Times New Roman" w:hAnsi="Times New Roman" w:cs="Times New Roman"/>
                <w:color w:val="000000" w:themeColor="text1"/>
                <w:sz w:val="24"/>
                <w:highlight w:val="none"/>
                <w14:textFill>
                  <w14:solidFill>
                    <w14:schemeClr w14:val="tx1"/>
                  </w14:solidFill>
                </w14:textFill>
              </w:rPr>
              <w:t>33.6</w:t>
            </w:r>
            <w:r>
              <w:rPr>
                <w:rFonts w:ascii="Times New Roman" w:hAnsi="Times New Roman" w:cs="Times New Roman"/>
                <w:color w:val="000000" w:themeColor="text1"/>
                <w:sz w:val="24"/>
                <w:highlight w:val="none"/>
                <w14:textFill>
                  <w14:solidFill>
                    <w14:schemeClr w14:val="tx1"/>
                  </w14:solidFill>
                </w14:textFill>
              </w:rPr>
              <w:t>m</w:t>
            </w:r>
            <w:r>
              <w:rPr>
                <w:rFonts w:ascii="Times New Roman" w:hAnsi="Times New Roman" w:cs="Times New Roman"/>
                <w:color w:val="000000" w:themeColor="text1"/>
                <w:sz w:val="24"/>
                <w:highlight w:val="none"/>
                <w:vertAlign w:val="superscript"/>
                <w14:textFill>
                  <w14:solidFill>
                    <w14:schemeClr w14:val="tx1"/>
                  </w14:solidFill>
                </w14:textFill>
              </w:rPr>
              <w:t>3</w:t>
            </w:r>
            <w:r>
              <w:rPr>
                <w:rFonts w:ascii="Times New Roman" w:hAnsi="Times New Roman" w:cs="Times New Roman"/>
                <w:color w:val="000000" w:themeColor="text1"/>
                <w:sz w:val="24"/>
                <w:highlight w:val="none"/>
                <w14:textFill>
                  <w14:solidFill>
                    <w14:schemeClr w14:val="tx1"/>
                  </w14:solidFill>
                </w14:textFill>
              </w:rPr>
              <w:t>/a=</w:t>
            </w:r>
            <w:r>
              <w:rPr>
                <w:rFonts w:hint="eastAsia" w:ascii="Times New Roman" w:hAnsi="Times New Roman" w:cs="Times New Roman"/>
                <w:color w:val="000000" w:themeColor="text1"/>
                <w:sz w:val="24"/>
                <w:highlight w:val="none"/>
                <w:lang w:val="en-US" w:eastAsia="zh-CN"/>
                <w14:textFill>
                  <w14:solidFill>
                    <w14:schemeClr w14:val="tx1"/>
                  </w14:solidFill>
                </w14:textFill>
              </w:rPr>
              <w:t>1190.4</w:t>
            </w:r>
            <w:r>
              <w:rPr>
                <w:rFonts w:ascii="Times New Roman" w:hAnsi="Times New Roman" w:cs="Times New Roman"/>
                <w:color w:val="000000" w:themeColor="text1"/>
                <w:sz w:val="24"/>
                <w:highlight w:val="none"/>
                <w14:textFill>
                  <w14:solidFill>
                    <w14:schemeClr w14:val="tx1"/>
                  </w14:solidFill>
                </w14:textFill>
              </w:rPr>
              <w:t>m</w:t>
            </w:r>
            <w:r>
              <w:rPr>
                <w:rFonts w:ascii="Times New Roman" w:hAnsi="Times New Roman" w:cs="Times New Roman"/>
                <w:color w:val="000000" w:themeColor="text1"/>
                <w:sz w:val="24"/>
                <w:highlight w:val="none"/>
                <w:vertAlign w:val="superscript"/>
                <w14:textFill>
                  <w14:solidFill>
                    <w14:schemeClr w14:val="tx1"/>
                  </w14:solidFill>
                </w14:textFill>
              </w:rPr>
              <w:t>3</w:t>
            </w:r>
            <w:r>
              <w:rPr>
                <w:rFonts w:ascii="Times New Roman" w:hAnsi="Times New Roman" w:cs="Times New Roman"/>
                <w:color w:val="000000" w:themeColor="text1"/>
                <w:sz w:val="24"/>
                <w:highlight w:val="none"/>
                <w14:textFill>
                  <w14:solidFill>
                    <w14:schemeClr w14:val="tx1"/>
                  </w14:solidFill>
                </w14:textFill>
              </w:rPr>
              <w:t>/a。</w:t>
            </w:r>
          </w:p>
          <w:p w14:paraId="276FB9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C.</w:t>
            </w: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前处理用水</w:t>
            </w:r>
          </w:p>
          <w:p w14:paraId="2646B4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本项目设置2条规模和处理能力都相同的前处理线。用水环节主要</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包括</w:t>
            </w:r>
            <w:r>
              <w:rPr>
                <w:rFonts w:hint="default" w:ascii="Times New Roman" w:hAnsi="Times New Roman" w:cs="Times New Roman"/>
                <w:color w:val="000000" w:themeColor="text1"/>
                <w:sz w:val="24"/>
                <w:szCs w:val="24"/>
                <w:highlight w:val="none"/>
                <w14:textFill>
                  <w14:solidFill>
                    <w14:schemeClr w14:val="tx1"/>
                  </w14:solidFill>
                </w14:textFill>
              </w:rPr>
              <w:t>表面预处理工序</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喷淋补充用水、整槽更换用水和溢流用水</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前处理线总</w:t>
            </w:r>
            <w:r>
              <w:rPr>
                <w:rFonts w:hint="default" w:ascii="Times New Roman" w:hAnsi="Times New Roman" w:cs="Times New Roman"/>
                <w:color w:val="000000" w:themeColor="text1"/>
                <w:sz w:val="24"/>
                <w:szCs w:val="24"/>
                <w:highlight w:val="none"/>
                <w14:textFill>
                  <w14:solidFill>
                    <w14:schemeClr w14:val="tx1"/>
                  </w14:solidFill>
                </w14:textFill>
              </w:rPr>
              <w:t>用水量为</w:t>
            </w:r>
            <w:r>
              <w:rPr>
                <w:rFonts w:hint="default" w:ascii="Times New Roman" w:hAnsi="Times New Roman" w:cs="Times New Roman"/>
                <w:color w:val="000000" w:themeColor="text1"/>
                <w:sz w:val="24"/>
                <w:szCs w:val="24"/>
                <w:highlight w:val="none"/>
                <w:lang w:val="zh-CN"/>
                <w14:textFill>
                  <w14:solidFill>
                    <w14:schemeClr w14:val="tx1"/>
                  </w14:solidFill>
                </w14:textFill>
              </w:rPr>
              <w:t>1</w:t>
            </w:r>
            <w:r>
              <w:rPr>
                <w:rFonts w:hint="eastAsia" w:cs="Times New Roman"/>
                <w:color w:val="000000" w:themeColor="text1"/>
                <w:sz w:val="24"/>
                <w:szCs w:val="24"/>
                <w:highlight w:val="none"/>
                <w:lang w:val="en-US" w:eastAsia="zh-CN"/>
                <w14:textFill>
                  <w14:solidFill>
                    <w14:schemeClr w14:val="tx1"/>
                  </w14:solidFill>
                </w14:textFill>
              </w:rPr>
              <w:t>9895.11</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/a。</w:t>
            </w:r>
            <w:r>
              <w:rPr>
                <w:rFonts w:hint="eastAsia" w:cs="Times New Roman"/>
                <w:color w:val="000000" w:themeColor="text1"/>
                <w:sz w:val="24"/>
                <w:szCs w:val="24"/>
                <w:highlight w:val="none"/>
                <w:lang w:val="en-US" w:eastAsia="zh-CN"/>
                <w14:textFill>
                  <w14:solidFill>
                    <w14:schemeClr w14:val="tx1"/>
                  </w14:solidFill>
                </w14:textFill>
              </w:rPr>
              <w:t>其中：</w:t>
            </w:r>
          </w:p>
          <w:p w14:paraId="087BE5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①</w:t>
            </w:r>
            <w:r>
              <w:rPr>
                <w:rFonts w:hint="eastAsia" w:cs="Times New Roman"/>
                <w:b/>
                <w:bCs/>
                <w:color w:val="000000" w:themeColor="text1"/>
                <w:sz w:val="24"/>
                <w:szCs w:val="24"/>
                <w:highlight w:val="none"/>
                <w:lang w:val="en-US" w:eastAsia="zh-CN"/>
                <w14:textFill>
                  <w14:solidFill>
                    <w14:schemeClr w14:val="tx1"/>
                  </w14:solidFill>
                </w14:textFill>
              </w:rPr>
              <w:t>循环</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补充用水</w:t>
            </w:r>
          </w:p>
          <w:p w14:paraId="45E18E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本项目前处理线各池体处理方法均采用喷淋处理，喷淋过程产生用水损耗，需要定期补充用水，喷淋水损耗按循环水量的1%计算，本项目各前处理线喷淋补充用水计算见下表。</w:t>
            </w:r>
          </w:p>
          <w:p w14:paraId="25E111E4">
            <w:pPr>
              <w:pageBreakBefore w:val="0"/>
              <w:widowControl w:val="0"/>
              <w:numPr>
                <w:ilvl w:val="0"/>
                <w:numId w:val="10"/>
              </w:numPr>
              <w:wordWrap w:val="0"/>
              <w:overflowPunct/>
              <w:bidi w:val="0"/>
              <w:spacing w:line="240" w:lineRule="auto"/>
              <w:ind w:left="0" w:leftChars="0" w:firstLine="40" w:firstLineChars="0"/>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单条</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前处理线</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循环</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补充用水计算表</w:t>
            </w:r>
          </w:p>
          <w:tbl>
            <w:tblPr>
              <w:tblStyle w:val="44"/>
              <w:tblW w:w="82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1"/>
              <w:gridCol w:w="1155"/>
              <w:gridCol w:w="743"/>
              <w:gridCol w:w="929"/>
              <w:gridCol w:w="920"/>
              <w:gridCol w:w="864"/>
              <w:gridCol w:w="947"/>
              <w:gridCol w:w="1053"/>
              <w:gridCol w:w="1053"/>
            </w:tblGrid>
            <w:tr w14:paraId="66DC2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4" w:hRule="atLeast"/>
                <w:jc w:val="center"/>
              </w:trPr>
              <w:tc>
                <w:tcPr>
                  <w:tcW w:w="571" w:type="dxa"/>
                  <w:tcBorders>
                    <w:top w:val="single" w:color="000000" w:sz="4" w:space="0"/>
                    <w:left w:val="single" w:color="000000" w:sz="4" w:space="0"/>
                    <w:bottom w:val="single" w:color="000000" w:sz="4" w:space="0"/>
                    <w:right w:val="single" w:color="000000" w:sz="4" w:space="0"/>
                  </w:tcBorders>
                  <w:noWrap/>
                  <w:vAlign w:val="center"/>
                </w:tcPr>
                <w:p w14:paraId="5ABC7C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生产线</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636302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工序</w:t>
                  </w:r>
                </w:p>
              </w:tc>
              <w:tc>
                <w:tcPr>
                  <w:tcW w:w="743" w:type="dxa"/>
                  <w:tcBorders>
                    <w:top w:val="single" w:color="000000" w:sz="4" w:space="0"/>
                    <w:left w:val="single" w:color="000000" w:sz="4" w:space="0"/>
                    <w:bottom w:val="single" w:color="000000" w:sz="4" w:space="0"/>
                    <w:right w:val="single" w:color="000000" w:sz="4" w:space="0"/>
                  </w:tcBorders>
                  <w:noWrap w:val="0"/>
                  <w:vAlign w:val="center"/>
                </w:tcPr>
                <w:p w14:paraId="5C8689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水池水量m</w:t>
                  </w:r>
                  <w:r>
                    <w:rPr>
                      <w:rFonts w:hint="default" w:ascii="Times New Roman" w:hAnsi="Times New Roman" w:eastAsia="宋体" w:cs="Times New Roman"/>
                      <w:b/>
                      <w:bCs/>
                      <w:i w:val="0"/>
                      <w:iCs w:val="0"/>
                      <w:color w:val="000000" w:themeColor="text1"/>
                      <w:kern w:val="0"/>
                      <w:sz w:val="21"/>
                      <w:szCs w:val="21"/>
                      <w:highlight w:val="none"/>
                      <w:u w:val="none"/>
                      <w:vertAlign w:val="superscript"/>
                      <w:lang w:val="en-US" w:eastAsia="zh-CN" w:bidi="ar"/>
                      <w14:textFill>
                        <w14:solidFill>
                          <w14:schemeClr w14:val="tx1"/>
                        </w14:solidFill>
                      </w14:textFill>
                    </w:rPr>
                    <w:t>3</w:t>
                  </w:r>
                </w:p>
              </w:tc>
              <w:tc>
                <w:tcPr>
                  <w:tcW w:w="929" w:type="dxa"/>
                  <w:tcBorders>
                    <w:top w:val="single" w:color="000000" w:sz="4" w:space="0"/>
                    <w:left w:val="single" w:color="000000" w:sz="4" w:space="0"/>
                    <w:bottom w:val="single" w:color="000000" w:sz="4" w:space="0"/>
                    <w:right w:val="single" w:color="000000" w:sz="4" w:space="0"/>
                  </w:tcBorders>
                  <w:noWrap/>
                  <w:vAlign w:val="center"/>
                </w:tcPr>
                <w:p w14:paraId="5A96BD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运行时间h</w:t>
                  </w:r>
                </w:p>
              </w:tc>
              <w:tc>
                <w:tcPr>
                  <w:tcW w:w="920" w:type="dxa"/>
                  <w:tcBorders>
                    <w:top w:val="single" w:color="000000" w:sz="4" w:space="0"/>
                    <w:left w:val="single" w:color="000000" w:sz="4" w:space="0"/>
                    <w:bottom w:val="single" w:color="000000" w:sz="4" w:space="0"/>
                    <w:right w:val="single" w:color="000000" w:sz="4" w:space="0"/>
                  </w:tcBorders>
                  <w:noWrap w:val="0"/>
                  <w:vAlign w:val="center"/>
                </w:tcPr>
                <w:p w14:paraId="4DB13E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槽液循环量m</w:t>
                  </w:r>
                  <w:r>
                    <w:rPr>
                      <w:rFonts w:hint="default" w:ascii="Times New Roman" w:hAnsi="Times New Roman" w:eastAsia="宋体" w:cs="Times New Roman"/>
                      <w:b/>
                      <w:bCs/>
                      <w:i w:val="0"/>
                      <w:iCs w:val="0"/>
                      <w:color w:val="000000" w:themeColor="text1"/>
                      <w:kern w:val="0"/>
                      <w:sz w:val="21"/>
                      <w:szCs w:val="21"/>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/h</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3211D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槽液循环量m</w:t>
                  </w:r>
                  <w:r>
                    <w:rPr>
                      <w:rFonts w:hint="default" w:ascii="Times New Roman" w:hAnsi="Times New Roman" w:eastAsia="宋体" w:cs="Times New Roman"/>
                      <w:b/>
                      <w:bCs/>
                      <w:i w:val="0"/>
                      <w:iCs w:val="0"/>
                      <w:color w:val="000000" w:themeColor="text1"/>
                      <w:kern w:val="0"/>
                      <w:sz w:val="21"/>
                      <w:szCs w:val="21"/>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/d</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327C8B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eastAsia" w:cs="Times New Roman"/>
                      <w:b/>
                      <w:bCs/>
                      <w:i w:val="0"/>
                      <w:iCs w:val="0"/>
                      <w:color w:val="000000" w:themeColor="text1"/>
                      <w:kern w:val="0"/>
                      <w:sz w:val="21"/>
                      <w:szCs w:val="21"/>
                      <w:highlight w:val="none"/>
                      <w:u w:val="none"/>
                      <w:lang w:val="en-US" w:eastAsia="zh-CN" w:bidi="ar"/>
                      <w14:textFill>
                        <w14:solidFill>
                          <w14:schemeClr w14:val="tx1"/>
                        </w14:solidFill>
                      </w14:textFill>
                    </w:rPr>
                    <w:t>循环</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补充用水量m</w:t>
                  </w:r>
                  <w:r>
                    <w:rPr>
                      <w:rFonts w:hint="default" w:ascii="Times New Roman" w:hAnsi="Times New Roman" w:eastAsia="宋体" w:cs="Times New Roman"/>
                      <w:b/>
                      <w:bCs/>
                      <w:i w:val="0"/>
                      <w:iCs w:val="0"/>
                      <w:color w:val="000000" w:themeColor="text1"/>
                      <w:kern w:val="0"/>
                      <w:sz w:val="21"/>
                      <w:szCs w:val="21"/>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/a</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3D80DBCF">
                  <w:pPr>
                    <w:keepNext w:val="0"/>
                    <w:keepLines w:val="0"/>
                    <w:widowControl/>
                    <w:suppressLineNumbers w:val="0"/>
                    <w:jc w:val="center"/>
                    <w:textAlignment w:val="center"/>
                    <w:rPr>
                      <w:rFonts w:hint="eastAsia"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工件带出水量m</w:t>
                  </w:r>
                  <w:r>
                    <w:rPr>
                      <w:rFonts w:hint="eastAsia" w:ascii="宋体" w:hAnsi="宋体" w:eastAsia="宋体" w:cs="宋体"/>
                      <w:b/>
                      <w:bCs/>
                      <w:i w:val="0"/>
                      <w:iCs w:val="0"/>
                      <w:color w:val="000000" w:themeColor="text1"/>
                      <w:kern w:val="0"/>
                      <w:sz w:val="21"/>
                      <w:szCs w:val="21"/>
                      <w:u w:val="none"/>
                      <w:vertAlign w:val="superscript"/>
                      <w:lang w:val="en-US" w:eastAsia="zh-CN" w:bidi="ar"/>
                      <w14:textFill>
                        <w14:solidFill>
                          <w14:schemeClr w14:val="tx1"/>
                        </w14:solidFill>
                      </w14:textFill>
                    </w:rPr>
                    <w:t>3</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/a</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45EBD20E">
                  <w:pPr>
                    <w:keepNext w:val="0"/>
                    <w:keepLines w:val="0"/>
                    <w:widowControl/>
                    <w:suppressLineNumbers w:val="0"/>
                    <w:jc w:val="center"/>
                    <w:textAlignment w:val="center"/>
                    <w:rPr>
                      <w:rFonts w:hint="eastAsia"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循环补充新鲜用水量</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m</w:t>
                  </w:r>
                  <w:r>
                    <w:rPr>
                      <w:rFonts w:hint="default" w:ascii="Times New Roman" w:hAnsi="Times New Roman" w:eastAsia="宋体" w:cs="Times New Roman"/>
                      <w:b/>
                      <w:bCs/>
                      <w:i w:val="0"/>
                      <w:iCs w:val="0"/>
                      <w:color w:val="000000" w:themeColor="text1"/>
                      <w:kern w:val="0"/>
                      <w:sz w:val="21"/>
                      <w:szCs w:val="21"/>
                      <w:u w:val="none"/>
                      <w:vertAlign w:val="superscript"/>
                      <w:lang w:val="en-US" w:eastAsia="zh-CN" w:bidi="ar"/>
                      <w14:textFill>
                        <w14:solidFill>
                          <w14:schemeClr w14:val="tx1"/>
                        </w14:solidFill>
                      </w14:textFill>
                    </w:rPr>
                    <w:t>3</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/a</w:t>
                  </w:r>
                </w:p>
              </w:tc>
            </w:tr>
            <w:tr w14:paraId="04A38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571" w:type="dxa"/>
                  <w:vMerge w:val="restart"/>
                  <w:tcBorders>
                    <w:top w:val="single" w:color="000000" w:sz="4" w:space="0"/>
                    <w:left w:val="single" w:color="000000" w:sz="4" w:space="0"/>
                    <w:bottom w:val="single" w:color="000000" w:sz="4" w:space="0"/>
                    <w:right w:val="single" w:color="000000" w:sz="4" w:space="0"/>
                  </w:tcBorders>
                  <w:noWrap/>
                  <w:vAlign w:val="center"/>
                </w:tcPr>
                <w:p w14:paraId="02B8A4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工件表面预处理</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线</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4D06B8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预</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水洗</w:t>
                  </w:r>
                  <w:r>
                    <w:rPr>
                      <w:rFonts w:hint="default" w:ascii="Times New Roman" w:hAnsi="Times New Roman" w:eastAsia="宋体" w:cs="Times New Roman"/>
                      <w:color w:val="000000" w:themeColor="text1"/>
                      <w:sz w:val="21"/>
                      <w:szCs w:val="21"/>
                      <w:highlight w:val="none"/>
                      <w14:textFill>
                        <w14:solidFill>
                          <w14:schemeClr w14:val="tx1"/>
                        </w14:solidFill>
                      </w14:textFill>
                    </w:rPr>
                    <w:t>池</w:t>
                  </w:r>
                </w:p>
              </w:tc>
              <w:tc>
                <w:tcPr>
                  <w:tcW w:w="743" w:type="dxa"/>
                  <w:tcBorders>
                    <w:top w:val="single" w:color="000000" w:sz="4" w:space="0"/>
                    <w:left w:val="single" w:color="000000" w:sz="4" w:space="0"/>
                    <w:bottom w:val="single" w:color="000000" w:sz="4" w:space="0"/>
                    <w:right w:val="single" w:color="000000" w:sz="4" w:space="0"/>
                  </w:tcBorders>
                  <w:noWrap w:val="0"/>
                  <w:vAlign w:val="center"/>
                </w:tcPr>
                <w:p w14:paraId="71FBEB8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3.2</w:t>
                  </w:r>
                </w:p>
              </w:tc>
              <w:tc>
                <w:tcPr>
                  <w:tcW w:w="929" w:type="dxa"/>
                  <w:tcBorders>
                    <w:top w:val="single" w:color="000000" w:sz="4" w:space="0"/>
                    <w:left w:val="single" w:color="000000" w:sz="4" w:space="0"/>
                    <w:bottom w:val="single" w:color="000000" w:sz="4" w:space="0"/>
                    <w:right w:val="single" w:color="000000" w:sz="4" w:space="0"/>
                  </w:tcBorders>
                  <w:noWrap/>
                  <w:vAlign w:val="center"/>
                </w:tcPr>
                <w:p w14:paraId="343FB4F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6D6F2C5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12.8 </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BD297F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102.4 </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60E3370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246.8 </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4434428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110</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2B9BCF0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356.78 </w:t>
                  </w:r>
                </w:p>
              </w:tc>
            </w:tr>
            <w:tr w14:paraId="3DA03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noWrap/>
                  <w:vAlign w:val="center"/>
                </w:tcPr>
                <w:p w14:paraId="507EFF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5CF2F3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预脱脂</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池</w:t>
                  </w:r>
                </w:p>
              </w:tc>
              <w:tc>
                <w:tcPr>
                  <w:tcW w:w="743" w:type="dxa"/>
                  <w:tcBorders>
                    <w:top w:val="single" w:color="000000" w:sz="4" w:space="0"/>
                    <w:left w:val="single" w:color="000000" w:sz="4" w:space="0"/>
                    <w:bottom w:val="single" w:color="000000" w:sz="4" w:space="0"/>
                    <w:right w:val="single" w:color="000000" w:sz="4" w:space="0"/>
                  </w:tcBorders>
                  <w:noWrap w:val="0"/>
                  <w:vAlign w:val="center"/>
                </w:tcPr>
                <w:p w14:paraId="2A04360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11.2</w:t>
                  </w:r>
                </w:p>
              </w:tc>
              <w:tc>
                <w:tcPr>
                  <w:tcW w:w="929" w:type="dxa"/>
                  <w:tcBorders>
                    <w:top w:val="single" w:color="000000" w:sz="4" w:space="0"/>
                    <w:left w:val="single" w:color="000000" w:sz="4" w:space="0"/>
                    <w:bottom w:val="single" w:color="000000" w:sz="4" w:space="0"/>
                    <w:right w:val="single" w:color="000000" w:sz="4" w:space="0"/>
                  </w:tcBorders>
                  <w:noWrap/>
                  <w:vAlign w:val="center"/>
                </w:tcPr>
                <w:p w14:paraId="614A47C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49127CB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44.8 </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64E527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358.4 </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4BBB080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863.7 </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500CD04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110</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6A67AAE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973.74 </w:t>
                  </w:r>
                </w:p>
              </w:tc>
            </w:tr>
            <w:tr w14:paraId="4142C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noWrap/>
                  <w:vAlign w:val="center"/>
                </w:tcPr>
                <w:p w14:paraId="1586E1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4A6564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脱脂</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池</w:t>
                  </w:r>
                </w:p>
              </w:tc>
              <w:tc>
                <w:tcPr>
                  <w:tcW w:w="743" w:type="dxa"/>
                  <w:tcBorders>
                    <w:top w:val="single" w:color="000000" w:sz="4" w:space="0"/>
                    <w:left w:val="single" w:color="000000" w:sz="4" w:space="0"/>
                    <w:bottom w:val="single" w:color="000000" w:sz="4" w:space="0"/>
                    <w:right w:val="single" w:color="000000" w:sz="4" w:space="0"/>
                  </w:tcBorders>
                  <w:noWrap w:val="0"/>
                  <w:vAlign w:val="center"/>
                </w:tcPr>
                <w:p w14:paraId="0D8B987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11.2</w:t>
                  </w:r>
                </w:p>
              </w:tc>
              <w:tc>
                <w:tcPr>
                  <w:tcW w:w="929" w:type="dxa"/>
                  <w:tcBorders>
                    <w:top w:val="single" w:color="000000" w:sz="4" w:space="0"/>
                    <w:left w:val="single" w:color="000000" w:sz="4" w:space="0"/>
                    <w:bottom w:val="single" w:color="000000" w:sz="4" w:space="0"/>
                    <w:right w:val="single" w:color="000000" w:sz="4" w:space="0"/>
                  </w:tcBorders>
                  <w:noWrap/>
                  <w:vAlign w:val="center"/>
                </w:tcPr>
                <w:p w14:paraId="4B9A53B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14A7476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44.8 </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380030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358.4 </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41C5726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863.7 </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5248FE5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110</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1DB5AB0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973.74 </w:t>
                  </w:r>
                </w:p>
              </w:tc>
            </w:tr>
            <w:tr w14:paraId="45FAA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noWrap/>
                  <w:vAlign w:val="center"/>
                </w:tcPr>
                <w:p w14:paraId="00FC0F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29CDBA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1</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水洗池</w:t>
                  </w:r>
                </w:p>
              </w:tc>
              <w:tc>
                <w:tcPr>
                  <w:tcW w:w="743" w:type="dxa"/>
                  <w:tcBorders>
                    <w:top w:val="single" w:color="000000" w:sz="4" w:space="0"/>
                    <w:left w:val="single" w:color="000000" w:sz="4" w:space="0"/>
                    <w:bottom w:val="single" w:color="000000" w:sz="4" w:space="0"/>
                    <w:right w:val="single" w:color="000000" w:sz="4" w:space="0"/>
                  </w:tcBorders>
                  <w:noWrap w:val="0"/>
                  <w:vAlign w:val="center"/>
                </w:tcPr>
                <w:p w14:paraId="4B8FC75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5.6</w:t>
                  </w:r>
                </w:p>
              </w:tc>
              <w:tc>
                <w:tcPr>
                  <w:tcW w:w="929" w:type="dxa"/>
                  <w:tcBorders>
                    <w:top w:val="single" w:color="000000" w:sz="4" w:space="0"/>
                    <w:left w:val="single" w:color="000000" w:sz="4" w:space="0"/>
                    <w:bottom w:val="single" w:color="000000" w:sz="4" w:space="0"/>
                    <w:right w:val="single" w:color="000000" w:sz="4" w:space="0"/>
                  </w:tcBorders>
                  <w:noWrap/>
                  <w:vAlign w:val="center"/>
                </w:tcPr>
                <w:p w14:paraId="5DD2CAB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4117522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22.4 </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2BED8A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179.2 </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07B03A0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431.9 </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650B8B8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110</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2A667E9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w:t>
                  </w:r>
                </w:p>
              </w:tc>
            </w:tr>
            <w:tr w14:paraId="5096E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noWrap/>
                  <w:vAlign w:val="center"/>
                </w:tcPr>
                <w:p w14:paraId="208DD6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4BA36D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水洗池</w:t>
                  </w:r>
                </w:p>
              </w:tc>
              <w:tc>
                <w:tcPr>
                  <w:tcW w:w="743" w:type="dxa"/>
                  <w:tcBorders>
                    <w:top w:val="single" w:color="000000" w:sz="4" w:space="0"/>
                    <w:left w:val="single" w:color="000000" w:sz="4" w:space="0"/>
                    <w:bottom w:val="single" w:color="000000" w:sz="4" w:space="0"/>
                    <w:right w:val="single" w:color="000000" w:sz="4" w:space="0"/>
                  </w:tcBorders>
                  <w:noWrap w:val="0"/>
                  <w:vAlign w:val="center"/>
                </w:tcPr>
                <w:p w14:paraId="2F523FC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5.6</w:t>
                  </w:r>
                </w:p>
              </w:tc>
              <w:tc>
                <w:tcPr>
                  <w:tcW w:w="929" w:type="dxa"/>
                  <w:tcBorders>
                    <w:top w:val="single" w:color="000000" w:sz="4" w:space="0"/>
                    <w:left w:val="single" w:color="000000" w:sz="4" w:space="0"/>
                    <w:bottom w:val="single" w:color="000000" w:sz="4" w:space="0"/>
                    <w:right w:val="single" w:color="000000" w:sz="4" w:space="0"/>
                  </w:tcBorders>
                  <w:noWrap/>
                  <w:vAlign w:val="center"/>
                </w:tcPr>
                <w:p w14:paraId="31886A3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0D37984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22.4 </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CEBA73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179.2 </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189C2B6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431.9 </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4C0E1F0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110</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13BAFC5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w:t>
                  </w:r>
                </w:p>
              </w:tc>
            </w:tr>
            <w:tr w14:paraId="33CC3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noWrap/>
                  <w:vAlign w:val="center"/>
                </w:tcPr>
                <w:p w14:paraId="339C12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7A0170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清</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水洗池</w:t>
                  </w:r>
                </w:p>
              </w:tc>
              <w:tc>
                <w:tcPr>
                  <w:tcW w:w="743" w:type="dxa"/>
                  <w:tcBorders>
                    <w:top w:val="single" w:color="000000" w:sz="4" w:space="0"/>
                    <w:left w:val="single" w:color="000000" w:sz="4" w:space="0"/>
                    <w:bottom w:val="single" w:color="000000" w:sz="4" w:space="0"/>
                    <w:right w:val="single" w:color="000000" w:sz="4" w:space="0"/>
                  </w:tcBorders>
                  <w:noWrap w:val="0"/>
                  <w:vAlign w:val="center"/>
                </w:tcPr>
                <w:p w14:paraId="38F2AF5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1.6</w:t>
                  </w:r>
                </w:p>
              </w:tc>
              <w:tc>
                <w:tcPr>
                  <w:tcW w:w="929" w:type="dxa"/>
                  <w:tcBorders>
                    <w:top w:val="single" w:color="000000" w:sz="4" w:space="0"/>
                    <w:left w:val="single" w:color="000000" w:sz="4" w:space="0"/>
                    <w:bottom w:val="single" w:color="000000" w:sz="4" w:space="0"/>
                    <w:right w:val="single" w:color="000000" w:sz="4" w:space="0"/>
                  </w:tcBorders>
                  <w:noWrap/>
                  <w:vAlign w:val="center"/>
                </w:tcPr>
                <w:p w14:paraId="3D43454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6C5ABCF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6.4 </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0E189D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51.2 </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5D3B76E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123.4 </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4DF507C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110</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6D2E2D6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1317.13</w:t>
                  </w:r>
                </w:p>
              </w:tc>
            </w:tr>
            <w:tr w14:paraId="1D32E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noWrap/>
                  <w:vAlign w:val="center"/>
                </w:tcPr>
                <w:p w14:paraId="20A185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3CF091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无铬钝化池</w:t>
                  </w:r>
                </w:p>
              </w:tc>
              <w:tc>
                <w:tcPr>
                  <w:tcW w:w="743" w:type="dxa"/>
                  <w:tcBorders>
                    <w:top w:val="single" w:color="000000" w:sz="4" w:space="0"/>
                    <w:left w:val="single" w:color="000000" w:sz="4" w:space="0"/>
                    <w:bottom w:val="single" w:color="000000" w:sz="4" w:space="0"/>
                    <w:right w:val="single" w:color="000000" w:sz="4" w:space="0"/>
                  </w:tcBorders>
                  <w:noWrap w:val="0"/>
                  <w:vAlign w:val="center"/>
                </w:tcPr>
                <w:p w14:paraId="027A102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5.6</w:t>
                  </w:r>
                </w:p>
              </w:tc>
              <w:tc>
                <w:tcPr>
                  <w:tcW w:w="929" w:type="dxa"/>
                  <w:tcBorders>
                    <w:top w:val="single" w:color="000000" w:sz="4" w:space="0"/>
                    <w:left w:val="single" w:color="000000" w:sz="4" w:space="0"/>
                    <w:bottom w:val="single" w:color="000000" w:sz="4" w:space="0"/>
                    <w:right w:val="single" w:color="000000" w:sz="4" w:space="0"/>
                  </w:tcBorders>
                  <w:noWrap/>
                  <w:vAlign w:val="center"/>
                </w:tcPr>
                <w:p w14:paraId="60F0F4F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18EDE108">
                  <w:pPr>
                    <w:keepNext w:val="0"/>
                    <w:keepLines w:val="0"/>
                    <w:widowControl/>
                    <w:suppressLineNumbers w:val="0"/>
                    <w:spacing w:line="240" w:lineRule="auto"/>
                    <w:jc w:val="center"/>
                    <w:textAlignment w:val="cente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22.4 </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01EC66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179.2 </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546EC1B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431.9 </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1EA09C4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55</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5287203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486.87 </w:t>
                  </w:r>
                </w:p>
              </w:tc>
            </w:tr>
            <w:tr w14:paraId="132E0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noWrap/>
                  <w:vAlign w:val="center"/>
                </w:tcPr>
                <w:p w14:paraId="0B476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513CD0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水洗池</w:t>
                  </w:r>
                </w:p>
              </w:tc>
              <w:tc>
                <w:tcPr>
                  <w:tcW w:w="743" w:type="dxa"/>
                  <w:tcBorders>
                    <w:top w:val="single" w:color="000000" w:sz="4" w:space="0"/>
                    <w:left w:val="single" w:color="000000" w:sz="4" w:space="0"/>
                    <w:bottom w:val="single" w:color="000000" w:sz="4" w:space="0"/>
                    <w:right w:val="single" w:color="000000" w:sz="4" w:space="0"/>
                  </w:tcBorders>
                  <w:noWrap w:val="0"/>
                  <w:vAlign w:val="center"/>
                </w:tcPr>
                <w:p w14:paraId="4942A82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3.2</w:t>
                  </w:r>
                </w:p>
              </w:tc>
              <w:tc>
                <w:tcPr>
                  <w:tcW w:w="929" w:type="dxa"/>
                  <w:tcBorders>
                    <w:top w:val="single" w:color="000000" w:sz="4" w:space="0"/>
                    <w:left w:val="single" w:color="000000" w:sz="4" w:space="0"/>
                    <w:bottom w:val="single" w:color="000000" w:sz="4" w:space="0"/>
                    <w:right w:val="single" w:color="000000" w:sz="4" w:space="0"/>
                  </w:tcBorders>
                  <w:noWrap/>
                  <w:vAlign w:val="center"/>
                </w:tcPr>
                <w:p w14:paraId="58E4B24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1619F67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12.8 </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44C0BB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102.4 </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41FBE28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246.8 </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080D8C8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55</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6F8EA78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301.78 </w:t>
                  </w:r>
                </w:p>
              </w:tc>
            </w:tr>
            <w:tr w14:paraId="14F09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726" w:type="dxa"/>
                  <w:gridSpan w:val="2"/>
                  <w:tcBorders>
                    <w:top w:val="single" w:color="000000" w:sz="4" w:space="0"/>
                    <w:left w:val="single" w:color="000000" w:sz="4" w:space="0"/>
                    <w:bottom w:val="single" w:color="000000" w:sz="4" w:space="0"/>
                    <w:right w:val="single" w:color="000000" w:sz="4" w:space="0"/>
                  </w:tcBorders>
                  <w:noWrap/>
                  <w:vAlign w:val="center"/>
                </w:tcPr>
                <w:p w14:paraId="4E7425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合计</w:t>
                  </w:r>
                </w:p>
              </w:tc>
              <w:tc>
                <w:tcPr>
                  <w:tcW w:w="743" w:type="dxa"/>
                  <w:tcBorders>
                    <w:top w:val="single" w:color="000000" w:sz="4" w:space="0"/>
                    <w:left w:val="single" w:color="000000" w:sz="4" w:space="0"/>
                    <w:bottom w:val="single" w:color="000000" w:sz="4" w:space="0"/>
                    <w:right w:val="single" w:color="000000" w:sz="4" w:space="0"/>
                  </w:tcBorders>
                  <w:noWrap w:val="0"/>
                  <w:vAlign w:val="center"/>
                </w:tcPr>
                <w:p w14:paraId="581F4F3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47.2</w:t>
                  </w:r>
                </w:p>
              </w:tc>
              <w:tc>
                <w:tcPr>
                  <w:tcW w:w="929" w:type="dxa"/>
                  <w:tcBorders>
                    <w:top w:val="single" w:color="000000" w:sz="4" w:space="0"/>
                    <w:left w:val="single" w:color="000000" w:sz="4" w:space="0"/>
                    <w:bottom w:val="single" w:color="000000" w:sz="4" w:space="0"/>
                    <w:right w:val="single" w:color="000000" w:sz="4" w:space="0"/>
                  </w:tcBorders>
                  <w:noWrap/>
                  <w:vAlign w:val="center"/>
                </w:tcPr>
                <w:p w14:paraId="4779793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65AD57DE">
                  <w:pPr>
                    <w:keepNext w:val="0"/>
                    <w:keepLines w:val="0"/>
                    <w:widowControl/>
                    <w:suppressLineNumbers w:val="0"/>
                    <w:spacing w:line="240" w:lineRule="auto"/>
                    <w:jc w:val="center"/>
                    <w:textAlignment w:val="cente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188.8 </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EA0999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1510.4 </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72C0181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3640.1 </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686AECB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770.0 </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32BEBEC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4410.1 </w:t>
                  </w:r>
                </w:p>
              </w:tc>
            </w:tr>
            <w:tr w14:paraId="0183A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5" w:hRule="atLeast"/>
                <w:jc w:val="center"/>
              </w:trPr>
              <w:tc>
                <w:tcPr>
                  <w:tcW w:w="8235" w:type="dxa"/>
                  <w:gridSpan w:val="9"/>
                  <w:tcBorders>
                    <w:top w:val="single" w:color="000000" w:sz="4" w:space="0"/>
                    <w:left w:val="single" w:color="000000" w:sz="4" w:space="0"/>
                    <w:bottom w:val="single" w:color="000000" w:sz="4" w:space="0"/>
                    <w:right w:val="single" w:color="000000" w:sz="4" w:space="0"/>
                  </w:tcBorders>
                  <w:noWrap/>
                  <w:vAlign w:val="center"/>
                </w:tcPr>
                <w:p w14:paraId="6625FE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default"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备注：</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①</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根据设计资料，槽液每小时循环水量为池体水量的</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4</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倍</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；采用管道循环方式，设置过滤装置。</w:t>
                  </w:r>
                </w:p>
                <w:p w14:paraId="13FACC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default"/>
                      <w:color w:val="000000" w:themeColor="text1"/>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②工件水洗采用三级逆流漂洗工艺，设置 3 座漂洗槽1#水洗池、2#水洗池和清水池；新鲜水从清水洗池补给，漂洗废水逆向逐级溢流，1#水洗池产生高浓度清洗废水外排处理。该工艺可大幅降低清水消耗量，提升污染物去除效率。</w:t>
                  </w:r>
                </w:p>
              </w:tc>
            </w:tr>
          </w:tbl>
          <w:p w14:paraId="7D068E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00" w:lineRule="exact"/>
              <w:ind w:left="0" w:right="0" w:firstLine="480" w:firstLineChars="200"/>
              <w:jc w:val="left"/>
              <w:textAlignment w:val="auto"/>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pPr>
          </w:p>
          <w:p w14:paraId="404705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cs="Times New Roman"/>
                <w:bCs/>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从上表计得</w:t>
            </w:r>
            <w:r>
              <w:rPr>
                <w:rFonts w:hint="eastAsia" w:cs="Times New Roman"/>
                <w:color w:val="000000" w:themeColor="text1"/>
                <w:kern w:val="0"/>
                <w:sz w:val="24"/>
                <w:szCs w:val="24"/>
                <w:highlight w:val="none"/>
                <w:lang w:val="en-US" w:eastAsia="zh-CN" w:bidi="ar"/>
                <w14:textFill>
                  <w14:solidFill>
                    <w14:schemeClr w14:val="tx1"/>
                  </w14:solidFill>
                </w14:textFill>
              </w:rPr>
              <w:t>1条工件表面处理线循环补充新鲜水量为</w:t>
            </w:r>
            <w:r>
              <w:rPr>
                <w:rFonts w:hint="eastAsia" w:cs="Times New Roman"/>
                <w:i w:val="0"/>
                <w:iCs w:val="0"/>
                <w:color w:val="000000" w:themeColor="text1"/>
                <w:kern w:val="0"/>
                <w:sz w:val="24"/>
                <w:szCs w:val="24"/>
                <w:highlight w:val="none"/>
                <w:u w:val="none"/>
                <w:lang w:val="en-US" w:eastAsia="zh-CN" w:bidi="ar"/>
                <w14:textFill>
                  <w14:solidFill>
                    <w14:schemeClr w14:val="tx1"/>
                  </w14:solidFill>
                </w14:textFill>
              </w:rPr>
              <w:t>4410.1</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m</w:t>
            </w:r>
            <w:r>
              <w:rPr>
                <w:rFonts w:hint="default" w:ascii="Times New Roman" w:hAnsi="Times New Roman" w:cs="Times New Roman"/>
                <w:color w:val="000000" w:themeColor="text1"/>
                <w:kern w:val="0"/>
                <w:sz w:val="24"/>
                <w:szCs w:val="24"/>
                <w:highlight w:val="none"/>
                <w:vertAlign w:val="superscript"/>
                <w:lang w:val="en-US" w:eastAsia="zh-CN" w:bidi="ar"/>
                <w14:textFill>
                  <w14:solidFill>
                    <w14:schemeClr w14:val="tx1"/>
                  </w14:solidFill>
                </w14:textFill>
              </w:rPr>
              <w:t>3</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/a</w:t>
            </w:r>
            <w:r>
              <w:rPr>
                <w:rFonts w:hint="eastAsia" w:cs="Times New Roman"/>
                <w:color w:val="000000" w:themeColor="text1"/>
                <w:kern w:val="0"/>
                <w:sz w:val="24"/>
                <w:szCs w:val="24"/>
                <w:highlight w:val="none"/>
                <w:lang w:val="en-US" w:eastAsia="zh-CN" w:bidi="ar"/>
                <w14:textFill>
                  <w14:solidFill>
                    <w14:schemeClr w14:val="tx1"/>
                  </w14:solidFill>
                </w14:textFill>
              </w:rPr>
              <w:t>，2</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条前处理线</w:t>
            </w:r>
            <w:r>
              <w:rPr>
                <w:rFonts w:hint="eastAsia" w:cs="Times New Roman"/>
                <w:color w:val="000000" w:themeColor="text1"/>
                <w:kern w:val="0"/>
                <w:sz w:val="24"/>
                <w:szCs w:val="24"/>
                <w:highlight w:val="none"/>
                <w:lang w:val="en-US" w:eastAsia="zh-CN" w:bidi="ar"/>
                <w14:textFill>
                  <w14:solidFill>
                    <w14:schemeClr w14:val="tx1"/>
                  </w14:solidFill>
                </w14:textFill>
              </w:rPr>
              <w:t>循环</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补充水量为</w:t>
            </w:r>
            <w:r>
              <w:rPr>
                <w:rFonts w:hint="eastAsia" w:cs="Times New Roman"/>
                <w:i w:val="0"/>
                <w:iCs w:val="0"/>
                <w:color w:val="000000" w:themeColor="text1"/>
                <w:kern w:val="0"/>
                <w:sz w:val="24"/>
                <w:szCs w:val="24"/>
                <w:highlight w:val="none"/>
                <w:u w:val="none"/>
                <w:lang w:val="en-US" w:eastAsia="zh-CN" w:bidi="ar"/>
                <w14:textFill>
                  <w14:solidFill>
                    <w14:schemeClr w14:val="tx1"/>
                  </w14:solidFill>
                </w14:textFill>
              </w:rPr>
              <w:t>4410.1</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m</w:t>
            </w:r>
            <w:r>
              <w:rPr>
                <w:rFonts w:hint="default" w:ascii="Times New Roman" w:hAnsi="Times New Roman" w:cs="Times New Roman"/>
                <w:color w:val="000000" w:themeColor="text1"/>
                <w:kern w:val="0"/>
                <w:sz w:val="24"/>
                <w:szCs w:val="24"/>
                <w:highlight w:val="none"/>
                <w:vertAlign w:val="superscript"/>
                <w:lang w:val="en-US" w:eastAsia="zh-CN" w:bidi="ar"/>
                <w14:textFill>
                  <w14:solidFill>
                    <w14:schemeClr w14:val="tx1"/>
                  </w14:solidFill>
                </w14:textFill>
              </w:rPr>
              <w:t>3</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/a</w:t>
            </w:r>
            <w:r>
              <w:rPr>
                <w:rFonts w:hint="eastAsia" w:cs="Times New Roman"/>
                <w:color w:val="000000" w:themeColor="text1"/>
                <w:kern w:val="0"/>
                <w:sz w:val="24"/>
                <w:szCs w:val="24"/>
                <w:highlight w:val="none"/>
                <w:lang w:val="en-US" w:eastAsia="zh-CN" w:bidi="ar"/>
                <w14:textFill>
                  <w14:solidFill>
                    <w14:schemeClr w14:val="tx1"/>
                  </w14:solidFill>
                </w14:textFill>
              </w:rPr>
              <w:t>×2=8820.128</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m</w:t>
            </w:r>
            <w:r>
              <w:rPr>
                <w:rFonts w:hint="default" w:ascii="Times New Roman" w:hAnsi="Times New Roman" w:cs="Times New Roman"/>
                <w:color w:val="000000" w:themeColor="text1"/>
                <w:kern w:val="0"/>
                <w:sz w:val="24"/>
                <w:szCs w:val="24"/>
                <w:highlight w:val="none"/>
                <w:vertAlign w:val="superscript"/>
                <w:lang w:val="en-US" w:eastAsia="zh-CN" w:bidi="ar"/>
                <w14:textFill>
                  <w14:solidFill>
                    <w14:schemeClr w14:val="tx1"/>
                  </w14:solidFill>
                </w14:textFill>
              </w:rPr>
              <w:t>3</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/a。</w:t>
            </w:r>
          </w:p>
        </w:tc>
      </w:tr>
    </w:tbl>
    <w:p w14:paraId="186D9CC2">
      <w:pPr>
        <w:pStyle w:val="41"/>
        <w:jc w:val="center"/>
        <w:rPr>
          <w:rFonts w:ascii="黑体" w:hAnsi="黑体" w:eastAsia="黑体"/>
          <w:snapToGrid w:val="0"/>
          <w:color w:val="000000" w:themeColor="text1"/>
          <w:sz w:val="36"/>
          <w:szCs w:val="36"/>
          <w:highlight w:val="none"/>
          <w14:textFill>
            <w14:solidFill>
              <w14:schemeClr w14:val="tx1"/>
            </w14:solidFill>
          </w14:textFill>
        </w:rPr>
        <w:sectPr>
          <w:pgSz w:w="11906" w:h="16838"/>
          <w:pgMar w:top="1644" w:right="1531" w:bottom="1587"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13335"/>
      </w:tblGrid>
      <w:tr w14:paraId="0B40D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 w:type="dxa"/>
            <w:noWrap w:val="0"/>
            <w:vAlign w:val="top"/>
          </w:tcPr>
          <w:p w14:paraId="363BBAE2">
            <w:pPr>
              <w:pStyle w:val="41"/>
              <w:jc w:val="center"/>
              <w:rPr>
                <w:rFonts w:ascii="黑体" w:hAnsi="黑体" w:eastAsia="黑体"/>
                <w:snapToGrid w:val="0"/>
                <w:color w:val="000000" w:themeColor="text1"/>
                <w:sz w:val="36"/>
                <w:szCs w:val="36"/>
                <w:highlight w:val="none"/>
                <w:vertAlign w:val="baseline"/>
                <w14:textFill>
                  <w14:solidFill>
                    <w14:schemeClr w14:val="tx1"/>
                  </w14:solidFill>
                </w14:textFill>
              </w:rPr>
            </w:pPr>
          </w:p>
        </w:tc>
        <w:tc>
          <w:tcPr>
            <w:tcW w:w="13335" w:type="dxa"/>
            <w:noWrap w:val="0"/>
            <w:vAlign w:val="top"/>
          </w:tcPr>
          <w:p w14:paraId="6E035FA6">
            <w:pPr>
              <w:pStyle w:val="22"/>
              <w:keepNext w:val="0"/>
              <w:keepLines w:val="0"/>
              <w:pageBreakBefore w:val="0"/>
              <w:widowControl w:val="0"/>
              <w:suppressLineNumbers w:val="0"/>
              <w:kinsoku/>
              <w:wordWrap w:val="0"/>
              <w:overflowPunct w:val="0"/>
              <w:topLinePunct w:val="0"/>
              <w:autoSpaceDE/>
              <w:autoSpaceDN/>
              <w:bidi w:val="0"/>
              <w:adjustRightInd/>
              <w:snapToGrid/>
              <w:spacing w:before="0" w:beforeAutospacing="0" w:after="0" w:afterAutospacing="0" w:line="360" w:lineRule="auto"/>
              <w:ind w:left="0" w:leftChars="0" w:right="0" w:firstLine="482" w:firstLineChars="200"/>
              <w:textAlignment w:val="auto"/>
              <w:rPr>
                <w:rFonts w:hint="eastAsia" w:cs="Times New Roman"/>
                <w:color w:val="000000" w:themeColor="text1"/>
                <w:sz w:val="24"/>
                <w:szCs w:val="24"/>
                <w:highlight w:val="none"/>
                <w:lang w:val="en-US" w:eastAsia="zh-CN"/>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②单条前处理线</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整槽更换用水、溢流用水</w:t>
            </w:r>
          </w:p>
          <w:p w14:paraId="13DDC4B6">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预</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脱脂</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池、</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脱脂</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池、水洗池</w:t>
            </w:r>
            <w:r>
              <w:rPr>
                <w:rFonts w:hint="eastAsia" w:cs="Times New Roman"/>
                <w:color w:val="000000" w:themeColor="text1"/>
                <w:sz w:val="24"/>
                <w:szCs w:val="24"/>
                <w:highlight w:val="none"/>
                <w:lang w:val="en-US" w:eastAsia="zh-CN"/>
                <w14:textFill>
                  <w14:solidFill>
                    <w14:schemeClr w14:val="tx1"/>
                  </w14:solidFill>
                </w14:textFill>
              </w:rPr>
              <w:t>1#~3#、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无铬钝化池和</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清水池</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水</w:t>
            </w:r>
            <w:r>
              <w:rPr>
                <w:rFonts w:hint="eastAsia" w:cs="Times New Roman"/>
                <w:color w:val="000000" w:themeColor="text1"/>
                <w:sz w:val="24"/>
                <w:szCs w:val="24"/>
                <w:highlight w:val="none"/>
                <w:lang w:val="en-US" w:eastAsia="zh-CN"/>
                <w14:textFill>
                  <w14:solidFill>
                    <w14:schemeClr w14:val="tx1"/>
                  </w14:solidFill>
                </w14:textFill>
              </w:rPr>
              <w:t>体</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循环使用，并适当补充新鲜水</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药剂，定期整池更换。其中为了保证水洗的清洗效果，水洗池同时采用连续溢流的排水方式，其余的预</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脱脂</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池、</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脱脂</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池、无铬钝化池仅定期整池更换。</w:t>
            </w:r>
          </w:p>
          <w:p w14:paraId="065F4BC3">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项目前处理整槽更换用水、溢流用水</w:t>
            </w:r>
            <w:r>
              <w:rPr>
                <w:rFonts w:hint="eastAsia" w:cs="Times New Roman"/>
                <w:color w:val="000000" w:themeColor="text1"/>
                <w:sz w:val="24"/>
                <w:szCs w:val="24"/>
                <w:highlight w:val="none"/>
                <w:lang w:val="en-US" w:eastAsia="zh-CN"/>
                <w14:textFill>
                  <w14:solidFill>
                    <w14:schemeClr w14:val="tx1"/>
                  </w14:solidFill>
                </w14:textFill>
              </w:rPr>
              <w:t>量</w:t>
            </w:r>
            <w:r>
              <w:rPr>
                <w:rFonts w:hint="default" w:ascii="Times New Roman" w:hAnsi="Times New Roman" w:cs="Times New Roman"/>
                <w:color w:val="000000" w:themeColor="text1"/>
                <w:sz w:val="24"/>
                <w:szCs w:val="24"/>
                <w:highlight w:val="none"/>
                <w14:textFill>
                  <w14:solidFill>
                    <w14:schemeClr w14:val="tx1"/>
                  </w14:solidFill>
                </w14:textFill>
              </w:rPr>
              <w:t>情况详见下表。</w:t>
            </w:r>
          </w:p>
          <w:p w14:paraId="65A6F88B">
            <w:pPr>
              <w:pageBreakBefore w:val="0"/>
              <w:widowControl w:val="0"/>
              <w:numPr>
                <w:ilvl w:val="0"/>
                <w:numId w:val="10"/>
              </w:numPr>
              <w:wordWrap w:val="0"/>
              <w:overflowPunct/>
              <w:bidi w:val="0"/>
              <w:spacing w:line="240" w:lineRule="auto"/>
              <w:ind w:left="0" w:leftChars="0" w:firstLine="40" w:firstLineChars="0"/>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单条前处理线</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整槽更换</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用</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水和溢流</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用</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水一览表 单位t/a</w:t>
            </w:r>
          </w:p>
          <w:tbl>
            <w:tblPr>
              <w:tblStyle w:val="44"/>
              <w:tblW w:w="130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991"/>
              <w:gridCol w:w="623"/>
              <w:gridCol w:w="509"/>
              <w:gridCol w:w="416"/>
              <w:gridCol w:w="417"/>
              <w:gridCol w:w="1036"/>
              <w:gridCol w:w="683"/>
              <w:gridCol w:w="623"/>
              <w:gridCol w:w="1025"/>
              <w:gridCol w:w="991"/>
              <w:gridCol w:w="870"/>
              <w:gridCol w:w="1560"/>
              <w:gridCol w:w="1088"/>
              <w:gridCol w:w="918"/>
              <w:gridCol w:w="918"/>
            </w:tblGrid>
            <w:tr w14:paraId="6BEA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47" w:type="pct"/>
                  <w:vMerge w:val="restart"/>
                  <w:noWrap w:val="0"/>
                  <w:vAlign w:val="center"/>
                </w:tcPr>
                <w:p w14:paraId="196166E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名称</w:t>
                  </w:r>
                </w:p>
              </w:tc>
              <w:tc>
                <w:tcPr>
                  <w:tcW w:w="379" w:type="pct"/>
                  <w:vMerge w:val="restart"/>
                  <w:noWrap w:val="0"/>
                  <w:vAlign w:val="center"/>
                </w:tcPr>
                <w:p w14:paraId="422BCE9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槽体名称</w:t>
                  </w:r>
                </w:p>
              </w:tc>
              <w:tc>
                <w:tcPr>
                  <w:tcW w:w="238" w:type="pct"/>
                  <w:vMerge w:val="restart"/>
                  <w:noWrap w:val="0"/>
                  <w:vAlign w:val="center"/>
                </w:tcPr>
                <w:p w14:paraId="6E44D94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数量</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(个)</w:t>
                  </w:r>
                </w:p>
              </w:tc>
              <w:tc>
                <w:tcPr>
                  <w:tcW w:w="514" w:type="pct"/>
                  <w:gridSpan w:val="3"/>
                  <w:noWrap w:val="0"/>
                  <w:vAlign w:val="center"/>
                </w:tcPr>
                <w:p w14:paraId="0FCF190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尺寸（m）</w:t>
                  </w:r>
                </w:p>
              </w:tc>
              <w:tc>
                <w:tcPr>
                  <w:tcW w:w="396" w:type="pct"/>
                  <w:vMerge w:val="restart"/>
                  <w:noWrap w:val="0"/>
                  <w:vAlign w:val="center"/>
                </w:tcPr>
                <w:p w14:paraId="7B0A0A2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添加药剂名称</w:t>
                  </w:r>
                </w:p>
              </w:tc>
              <w:tc>
                <w:tcPr>
                  <w:tcW w:w="261" w:type="pct"/>
                  <w:vMerge w:val="restart"/>
                  <w:noWrap w:val="0"/>
                  <w:vAlign w:val="center"/>
                </w:tcPr>
                <w:p w14:paraId="4146AAF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槽液量(m³)</w:t>
                  </w:r>
                </w:p>
              </w:tc>
              <w:tc>
                <w:tcPr>
                  <w:tcW w:w="238" w:type="pct"/>
                  <w:vMerge w:val="restart"/>
                  <w:noWrap w:val="0"/>
                  <w:vAlign w:val="center"/>
                </w:tcPr>
                <w:p w14:paraId="08D0CF6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温度(℃)</w:t>
                  </w:r>
                </w:p>
              </w:tc>
              <w:tc>
                <w:tcPr>
                  <w:tcW w:w="772" w:type="pct"/>
                  <w:gridSpan w:val="2"/>
                  <w:noWrap w:val="0"/>
                  <w:vAlign w:val="center"/>
                </w:tcPr>
                <w:p w14:paraId="71451EA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lang w:val="en-US" w:eastAsia="zh-CN"/>
                      <w14:textFill>
                        <w14:solidFill>
                          <w14:schemeClr w14:val="tx1"/>
                        </w14:solidFill>
                      </w14:textFill>
                    </w:rPr>
                  </w:pPr>
                  <w:r>
                    <w:rPr>
                      <w:rFonts w:hint="eastAsia" w:cs="Times New Roman"/>
                      <w:b/>
                      <w:bCs/>
                      <w:i w:val="0"/>
                      <w:iCs w:val="0"/>
                      <w:color w:val="000000" w:themeColor="text1"/>
                      <w:sz w:val="21"/>
                      <w:szCs w:val="21"/>
                      <w:highlight w:val="none"/>
                      <w:u w:val="none"/>
                      <w:lang w:val="en-US" w:eastAsia="zh-CN"/>
                      <w14:textFill>
                        <w14:solidFill>
                          <w14:schemeClr w14:val="tx1"/>
                        </w14:solidFill>
                      </w14:textFill>
                    </w:rPr>
                    <w:t>设计参数</w:t>
                  </w:r>
                </w:p>
              </w:tc>
              <w:tc>
                <w:tcPr>
                  <w:tcW w:w="333" w:type="pct"/>
                  <w:vMerge w:val="restart"/>
                  <w:noWrap w:val="0"/>
                  <w:vAlign w:val="center"/>
                </w:tcPr>
                <w:p w14:paraId="14B377F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排水方式</w:t>
                  </w:r>
                </w:p>
              </w:tc>
              <w:tc>
                <w:tcPr>
                  <w:tcW w:w="597" w:type="pct"/>
                  <w:vMerge w:val="restart"/>
                  <w:noWrap w:val="0"/>
                  <w:vAlign w:val="center"/>
                </w:tcPr>
                <w:p w14:paraId="2E9A811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更换频率</w:t>
                  </w:r>
                </w:p>
              </w:tc>
              <w:tc>
                <w:tcPr>
                  <w:tcW w:w="416" w:type="pct"/>
                  <w:vMerge w:val="restart"/>
                  <w:noWrap w:val="0"/>
                  <w:vAlign w:val="center"/>
                </w:tcPr>
                <w:p w14:paraId="4B1A10C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整槽更换用水量(m³/a)</w:t>
                  </w:r>
                </w:p>
              </w:tc>
              <w:tc>
                <w:tcPr>
                  <w:tcW w:w="351" w:type="pct"/>
                  <w:vMerge w:val="restart"/>
                  <w:noWrap w:val="0"/>
                  <w:vAlign w:val="center"/>
                </w:tcPr>
                <w:p w14:paraId="7C4140A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溢流</w:t>
                  </w:r>
                  <w:r>
                    <w:rPr>
                      <w:rFonts w:hint="eastAsia" w:cs="Times New Roman"/>
                      <w:b/>
                      <w:bCs/>
                      <w:i w:val="0"/>
                      <w:iCs w:val="0"/>
                      <w:color w:val="000000" w:themeColor="text1"/>
                      <w:kern w:val="0"/>
                      <w:sz w:val="21"/>
                      <w:szCs w:val="21"/>
                      <w:highlight w:val="none"/>
                      <w:u w:val="none"/>
                      <w:lang w:val="en-US" w:eastAsia="zh-CN" w:bidi="ar"/>
                      <w14:textFill>
                        <w14:solidFill>
                          <w14:schemeClr w14:val="tx1"/>
                        </w14:solidFill>
                      </w14:textFill>
                    </w:rPr>
                    <w:t>用</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水量(m³/</w:t>
                  </w:r>
                  <w:r>
                    <w:rPr>
                      <w:rFonts w:hint="eastAsia" w:cs="Times New Roman"/>
                      <w:b/>
                      <w:bCs/>
                      <w:i w:val="0"/>
                      <w:iCs w:val="0"/>
                      <w:color w:val="000000" w:themeColor="text1"/>
                      <w:kern w:val="0"/>
                      <w:sz w:val="21"/>
                      <w:szCs w:val="21"/>
                      <w:highlight w:val="none"/>
                      <w:u w:val="none"/>
                      <w:lang w:val="en-US" w:eastAsia="zh-CN" w:bidi="ar"/>
                      <w14:textFill>
                        <w14:solidFill>
                          <w14:schemeClr w14:val="tx1"/>
                        </w14:solidFill>
                      </w14:textFill>
                    </w:rPr>
                    <w:t>a</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w:t>
                  </w:r>
                </w:p>
              </w:tc>
              <w:tc>
                <w:tcPr>
                  <w:tcW w:w="351" w:type="pct"/>
                  <w:vMerge w:val="restart"/>
                  <w:noWrap w:val="0"/>
                  <w:vAlign w:val="center"/>
                </w:tcPr>
                <w:p w14:paraId="3E3A9A0F">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溢流排水量(m³/a)</w:t>
                  </w:r>
                </w:p>
              </w:tc>
            </w:tr>
            <w:tr w14:paraId="1F2A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47" w:type="pct"/>
                  <w:vMerge w:val="continue"/>
                  <w:noWrap w:val="0"/>
                  <w:vAlign w:val="center"/>
                </w:tcPr>
                <w:p w14:paraId="2A120EE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p>
              </w:tc>
              <w:tc>
                <w:tcPr>
                  <w:tcW w:w="379" w:type="pct"/>
                  <w:vMerge w:val="continue"/>
                  <w:noWrap w:val="0"/>
                  <w:vAlign w:val="center"/>
                </w:tcPr>
                <w:p w14:paraId="3CD9A9E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p>
              </w:tc>
              <w:tc>
                <w:tcPr>
                  <w:tcW w:w="238" w:type="pct"/>
                  <w:vMerge w:val="continue"/>
                  <w:noWrap w:val="0"/>
                  <w:vAlign w:val="center"/>
                </w:tcPr>
                <w:p w14:paraId="583FF4A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p>
              </w:tc>
              <w:tc>
                <w:tcPr>
                  <w:tcW w:w="194" w:type="pct"/>
                  <w:noWrap w:val="0"/>
                  <w:vAlign w:val="center"/>
                </w:tcPr>
                <w:p w14:paraId="2A02105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长</w:t>
                  </w:r>
                </w:p>
              </w:tc>
              <w:tc>
                <w:tcPr>
                  <w:tcW w:w="159" w:type="pct"/>
                  <w:noWrap w:val="0"/>
                  <w:vAlign w:val="center"/>
                </w:tcPr>
                <w:p w14:paraId="37BFC54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宽</w:t>
                  </w:r>
                </w:p>
              </w:tc>
              <w:tc>
                <w:tcPr>
                  <w:tcW w:w="159" w:type="pct"/>
                  <w:noWrap w:val="0"/>
                  <w:vAlign w:val="center"/>
                </w:tcPr>
                <w:p w14:paraId="5D94E3F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深</w:t>
                  </w:r>
                </w:p>
              </w:tc>
              <w:tc>
                <w:tcPr>
                  <w:tcW w:w="396" w:type="pct"/>
                  <w:vMerge w:val="continue"/>
                  <w:noWrap w:val="0"/>
                  <w:vAlign w:val="center"/>
                </w:tcPr>
                <w:p w14:paraId="7C62157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p>
              </w:tc>
              <w:tc>
                <w:tcPr>
                  <w:tcW w:w="261" w:type="pct"/>
                  <w:vMerge w:val="continue"/>
                  <w:noWrap w:val="0"/>
                  <w:vAlign w:val="center"/>
                </w:tcPr>
                <w:p w14:paraId="6342C8A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p>
              </w:tc>
              <w:tc>
                <w:tcPr>
                  <w:tcW w:w="238" w:type="pct"/>
                  <w:vMerge w:val="continue"/>
                  <w:noWrap w:val="0"/>
                  <w:vAlign w:val="center"/>
                </w:tcPr>
                <w:p w14:paraId="58B060D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p>
              </w:tc>
              <w:tc>
                <w:tcPr>
                  <w:tcW w:w="392" w:type="pct"/>
                  <w:noWrap w:val="0"/>
                  <w:vAlign w:val="center"/>
                </w:tcPr>
                <w:p w14:paraId="1E67B19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溢流速度(L/min)</w:t>
                  </w:r>
                </w:p>
              </w:tc>
              <w:tc>
                <w:tcPr>
                  <w:tcW w:w="379" w:type="pct"/>
                  <w:noWrap w:val="0"/>
                  <w:vAlign w:val="center"/>
                </w:tcPr>
                <w:p w14:paraId="5326191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溢流用水量(m³/d)</w:t>
                  </w:r>
                </w:p>
              </w:tc>
              <w:tc>
                <w:tcPr>
                  <w:tcW w:w="333" w:type="pct"/>
                  <w:vMerge w:val="continue"/>
                  <w:noWrap w:val="0"/>
                  <w:vAlign w:val="center"/>
                </w:tcPr>
                <w:p w14:paraId="7A9B10D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p>
              </w:tc>
              <w:tc>
                <w:tcPr>
                  <w:tcW w:w="597" w:type="pct"/>
                  <w:vMerge w:val="continue"/>
                  <w:noWrap w:val="0"/>
                  <w:vAlign w:val="center"/>
                </w:tcPr>
                <w:p w14:paraId="5550A40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p>
              </w:tc>
              <w:tc>
                <w:tcPr>
                  <w:tcW w:w="416" w:type="pct"/>
                  <w:vMerge w:val="continue"/>
                  <w:noWrap w:val="0"/>
                  <w:vAlign w:val="center"/>
                </w:tcPr>
                <w:p w14:paraId="1A37DEF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p>
              </w:tc>
              <w:tc>
                <w:tcPr>
                  <w:tcW w:w="351" w:type="pct"/>
                  <w:vMerge w:val="continue"/>
                  <w:noWrap w:val="0"/>
                  <w:vAlign w:val="center"/>
                </w:tcPr>
                <w:p w14:paraId="1FEE1DF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p>
              </w:tc>
              <w:tc>
                <w:tcPr>
                  <w:tcW w:w="351" w:type="pct"/>
                  <w:vMerge w:val="continue"/>
                  <w:noWrap w:val="0"/>
                  <w:vAlign w:val="center"/>
                </w:tcPr>
                <w:p w14:paraId="71BB2C5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p>
              </w:tc>
            </w:tr>
            <w:tr w14:paraId="083C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47" w:type="pct"/>
                  <w:vMerge w:val="restart"/>
                  <w:noWrap w:val="0"/>
                  <w:vAlign w:val="center"/>
                </w:tcPr>
                <w:p w14:paraId="423DD8E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工件表面预处理</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线</w:t>
                  </w:r>
                </w:p>
              </w:tc>
              <w:tc>
                <w:tcPr>
                  <w:tcW w:w="379" w:type="pct"/>
                  <w:noWrap w:val="0"/>
                  <w:vAlign w:val="center"/>
                </w:tcPr>
                <w:p w14:paraId="78DF6E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预</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水洗</w:t>
                  </w:r>
                  <w:r>
                    <w:rPr>
                      <w:rFonts w:hint="default" w:ascii="Times New Roman" w:hAnsi="Times New Roman" w:eastAsia="宋体" w:cs="Times New Roman"/>
                      <w:color w:val="000000" w:themeColor="text1"/>
                      <w:sz w:val="21"/>
                      <w:szCs w:val="21"/>
                      <w:highlight w:val="none"/>
                      <w14:textFill>
                        <w14:solidFill>
                          <w14:schemeClr w14:val="tx1"/>
                        </w14:solidFill>
                      </w14:textFill>
                    </w:rPr>
                    <w:t>池</w:t>
                  </w:r>
                </w:p>
              </w:tc>
              <w:tc>
                <w:tcPr>
                  <w:tcW w:w="238" w:type="pct"/>
                  <w:noWrap w:val="0"/>
                  <w:vAlign w:val="center"/>
                </w:tcPr>
                <w:p w14:paraId="709C020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94" w:type="pct"/>
                  <w:noWrap w:val="0"/>
                  <w:vAlign w:val="center"/>
                </w:tcPr>
                <w:p w14:paraId="3ED9BACB">
                  <w:pPr>
                    <w:adjustRightInd w:val="0"/>
                    <w:snapToGrid w:val="0"/>
                    <w:spacing w:line="240" w:lineRule="auto"/>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2</w:t>
                  </w:r>
                </w:p>
              </w:tc>
              <w:tc>
                <w:tcPr>
                  <w:tcW w:w="159" w:type="pct"/>
                  <w:noWrap w:val="0"/>
                  <w:vAlign w:val="center"/>
                </w:tcPr>
                <w:p w14:paraId="5FD0A362">
                  <w:pPr>
                    <w:adjustRightInd w:val="0"/>
                    <w:snapToGrid w:val="0"/>
                    <w:spacing w:line="240" w:lineRule="auto"/>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w:t>
                  </w:r>
                </w:p>
              </w:tc>
              <w:tc>
                <w:tcPr>
                  <w:tcW w:w="159" w:type="pct"/>
                  <w:noWrap w:val="0"/>
                  <w:vAlign w:val="center"/>
                </w:tcPr>
                <w:p w14:paraId="2AEA2CC5">
                  <w:pPr>
                    <w:adjustRightInd w:val="0"/>
                    <w:snapToGrid w:val="0"/>
                    <w:spacing w:line="240" w:lineRule="auto"/>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p>
              </w:tc>
              <w:tc>
                <w:tcPr>
                  <w:tcW w:w="396" w:type="pct"/>
                  <w:noWrap w:val="0"/>
                  <w:vAlign w:val="center"/>
                </w:tcPr>
                <w:p w14:paraId="3C43D9D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261" w:type="pct"/>
                  <w:noWrap w:val="0"/>
                  <w:vAlign w:val="center"/>
                </w:tcPr>
                <w:p w14:paraId="2B9C79C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3.2</w:t>
                  </w:r>
                </w:p>
              </w:tc>
              <w:tc>
                <w:tcPr>
                  <w:tcW w:w="238" w:type="pct"/>
                  <w:noWrap w:val="0"/>
                  <w:vAlign w:val="center"/>
                </w:tcPr>
                <w:p w14:paraId="4E67677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常温</w:t>
                  </w:r>
                </w:p>
              </w:tc>
              <w:tc>
                <w:tcPr>
                  <w:tcW w:w="392" w:type="pct"/>
                  <w:noWrap w:val="0"/>
                  <w:vAlign w:val="center"/>
                </w:tcPr>
                <w:p w14:paraId="4E28918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379" w:type="pct"/>
                  <w:noWrap w:val="0"/>
                  <w:vAlign w:val="center"/>
                </w:tcPr>
                <w:p w14:paraId="5E11BE7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7.2</w:t>
                  </w:r>
                </w:p>
              </w:tc>
              <w:tc>
                <w:tcPr>
                  <w:tcW w:w="333" w:type="pct"/>
                  <w:noWrap w:val="0"/>
                  <w:vAlign w:val="center"/>
                </w:tcPr>
                <w:p w14:paraId="7B7BE71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连续溢流</w:t>
                  </w:r>
                </w:p>
              </w:tc>
              <w:tc>
                <w:tcPr>
                  <w:tcW w:w="597" w:type="pct"/>
                  <w:noWrap w:val="0"/>
                  <w:vAlign w:val="center"/>
                </w:tcPr>
                <w:p w14:paraId="418FBD0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整槽更换槽液，每月一次</w:t>
                  </w:r>
                </w:p>
              </w:tc>
              <w:tc>
                <w:tcPr>
                  <w:tcW w:w="416" w:type="pct"/>
                  <w:noWrap/>
                  <w:vAlign w:val="center"/>
                </w:tcPr>
                <w:p w14:paraId="3881802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38.4</w:t>
                  </w:r>
                </w:p>
              </w:tc>
              <w:tc>
                <w:tcPr>
                  <w:tcW w:w="351" w:type="pct"/>
                  <w:noWrap w:val="0"/>
                  <w:vAlign w:val="center"/>
                </w:tcPr>
                <w:p w14:paraId="1A96C02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1735.2</w:t>
                  </w:r>
                </w:p>
              </w:tc>
              <w:tc>
                <w:tcPr>
                  <w:tcW w:w="918" w:type="dxa"/>
                  <w:noWrap w:val="0"/>
                  <w:vAlign w:val="center"/>
                </w:tcPr>
                <w:p w14:paraId="45B5786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1735.2</w:t>
                  </w:r>
                </w:p>
              </w:tc>
            </w:tr>
            <w:tr w14:paraId="7CD14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47" w:type="pct"/>
                  <w:vMerge w:val="continue"/>
                  <w:noWrap w:val="0"/>
                  <w:vAlign w:val="center"/>
                </w:tcPr>
                <w:p w14:paraId="6ED9983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379" w:type="pct"/>
                  <w:noWrap w:val="0"/>
                  <w:vAlign w:val="center"/>
                </w:tcPr>
                <w:p w14:paraId="7CC45B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预脱脂</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池</w:t>
                  </w:r>
                </w:p>
              </w:tc>
              <w:tc>
                <w:tcPr>
                  <w:tcW w:w="238" w:type="pct"/>
                  <w:noWrap w:val="0"/>
                  <w:vAlign w:val="center"/>
                </w:tcPr>
                <w:p w14:paraId="12ED8EF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94" w:type="pct"/>
                  <w:noWrap w:val="0"/>
                  <w:vAlign w:val="center"/>
                </w:tcPr>
                <w:p w14:paraId="7F83A796">
                  <w:pPr>
                    <w:adjustRightInd w:val="0"/>
                    <w:snapToGrid w:val="0"/>
                    <w:spacing w:line="240" w:lineRule="auto"/>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7</w:t>
                  </w:r>
                </w:p>
              </w:tc>
              <w:tc>
                <w:tcPr>
                  <w:tcW w:w="159" w:type="pct"/>
                  <w:noWrap w:val="0"/>
                  <w:vAlign w:val="center"/>
                </w:tcPr>
                <w:p w14:paraId="3090435C">
                  <w:pPr>
                    <w:adjustRightInd w:val="0"/>
                    <w:snapToGrid w:val="0"/>
                    <w:spacing w:line="240" w:lineRule="auto"/>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w:t>
                  </w:r>
                </w:p>
              </w:tc>
              <w:tc>
                <w:tcPr>
                  <w:tcW w:w="159" w:type="pct"/>
                  <w:noWrap w:val="0"/>
                  <w:vAlign w:val="center"/>
                </w:tcPr>
                <w:p w14:paraId="6FB44B15">
                  <w:pPr>
                    <w:adjustRightInd w:val="0"/>
                    <w:snapToGrid w:val="0"/>
                    <w:spacing w:line="240" w:lineRule="auto"/>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p>
              </w:tc>
              <w:tc>
                <w:tcPr>
                  <w:tcW w:w="396" w:type="pct"/>
                  <w:noWrap w:val="0"/>
                  <w:vAlign w:val="center"/>
                </w:tcPr>
                <w:p w14:paraId="006CFC4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除油</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剂</w:t>
                  </w:r>
                </w:p>
              </w:tc>
              <w:tc>
                <w:tcPr>
                  <w:tcW w:w="261" w:type="pct"/>
                  <w:noWrap w:val="0"/>
                  <w:vAlign w:val="center"/>
                </w:tcPr>
                <w:p w14:paraId="39840E3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11.2</w:t>
                  </w:r>
                </w:p>
              </w:tc>
              <w:tc>
                <w:tcPr>
                  <w:tcW w:w="238" w:type="pct"/>
                  <w:noWrap w:val="0"/>
                  <w:vAlign w:val="center"/>
                </w:tcPr>
                <w:p w14:paraId="4FE418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50</w:t>
                  </w:r>
                </w:p>
              </w:tc>
              <w:tc>
                <w:tcPr>
                  <w:tcW w:w="392" w:type="pct"/>
                  <w:noWrap w:val="0"/>
                  <w:vAlign w:val="center"/>
                </w:tcPr>
                <w:p w14:paraId="4F40EB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379" w:type="pct"/>
                  <w:noWrap w:val="0"/>
                  <w:vAlign w:val="center"/>
                </w:tcPr>
                <w:p w14:paraId="303F95C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333" w:type="pct"/>
                  <w:noWrap w:val="0"/>
                  <w:vAlign w:val="center"/>
                </w:tcPr>
                <w:p w14:paraId="32E4BD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597" w:type="pct"/>
                  <w:noWrap w:val="0"/>
                  <w:vAlign w:val="center"/>
                </w:tcPr>
                <w:p w14:paraId="3D6B14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整槽更换槽液，每季度一次</w:t>
                  </w:r>
                </w:p>
              </w:tc>
              <w:tc>
                <w:tcPr>
                  <w:tcW w:w="416" w:type="pct"/>
                  <w:noWrap/>
                  <w:vAlign w:val="center"/>
                </w:tcPr>
                <w:p w14:paraId="266F501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44.8</w:t>
                  </w:r>
                </w:p>
              </w:tc>
              <w:tc>
                <w:tcPr>
                  <w:tcW w:w="351" w:type="pct"/>
                  <w:noWrap w:val="0"/>
                  <w:vAlign w:val="center"/>
                </w:tcPr>
                <w:p w14:paraId="390A932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918" w:type="dxa"/>
                  <w:noWrap w:val="0"/>
                  <w:vAlign w:val="center"/>
                </w:tcPr>
                <w:p w14:paraId="253B56E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69A2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47" w:type="pct"/>
                  <w:vMerge w:val="continue"/>
                  <w:noWrap w:val="0"/>
                  <w:vAlign w:val="center"/>
                </w:tcPr>
                <w:p w14:paraId="0E8C4EE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379" w:type="pct"/>
                  <w:noWrap w:val="0"/>
                  <w:vAlign w:val="center"/>
                </w:tcPr>
                <w:p w14:paraId="26C7D3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脱脂</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池</w:t>
                  </w:r>
                </w:p>
              </w:tc>
              <w:tc>
                <w:tcPr>
                  <w:tcW w:w="238" w:type="pct"/>
                  <w:noWrap w:val="0"/>
                  <w:vAlign w:val="center"/>
                </w:tcPr>
                <w:p w14:paraId="452BFEF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94" w:type="pct"/>
                  <w:noWrap w:val="0"/>
                  <w:vAlign w:val="center"/>
                </w:tcPr>
                <w:p w14:paraId="01F641E2">
                  <w:pPr>
                    <w:adjustRightInd w:val="0"/>
                    <w:snapToGrid w:val="0"/>
                    <w:spacing w:line="240" w:lineRule="auto"/>
                    <w:jc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7</w:t>
                  </w:r>
                </w:p>
              </w:tc>
              <w:tc>
                <w:tcPr>
                  <w:tcW w:w="159" w:type="pct"/>
                  <w:noWrap w:val="0"/>
                  <w:vAlign w:val="center"/>
                </w:tcPr>
                <w:p w14:paraId="05590B11">
                  <w:pPr>
                    <w:adjustRightInd w:val="0"/>
                    <w:snapToGrid w:val="0"/>
                    <w:spacing w:line="240" w:lineRule="auto"/>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w:t>
                  </w:r>
                </w:p>
              </w:tc>
              <w:tc>
                <w:tcPr>
                  <w:tcW w:w="159" w:type="pct"/>
                  <w:noWrap w:val="0"/>
                  <w:vAlign w:val="center"/>
                </w:tcPr>
                <w:p w14:paraId="2448C401">
                  <w:pPr>
                    <w:adjustRightInd w:val="0"/>
                    <w:snapToGrid w:val="0"/>
                    <w:spacing w:line="240" w:lineRule="auto"/>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p>
              </w:tc>
              <w:tc>
                <w:tcPr>
                  <w:tcW w:w="396" w:type="pct"/>
                  <w:noWrap w:val="0"/>
                  <w:vAlign w:val="center"/>
                </w:tcPr>
                <w:p w14:paraId="4766F69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除油</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剂</w:t>
                  </w:r>
                </w:p>
              </w:tc>
              <w:tc>
                <w:tcPr>
                  <w:tcW w:w="261" w:type="pct"/>
                  <w:noWrap w:val="0"/>
                  <w:vAlign w:val="center"/>
                </w:tcPr>
                <w:p w14:paraId="5F26B54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11.2</w:t>
                  </w:r>
                </w:p>
              </w:tc>
              <w:tc>
                <w:tcPr>
                  <w:tcW w:w="238" w:type="pct"/>
                  <w:noWrap w:val="0"/>
                  <w:vAlign w:val="center"/>
                </w:tcPr>
                <w:p w14:paraId="49FF06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50</w:t>
                  </w:r>
                </w:p>
              </w:tc>
              <w:tc>
                <w:tcPr>
                  <w:tcW w:w="392" w:type="pct"/>
                  <w:noWrap w:val="0"/>
                  <w:vAlign w:val="center"/>
                </w:tcPr>
                <w:p w14:paraId="6548FC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379" w:type="pct"/>
                  <w:noWrap w:val="0"/>
                  <w:vAlign w:val="center"/>
                </w:tcPr>
                <w:p w14:paraId="383E1E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333" w:type="pct"/>
                  <w:noWrap w:val="0"/>
                  <w:vAlign w:val="center"/>
                </w:tcPr>
                <w:p w14:paraId="38FCC83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597" w:type="pct"/>
                  <w:noWrap w:val="0"/>
                  <w:vAlign w:val="center"/>
                </w:tcPr>
                <w:p w14:paraId="2289E60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整槽更换槽液，每季度一次</w:t>
                  </w:r>
                </w:p>
              </w:tc>
              <w:tc>
                <w:tcPr>
                  <w:tcW w:w="416" w:type="pct"/>
                  <w:noWrap/>
                  <w:vAlign w:val="center"/>
                </w:tcPr>
                <w:p w14:paraId="6E71DD7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44.8</w:t>
                  </w:r>
                </w:p>
              </w:tc>
              <w:tc>
                <w:tcPr>
                  <w:tcW w:w="351" w:type="pct"/>
                  <w:noWrap w:val="0"/>
                  <w:vAlign w:val="center"/>
                </w:tcPr>
                <w:p w14:paraId="381200A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918" w:type="dxa"/>
                  <w:noWrap w:val="0"/>
                  <w:vAlign w:val="center"/>
                </w:tcPr>
                <w:p w14:paraId="5217578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67E1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47" w:type="pct"/>
                  <w:vMerge w:val="continue"/>
                  <w:noWrap w:val="0"/>
                  <w:vAlign w:val="center"/>
                </w:tcPr>
                <w:p w14:paraId="3C16C7D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379" w:type="pct"/>
                  <w:noWrap w:val="0"/>
                  <w:vAlign w:val="center"/>
                </w:tcPr>
                <w:p w14:paraId="7AF61A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1</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水洗池</w:t>
                  </w:r>
                </w:p>
              </w:tc>
              <w:tc>
                <w:tcPr>
                  <w:tcW w:w="238" w:type="pct"/>
                  <w:noWrap w:val="0"/>
                  <w:vAlign w:val="center"/>
                </w:tcPr>
                <w:p w14:paraId="0B15CA6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94" w:type="pct"/>
                  <w:noWrap w:val="0"/>
                  <w:vAlign w:val="center"/>
                </w:tcPr>
                <w:p w14:paraId="71DD4A3A">
                  <w:pPr>
                    <w:adjustRightInd w:val="0"/>
                    <w:snapToGrid w:val="0"/>
                    <w:spacing w:line="240" w:lineRule="auto"/>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3</w:t>
                  </w:r>
                  <w:r>
                    <w:rPr>
                      <w:rFonts w:hint="eastAsia" w:cs="Times New Roman"/>
                      <w:color w:val="000000" w:themeColor="text1"/>
                      <w:kern w:val="0"/>
                      <w:sz w:val="21"/>
                      <w:szCs w:val="21"/>
                      <w:highlight w:val="none"/>
                      <w:lang w:val="en-US" w:eastAsia="zh-CN" w:bidi="ar"/>
                      <w14:textFill>
                        <w14:solidFill>
                          <w14:schemeClr w14:val="tx1"/>
                        </w14:solidFill>
                      </w14:textFill>
                    </w:rPr>
                    <w:t>.5</w:t>
                  </w:r>
                </w:p>
              </w:tc>
              <w:tc>
                <w:tcPr>
                  <w:tcW w:w="159" w:type="pct"/>
                  <w:noWrap w:val="0"/>
                  <w:vAlign w:val="center"/>
                </w:tcPr>
                <w:p w14:paraId="4DE54437">
                  <w:pPr>
                    <w:adjustRightInd w:val="0"/>
                    <w:snapToGrid w:val="0"/>
                    <w:spacing w:line="240" w:lineRule="auto"/>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w:t>
                  </w:r>
                </w:p>
              </w:tc>
              <w:tc>
                <w:tcPr>
                  <w:tcW w:w="159" w:type="pct"/>
                  <w:noWrap w:val="0"/>
                  <w:vAlign w:val="center"/>
                </w:tcPr>
                <w:p w14:paraId="7FF71986">
                  <w:pPr>
                    <w:adjustRightInd w:val="0"/>
                    <w:snapToGrid w:val="0"/>
                    <w:spacing w:line="240" w:lineRule="auto"/>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p>
              </w:tc>
              <w:tc>
                <w:tcPr>
                  <w:tcW w:w="396" w:type="pct"/>
                  <w:noWrap w:val="0"/>
                  <w:vAlign w:val="center"/>
                </w:tcPr>
                <w:p w14:paraId="408315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261" w:type="pct"/>
                  <w:noWrap w:val="0"/>
                  <w:vAlign w:val="center"/>
                </w:tcPr>
                <w:p w14:paraId="4C0EFE6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5.6</w:t>
                  </w:r>
                </w:p>
              </w:tc>
              <w:tc>
                <w:tcPr>
                  <w:tcW w:w="238" w:type="pct"/>
                  <w:noWrap w:val="0"/>
                  <w:vAlign w:val="center"/>
                </w:tcPr>
                <w:p w14:paraId="3E61881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常温</w:t>
                  </w:r>
                </w:p>
              </w:tc>
              <w:tc>
                <w:tcPr>
                  <w:tcW w:w="392" w:type="pct"/>
                  <w:noWrap w:val="0"/>
                  <w:vAlign w:val="center"/>
                </w:tcPr>
                <w:p w14:paraId="389674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379" w:type="pct"/>
                  <w:noWrap w:val="0"/>
                  <w:vAlign w:val="center"/>
                </w:tcPr>
                <w:p w14:paraId="386A4FA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7.2</w:t>
                  </w:r>
                </w:p>
              </w:tc>
              <w:tc>
                <w:tcPr>
                  <w:tcW w:w="333" w:type="pct"/>
                  <w:noWrap w:val="0"/>
                  <w:vAlign w:val="center"/>
                </w:tcPr>
                <w:p w14:paraId="47B95E6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连续溢流</w:t>
                  </w:r>
                </w:p>
              </w:tc>
              <w:tc>
                <w:tcPr>
                  <w:tcW w:w="597" w:type="pct"/>
                  <w:noWrap w:val="0"/>
                  <w:vAlign w:val="center"/>
                </w:tcPr>
                <w:p w14:paraId="22DFEEC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整槽更换槽液，每月一次</w:t>
                  </w:r>
                </w:p>
              </w:tc>
              <w:tc>
                <w:tcPr>
                  <w:tcW w:w="416" w:type="pct"/>
                  <w:noWrap/>
                  <w:vAlign w:val="center"/>
                </w:tcPr>
                <w:p w14:paraId="3698F26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67.2</w:t>
                  </w:r>
                </w:p>
              </w:tc>
              <w:tc>
                <w:tcPr>
                  <w:tcW w:w="351" w:type="pct"/>
                  <w:noWrap w:val="0"/>
                  <w:vAlign w:val="center"/>
                </w:tcPr>
                <w:p w14:paraId="1A4D529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1735.2</w:t>
                  </w:r>
                </w:p>
              </w:tc>
              <w:tc>
                <w:tcPr>
                  <w:tcW w:w="918" w:type="dxa"/>
                  <w:noWrap w:val="0"/>
                  <w:vAlign w:val="center"/>
                </w:tcPr>
                <w:p w14:paraId="7346B6F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1735.2</w:t>
                  </w:r>
                </w:p>
              </w:tc>
            </w:tr>
            <w:tr w14:paraId="30D54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47" w:type="pct"/>
                  <w:vMerge w:val="continue"/>
                  <w:noWrap w:val="0"/>
                  <w:vAlign w:val="center"/>
                </w:tcPr>
                <w:p w14:paraId="6D026A5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379" w:type="pct"/>
                  <w:noWrap w:val="0"/>
                  <w:vAlign w:val="center"/>
                </w:tcPr>
                <w:p w14:paraId="69E95F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水洗池</w:t>
                  </w:r>
                </w:p>
              </w:tc>
              <w:tc>
                <w:tcPr>
                  <w:tcW w:w="238" w:type="pct"/>
                  <w:noWrap w:val="0"/>
                  <w:vAlign w:val="center"/>
                </w:tcPr>
                <w:p w14:paraId="701CC08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94" w:type="pct"/>
                  <w:noWrap w:val="0"/>
                  <w:vAlign w:val="center"/>
                </w:tcPr>
                <w:p w14:paraId="57C4E68E">
                  <w:pPr>
                    <w:adjustRightInd w:val="0"/>
                    <w:snapToGrid w:val="0"/>
                    <w:spacing w:line="240" w:lineRule="auto"/>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3</w:t>
                  </w:r>
                  <w:r>
                    <w:rPr>
                      <w:rFonts w:hint="eastAsia" w:cs="Times New Roman"/>
                      <w:color w:val="000000" w:themeColor="text1"/>
                      <w:kern w:val="0"/>
                      <w:sz w:val="21"/>
                      <w:szCs w:val="21"/>
                      <w:highlight w:val="none"/>
                      <w:lang w:val="en-US" w:eastAsia="zh-CN" w:bidi="ar"/>
                      <w14:textFill>
                        <w14:solidFill>
                          <w14:schemeClr w14:val="tx1"/>
                        </w14:solidFill>
                      </w14:textFill>
                    </w:rPr>
                    <w:t>.5</w:t>
                  </w:r>
                </w:p>
              </w:tc>
              <w:tc>
                <w:tcPr>
                  <w:tcW w:w="159" w:type="pct"/>
                  <w:noWrap w:val="0"/>
                  <w:vAlign w:val="center"/>
                </w:tcPr>
                <w:p w14:paraId="2AEEF840">
                  <w:pPr>
                    <w:adjustRightInd w:val="0"/>
                    <w:snapToGrid w:val="0"/>
                    <w:spacing w:line="240" w:lineRule="auto"/>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w:t>
                  </w:r>
                </w:p>
              </w:tc>
              <w:tc>
                <w:tcPr>
                  <w:tcW w:w="159" w:type="pct"/>
                  <w:noWrap w:val="0"/>
                  <w:vAlign w:val="center"/>
                </w:tcPr>
                <w:p w14:paraId="1CF2F620">
                  <w:pPr>
                    <w:adjustRightInd w:val="0"/>
                    <w:snapToGrid w:val="0"/>
                    <w:spacing w:line="240" w:lineRule="auto"/>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p>
              </w:tc>
              <w:tc>
                <w:tcPr>
                  <w:tcW w:w="396" w:type="pct"/>
                  <w:noWrap w:val="0"/>
                  <w:vAlign w:val="center"/>
                </w:tcPr>
                <w:p w14:paraId="695F1F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261" w:type="pct"/>
                  <w:noWrap w:val="0"/>
                  <w:vAlign w:val="center"/>
                </w:tcPr>
                <w:p w14:paraId="69975E5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5.6</w:t>
                  </w:r>
                </w:p>
              </w:tc>
              <w:tc>
                <w:tcPr>
                  <w:tcW w:w="238" w:type="pct"/>
                  <w:noWrap w:val="0"/>
                  <w:vAlign w:val="center"/>
                </w:tcPr>
                <w:p w14:paraId="3A654B7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常温</w:t>
                  </w:r>
                </w:p>
              </w:tc>
              <w:tc>
                <w:tcPr>
                  <w:tcW w:w="392" w:type="pct"/>
                  <w:noWrap w:val="0"/>
                  <w:vAlign w:val="center"/>
                </w:tcPr>
                <w:p w14:paraId="154EC4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379" w:type="pct"/>
                  <w:noWrap w:val="0"/>
                  <w:vAlign w:val="center"/>
                </w:tcPr>
                <w:p w14:paraId="6601502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7.2</w:t>
                  </w:r>
                </w:p>
              </w:tc>
              <w:tc>
                <w:tcPr>
                  <w:tcW w:w="333" w:type="pct"/>
                  <w:noWrap w:val="0"/>
                  <w:vAlign w:val="center"/>
                </w:tcPr>
                <w:p w14:paraId="4598BE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连续溢流</w:t>
                  </w:r>
                </w:p>
              </w:tc>
              <w:tc>
                <w:tcPr>
                  <w:tcW w:w="597" w:type="pct"/>
                  <w:noWrap w:val="0"/>
                  <w:vAlign w:val="center"/>
                </w:tcPr>
                <w:p w14:paraId="4D56264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整槽更换槽液，每月一次</w:t>
                  </w:r>
                </w:p>
              </w:tc>
              <w:tc>
                <w:tcPr>
                  <w:tcW w:w="416" w:type="pct"/>
                  <w:noWrap/>
                  <w:vAlign w:val="center"/>
                </w:tcPr>
                <w:p w14:paraId="2A11914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67.2</w:t>
                  </w:r>
                </w:p>
              </w:tc>
              <w:tc>
                <w:tcPr>
                  <w:tcW w:w="351" w:type="pct"/>
                  <w:noWrap w:val="0"/>
                  <w:vAlign w:val="center"/>
                </w:tcPr>
                <w:p w14:paraId="0412C6F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1735.2</w:t>
                  </w:r>
                </w:p>
              </w:tc>
              <w:tc>
                <w:tcPr>
                  <w:tcW w:w="918" w:type="dxa"/>
                  <w:noWrap w:val="0"/>
                  <w:vAlign w:val="center"/>
                </w:tcPr>
                <w:p w14:paraId="2844014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r>
            <w:tr w14:paraId="3109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47" w:type="pct"/>
                  <w:vMerge w:val="continue"/>
                  <w:noWrap w:val="0"/>
                  <w:vAlign w:val="center"/>
                </w:tcPr>
                <w:p w14:paraId="334EDBA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379" w:type="pct"/>
                  <w:noWrap w:val="0"/>
                  <w:vAlign w:val="center"/>
                </w:tcPr>
                <w:p w14:paraId="0F7FF6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清</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水洗池</w:t>
                  </w:r>
                </w:p>
              </w:tc>
              <w:tc>
                <w:tcPr>
                  <w:tcW w:w="238" w:type="pct"/>
                  <w:noWrap w:val="0"/>
                  <w:vAlign w:val="center"/>
                </w:tcPr>
                <w:p w14:paraId="60F5283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94" w:type="pct"/>
                  <w:noWrap w:val="0"/>
                  <w:vAlign w:val="center"/>
                </w:tcPr>
                <w:p w14:paraId="00611FD0">
                  <w:pPr>
                    <w:adjustRightInd w:val="0"/>
                    <w:snapToGrid w:val="0"/>
                    <w:spacing w:line="240" w:lineRule="auto"/>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1</w:t>
                  </w:r>
                </w:p>
              </w:tc>
              <w:tc>
                <w:tcPr>
                  <w:tcW w:w="159" w:type="pct"/>
                  <w:noWrap w:val="0"/>
                  <w:vAlign w:val="center"/>
                </w:tcPr>
                <w:p w14:paraId="04D3F16C">
                  <w:pPr>
                    <w:adjustRightInd w:val="0"/>
                    <w:snapToGrid w:val="0"/>
                    <w:spacing w:line="240" w:lineRule="auto"/>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w:t>
                  </w:r>
                </w:p>
              </w:tc>
              <w:tc>
                <w:tcPr>
                  <w:tcW w:w="159" w:type="pct"/>
                  <w:noWrap w:val="0"/>
                  <w:vAlign w:val="center"/>
                </w:tcPr>
                <w:p w14:paraId="0DAA289E">
                  <w:pPr>
                    <w:adjustRightInd w:val="0"/>
                    <w:snapToGrid w:val="0"/>
                    <w:spacing w:line="240" w:lineRule="auto"/>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p>
              </w:tc>
              <w:tc>
                <w:tcPr>
                  <w:tcW w:w="396" w:type="pct"/>
                  <w:noWrap w:val="0"/>
                  <w:vAlign w:val="center"/>
                </w:tcPr>
                <w:p w14:paraId="79CF1D9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261" w:type="pct"/>
                  <w:noWrap w:val="0"/>
                  <w:vAlign w:val="center"/>
                </w:tcPr>
                <w:p w14:paraId="411313A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1.6</w:t>
                  </w:r>
                </w:p>
              </w:tc>
              <w:tc>
                <w:tcPr>
                  <w:tcW w:w="238" w:type="pct"/>
                  <w:noWrap w:val="0"/>
                  <w:vAlign w:val="center"/>
                </w:tcPr>
                <w:p w14:paraId="51433D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常温</w:t>
                  </w:r>
                </w:p>
              </w:tc>
              <w:tc>
                <w:tcPr>
                  <w:tcW w:w="392" w:type="pct"/>
                  <w:noWrap w:val="0"/>
                  <w:vAlign w:val="center"/>
                </w:tcPr>
                <w:p w14:paraId="73A464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379" w:type="pct"/>
                  <w:noWrap w:val="0"/>
                  <w:vAlign w:val="center"/>
                </w:tcPr>
                <w:p w14:paraId="6B8C97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7.2</w:t>
                  </w:r>
                </w:p>
              </w:tc>
              <w:tc>
                <w:tcPr>
                  <w:tcW w:w="333" w:type="pct"/>
                  <w:noWrap w:val="0"/>
                  <w:vAlign w:val="center"/>
                </w:tcPr>
                <w:p w14:paraId="73FCCF1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连续溢流</w:t>
                  </w:r>
                </w:p>
              </w:tc>
              <w:tc>
                <w:tcPr>
                  <w:tcW w:w="597" w:type="pct"/>
                  <w:noWrap w:val="0"/>
                  <w:vAlign w:val="center"/>
                </w:tcPr>
                <w:p w14:paraId="4592A27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整槽更换槽液，每月一次</w:t>
                  </w:r>
                </w:p>
              </w:tc>
              <w:tc>
                <w:tcPr>
                  <w:tcW w:w="416" w:type="pct"/>
                  <w:noWrap/>
                  <w:vAlign w:val="center"/>
                </w:tcPr>
                <w:p w14:paraId="4E30C5C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19.2</w:t>
                  </w:r>
                </w:p>
              </w:tc>
              <w:tc>
                <w:tcPr>
                  <w:tcW w:w="351" w:type="pct"/>
                  <w:noWrap w:val="0"/>
                  <w:vAlign w:val="center"/>
                </w:tcPr>
                <w:p w14:paraId="564C830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1735.2</w:t>
                  </w:r>
                </w:p>
              </w:tc>
              <w:tc>
                <w:tcPr>
                  <w:tcW w:w="918" w:type="dxa"/>
                  <w:noWrap w:val="0"/>
                  <w:vAlign w:val="center"/>
                </w:tcPr>
                <w:p w14:paraId="551CAA8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r>
            <w:tr w14:paraId="657B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7" w:type="pct"/>
                  <w:vMerge w:val="continue"/>
                  <w:noWrap w:val="0"/>
                  <w:vAlign w:val="center"/>
                </w:tcPr>
                <w:p w14:paraId="2A67C27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379" w:type="pct"/>
                  <w:noWrap w:val="0"/>
                  <w:vAlign w:val="center"/>
                </w:tcPr>
                <w:p w14:paraId="742C4E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无铬钝化池</w:t>
                  </w:r>
                </w:p>
              </w:tc>
              <w:tc>
                <w:tcPr>
                  <w:tcW w:w="238" w:type="pct"/>
                  <w:noWrap w:val="0"/>
                  <w:vAlign w:val="center"/>
                </w:tcPr>
                <w:p w14:paraId="5D48AA7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94" w:type="pct"/>
                  <w:noWrap w:val="0"/>
                  <w:vAlign w:val="center"/>
                </w:tcPr>
                <w:p w14:paraId="22DD8B0D">
                  <w:pPr>
                    <w:adjustRightInd w:val="0"/>
                    <w:snapToGrid w:val="0"/>
                    <w:spacing w:line="240" w:lineRule="auto"/>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.5</w:t>
                  </w:r>
                </w:p>
              </w:tc>
              <w:tc>
                <w:tcPr>
                  <w:tcW w:w="159" w:type="pct"/>
                  <w:noWrap w:val="0"/>
                  <w:vAlign w:val="center"/>
                </w:tcPr>
                <w:p w14:paraId="360C272A">
                  <w:pPr>
                    <w:adjustRightInd w:val="0"/>
                    <w:snapToGrid w:val="0"/>
                    <w:spacing w:line="240" w:lineRule="auto"/>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w:t>
                  </w:r>
                </w:p>
              </w:tc>
              <w:tc>
                <w:tcPr>
                  <w:tcW w:w="159" w:type="pct"/>
                  <w:noWrap w:val="0"/>
                  <w:vAlign w:val="center"/>
                </w:tcPr>
                <w:p w14:paraId="52445708">
                  <w:pPr>
                    <w:adjustRightInd w:val="0"/>
                    <w:snapToGrid w:val="0"/>
                    <w:spacing w:line="240" w:lineRule="auto"/>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p>
              </w:tc>
              <w:tc>
                <w:tcPr>
                  <w:tcW w:w="396" w:type="pct"/>
                  <w:noWrap w:val="0"/>
                  <w:vAlign w:val="center"/>
                </w:tcPr>
                <w:p w14:paraId="4D938D4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无铬钝化剂</w:t>
                  </w:r>
                </w:p>
              </w:tc>
              <w:tc>
                <w:tcPr>
                  <w:tcW w:w="261" w:type="pct"/>
                  <w:noWrap w:val="0"/>
                  <w:vAlign w:val="center"/>
                </w:tcPr>
                <w:p w14:paraId="44EBA8C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5.6</w:t>
                  </w:r>
                </w:p>
              </w:tc>
              <w:tc>
                <w:tcPr>
                  <w:tcW w:w="238" w:type="pct"/>
                  <w:noWrap w:val="0"/>
                  <w:vAlign w:val="center"/>
                </w:tcPr>
                <w:p w14:paraId="5A7523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常温</w:t>
                  </w:r>
                </w:p>
              </w:tc>
              <w:tc>
                <w:tcPr>
                  <w:tcW w:w="392" w:type="pct"/>
                  <w:noWrap w:val="0"/>
                  <w:vAlign w:val="center"/>
                </w:tcPr>
                <w:p w14:paraId="480E786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379" w:type="pct"/>
                  <w:noWrap w:val="0"/>
                  <w:vAlign w:val="center"/>
                </w:tcPr>
                <w:p w14:paraId="439ADE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333" w:type="pct"/>
                  <w:noWrap w:val="0"/>
                  <w:vAlign w:val="center"/>
                </w:tcPr>
                <w:p w14:paraId="586F88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597" w:type="pct"/>
                  <w:noWrap w:val="0"/>
                  <w:vAlign w:val="center"/>
                </w:tcPr>
                <w:p w14:paraId="283589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整槽更换槽液，每季度一次</w:t>
                  </w:r>
                </w:p>
              </w:tc>
              <w:tc>
                <w:tcPr>
                  <w:tcW w:w="416" w:type="pct"/>
                  <w:noWrap/>
                  <w:vAlign w:val="center"/>
                </w:tcPr>
                <w:p w14:paraId="1A7415C1">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22.4</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（按危废处置）</w:t>
                  </w:r>
                </w:p>
              </w:tc>
              <w:tc>
                <w:tcPr>
                  <w:tcW w:w="351" w:type="pct"/>
                  <w:noWrap w:val="0"/>
                  <w:vAlign w:val="center"/>
                </w:tcPr>
                <w:p w14:paraId="679291D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918" w:type="dxa"/>
                  <w:noWrap w:val="0"/>
                  <w:vAlign w:val="center"/>
                </w:tcPr>
                <w:p w14:paraId="13F51A8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7DEC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47" w:type="pct"/>
                  <w:vMerge w:val="continue"/>
                  <w:noWrap w:val="0"/>
                  <w:vAlign w:val="center"/>
                </w:tcPr>
                <w:p w14:paraId="06582E1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379" w:type="pct"/>
                  <w:noWrap w:val="0"/>
                  <w:vAlign w:val="center"/>
                </w:tcPr>
                <w:p w14:paraId="54006A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水洗池</w:t>
                  </w:r>
                </w:p>
              </w:tc>
              <w:tc>
                <w:tcPr>
                  <w:tcW w:w="238" w:type="pct"/>
                  <w:noWrap w:val="0"/>
                  <w:vAlign w:val="center"/>
                </w:tcPr>
                <w:p w14:paraId="1347E25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94" w:type="pct"/>
                  <w:noWrap w:val="0"/>
                  <w:vAlign w:val="center"/>
                </w:tcPr>
                <w:p w14:paraId="25871A90">
                  <w:pPr>
                    <w:adjustRightInd w:val="0"/>
                    <w:snapToGrid w:val="0"/>
                    <w:spacing w:line="240" w:lineRule="auto"/>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2</w:t>
                  </w:r>
                </w:p>
              </w:tc>
              <w:tc>
                <w:tcPr>
                  <w:tcW w:w="159" w:type="pct"/>
                  <w:noWrap w:val="0"/>
                  <w:vAlign w:val="center"/>
                </w:tcPr>
                <w:p w14:paraId="3214BA58">
                  <w:pPr>
                    <w:adjustRightInd w:val="0"/>
                    <w:snapToGrid w:val="0"/>
                    <w:spacing w:line="240" w:lineRule="auto"/>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w:t>
                  </w:r>
                </w:p>
              </w:tc>
              <w:tc>
                <w:tcPr>
                  <w:tcW w:w="159" w:type="pct"/>
                  <w:noWrap w:val="0"/>
                  <w:vAlign w:val="center"/>
                </w:tcPr>
                <w:p w14:paraId="2ABBF000">
                  <w:pPr>
                    <w:adjustRightInd w:val="0"/>
                    <w:snapToGrid w:val="0"/>
                    <w:spacing w:line="240" w:lineRule="auto"/>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p>
              </w:tc>
              <w:tc>
                <w:tcPr>
                  <w:tcW w:w="396" w:type="pct"/>
                  <w:noWrap w:val="0"/>
                  <w:vAlign w:val="center"/>
                </w:tcPr>
                <w:p w14:paraId="4775409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w:t>
                  </w:r>
                </w:p>
              </w:tc>
              <w:tc>
                <w:tcPr>
                  <w:tcW w:w="261" w:type="pct"/>
                  <w:noWrap w:val="0"/>
                  <w:vAlign w:val="center"/>
                </w:tcPr>
                <w:p w14:paraId="54FF447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3.2</w:t>
                  </w:r>
                </w:p>
              </w:tc>
              <w:tc>
                <w:tcPr>
                  <w:tcW w:w="238" w:type="pct"/>
                  <w:noWrap w:val="0"/>
                  <w:vAlign w:val="center"/>
                </w:tcPr>
                <w:p w14:paraId="5961B0D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常温</w:t>
                  </w:r>
                </w:p>
              </w:tc>
              <w:tc>
                <w:tcPr>
                  <w:tcW w:w="392" w:type="pct"/>
                  <w:noWrap w:val="0"/>
                  <w:vAlign w:val="center"/>
                </w:tcPr>
                <w:p w14:paraId="268F4DC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379" w:type="pct"/>
                  <w:noWrap w:val="0"/>
                  <w:vAlign w:val="center"/>
                </w:tcPr>
                <w:p w14:paraId="6F9D20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7.2</w:t>
                  </w:r>
                </w:p>
              </w:tc>
              <w:tc>
                <w:tcPr>
                  <w:tcW w:w="333" w:type="pct"/>
                  <w:noWrap w:val="0"/>
                  <w:vAlign w:val="center"/>
                </w:tcPr>
                <w:p w14:paraId="511FCE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连续溢流</w:t>
                  </w:r>
                </w:p>
              </w:tc>
              <w:tc>
                <w:tcPr>
                  <w:tcW w:w="597" w:type="pct"/>
                  <w:noWrap w:val="0"/>
                  <w:vAlign w:val="center"/>
                </w:tcPr>
                <w:p w14:paraId="3DE246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整槽更换槽液，每月一次</w:t>
                  </w:r>
                </w:p>
              </w:tc>
              <w:tc>
                <w:tcPr>
                  <w:tcW w:w="416" w:type="pct"/>
                  <w:noWrap/>
                  <w:vAlign w:val="center"/>
                </w:tcPr>
                <w:p w14:paraId="769A30A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38.4</w:t>
                  </w:r>
                </w:p>
              </w:tc>
              <w:tc>
                <w:tcPr>
                  <w:tcW w:w="351" w:type="pct"/>
                  <w:noWrap w:val="0"/>
                  <w:vAlign w:val="center"/>
                </w:tcPr>
                <w:p w14:paraId="658C577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1735.2</w:t>
                  </w:r>
                </w:p>
              </w:tc>
              <w:tc>
                <w:tcPr>
                  <w:tcW w:w="918" w:type="dxa"/>
                  <w:noWrap w:val="0"/>
                  <w:vAlign w:val="center"/>
                </w:tcPr>
                <w:p w14:paraId="7C40BA4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1735.2</w:t>
                  </w:r>
                </w:p>
              </w:tc>
            </w:tr>
            <w:tr w14:paraId="1D99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3880" w:type="pct"/>
                  <w:gridSpan w:val="13"/>
                  <w:noWrap w:val="0"/>
                  <w:vAlign w:val="center"/>
                </w:tcPr>
                <w:p w14:paraId="6724F7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合计</w:t>
                  </w:r>
                </w:p>
              </w:tc>
              <w:tc>
                <w:tcPr>
                  <w:tcW w:w="416" w:type="pct"/>
                  <w:noWrap/>
                  <w:vAlign w:val="center"/>
                </w:tcPr>
                <w:p w14:paraId="743F67C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20</w:t>
                  </w:r>
                </w:p>
              </w:tc>
              <w:tc>
                <w:tcPr>
                  <w:tcW w:w="351" w:type="pct"/>
                  <w:noWrap w:val="0"/>
                  <w:vAlign w:val="center"/>
                </w:tcPr>
                <w:p w14:paraId="29C45B9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8676</w:t>
                  </w:r>
                </w:p>
              </w:tc>
              <w:tc>
                <w:tcPr>
                  <w:tcW w:w="918" w:type="dxa"/>
                  <w:noWrap w:val="0"/>
                  <w:vAlign w:val="center"/>
                </w:tcPr>
                <w:p w14:paraId="35D8662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5205.6 </w:t>
                  </w:r>
                </w:p>
              </w:tc>
            </w:tr>
            <w:tr w14:paraId="4D137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000" w:type="pct"/>
                  <w:gridSpan w:val="16"/>
                  <w:noWrap w:val="0"/>
                  <w:vAlign w:val="center"/>
                </w:tcPr>
                <w:p w14:paraId="33F57E0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备注：①整槽更换槽液=槽液量×更换频率（槽液更换不考虑</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损耗</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p w14:paraId="3191A81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cente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②预脱脂池、脱脂池整槽更换用水量中含除油剂使用量，无铬钝化池整槽更换用水量中含无铬钝化剂使用量，以上数据统一体现在水平衡图表内容中。</w:t>
                  </w:r>
                </w:p>
              </w:tc>
            </w:tr>
          </w:tbl>
          <w:p w14:paraId="4437FB56">
            <w:pPr>
              <w:pStyle w:val="41"/>
              <w:jc w:val="center"/>
              <w:rPr>
                <w:rFonts w:ascii="黑体" w:hAnsi="黑体" w:eastAsia="黑体"/>
                <w:snapToGrid w:val="0"/>
                <w:color w:val="000000" w:themeColor="text1"/>
                <w:sz w:val="36"/>
                <w:szCs w:val="36"/>
                <w:highlight w:val="none"/>
                <w:vertAlign w:val="baseline"/>
                <w14:textFill>
                  <w14:solidFill>
                    <w14:schemeClr w14:val="tx1"/>
                  </w14:solidFill>
                </w14:textFill>
              </w:rPr>
            </w:pPr>
          </w:p>
        </w:tc>
      </w:tr>
    </w:tbl>
    <w:p w14:paraId="6E5B8F2B">
      <w:pPr>
        <w:pStyle w:val="41"/>
        <w:jc w:val="center"/>
        <w:rPr>
          <w:rFonts w:ascii="黑体" w:hAnsi="黑体" w:eastAsia="黑体"/>
          <w:snapToGrid w:val="0"/>
          <w:color w:val="000000" w:themeColor="text1"/>
          <w:sz w:val="36"/>
          <w:szCs w:val="36"/>
          <w:highlight w:val="none"/>
          <w14:textFill>
            <w14:solidFill>
              <w14:schemeClr w14:val="tx1"/>
            </w14:solidFill>
          </w14:textFill>
        </w:rPr>
        <w:sectPr>
          <w:pgSz w:w="16838" w:h="11906" w:orient="landscape"/>
          <w:pgMar w:top="1531" w:right="1644" w:bottom="1531" w:left="1587"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
        <w:gridCol w:w="8736"/>
      </w:tblGrid>
      <w:tr w14:paraId="49EB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center"/>
          </w:tcPr>
          <w:p w14:paraId="0AE46452">
            <w:pPr>
              <w:pStyle w:val="41"/>
              <w:adjustRightInd w:val="0"/>
              <w:snapToGrid w:val="0"/>
              <w:spacing w:before="0" w:beforeAutospacing="0" w:after="0" w:afterAutospacing="0"/>
              <w:jc w:val="center"/>
              <w:rPr>
                <w:rFonts w:hint="default" w:ascii="Times New Roman" w:hAnsi="Times New Roman" w:cs="Times New Roman"/>
                <w:color w:val="000000" w:themeColor="text1"/>
                <w:szCs w:val="24"/>
                <w:highlight w:val="none"/>
                <w14:textFill>
                  <w14:solidFill>
                    <w14:schemeClr w14:val="tx1"/>
                  </w14:solidFill>
                </w14:textFill>
              </w:rPr>
            </w:pPr>
          </w:p>
        </w:tc>
        <w:tc>
          <w:tcPr>
            <w:tcW w:w="8485" w:type="dxa"/>
            <w:noWrap w:val="0"/>
            <w:vAlign w:val="top"/>
          </w:tcPr>
          <w:p w14:paraId="3016EB64">
            <w:pPr>
              <w:pStyle w:val="22"/>
              <w:keepNext w:val="0"/>
              <w:keepLines w:val="0"/>
              <w:pageBreakBefore w:val="0"/>
              <w:widowControl w:val="0"/>
              <w:suppressLineNumbers w:val="0"/>
              <w:kinsoku/>
              <w:wordWrap w:val="0"/>
              <w:overflowPunct w:val="0"/>
              <w:topLinePunct w:val="0"/>
              <w:autoSpaceDE/>
              <w:autoSpaceDN/>
              <w:bidi w:val="0"/>
              <w:adjustRightInd/>
              <w:snapToGrid/>
              <w:spacing w:before="0" w:beforeAutospacing="0" w:after="0" w:afterAutospacing="0" w:line="360" w:lineRule="auto"/>
              <w:ind w:left="0" w:leftChars="0" w:right="0" w:firstLine="480" w:firstLineChars="200"/>
              <w:textAlignment w:val="auto"/>
              <w:rPr>
                <w:rFonts w:hint="default" w:cs="Times New Roman"/>
                <w:color w:val="000000" w:themeColor="text1"/>
                <w:sz w:val="24"/>
                <w:szCs w:val="24"/>
                <w:highlight w:val="none"/>
                <w:lang w:val="en-US" w:eastAsia="zh-CN"/>
                <w14:textFill>
                  <w14:solidFill>
                    <w14:schemeClr w14:val="tx1"/>
                  </w14:solidFill>
                </w14:textFill>
              </w:rPr>
            </w:pPr>
            <w:r>
              <w:rPr>
                <w:rFonts w:hint="default" w:cs="Times New Roman"/>
                <w:color w:val="000000" w:themeColor="text1"/>
                <w:sz w:val="24"/>
                <w:szCs w:val="24"/>
                <w:highlight w:val="none"/>
                <w:lang w:val="en-US" w:eastAsia="zh-CN"/>
                <w14:textFill>
                  <w14:solidFill>
                    <w14:schemeClr w14:val="tx1"/>
                  </w14:solidFill>
                </w14:textFill>
              </w:rPr>
              <w:t>从上表计得</w:t>
            </w:r>
            <w:r>
              <w:rPr>
                <w:rFonts w:hint="eastAsia" w:cs="Times New Roman"/>
                <w:color w:val="000000" w:themeColor="text1"/>
                <w:sz w:val="24"/>
                <w:szCs w:val="24"/>
                <w:highlight w:val="none"/>
                <w:lang w:val="en-US" w:eastAsia="zh-CN"/>
                <w14:textFill>
                  <w14:solidFill>
                    <w14:schemeClr w14:val="tx1"/>
                  </w14:solidFill>
                </w14:textFill>
              </w:rPr>
              <w:t>2条</w:t>
            </w:r>
            <w:r>
              <w:rPr>
                <w:rFonts w:hint="default" w:cs="Times New Roman"/>
                <w:color w:val="000000" w:themeColor="text1"/>
                <w:sz w:val="24"/>
                <w:szCs w:val="24"/>
                <w:highlight w:val="none"/>
                <w:lang w:val="en-US" w:eastAsia="zh-CN"/>
                <w14:textFill>
                  <w14:solidFill>
                    <w14:schemeClr w14:val="tx1"/>
                  </w14:solidFill>
                </w14:textFill>
              </w:rPr>
              <w:t>前处理线整槽更换用水和溢流用水为</w:t>
            </w:r>
            <w:r>
              <w:rPr>
                <w:rFonts w:hint="eastAsia" w:cs="Times New Roman"/>
                <w:color w:val="000000" w:themeColor="text1"/>
                <w:sz w:val="24"/>
                <w:szCs w:val="24"/>
                <w:highlight w:val="none"/>
                <w:lang w:val="en-US" w:eastAsia="zh-CN"/>
                <w14:textFill>
                  <w14:solidFill>
                    <w14:schemeClr w14:val="tx1"/>
                  </w14:solidFill>
                </w14:textFill>
              </w:rPr>
              <w:t>（</w:t>
            </w:r>
            <w:r>
              <w:rPr>
                <w:rFonts w:hint="default" w:cs="Times New Roman"/>
                <w:color w:val="000000" w:themeColor="text1"/>
                <w:sz w:val="24"/>
                <w:szCs w:val="24"/>
                <w:highlight w:val="none"/>
                <w:lang w:val="en-US" w:eastAsia="zh-CN"/>
                <w14:textFill>
                  <w14:solidFill>
                    <w14:schemeClr w14:val="tx1"/>
                  </w14:solidFill>
                </w14:textFill>
              </w:rPr>
              <w:t>3</w:t>
            </w:r>
            <w:r>
              <w:rPr>
                <w:rFonts w:hint="eastAsia" w:cs="Times New Roman"/>
                <w:color w:val="000000" w:themeColor="text1"/>
                <w:sz w:val="24"/>
                <w:szCs w:val="24"/>
                <w:highlight w:val="none"/>
                <w:lang w:val="en-US" w:eastAsia="zh-CN"/>
                <w14:textFill>
                  <w14:solidFill>
                    <w14:schemeClr w14:val="tx1"/>
                  </w14:solidFill>
                </w14:textFill>
              </w:rPr>
              <w:t>20</w:t>
            </w:r>
            <w:r>
              <w:rPr>
                <w:rFonts w:hint="default" w:cs="Times New Roman"/>
                <w:color w:val="000000" w:themeColor="text1"/>
                <w:sz w:val="24"/>
                <w:szCs w:val="24"/>
                <w:highlight w:val="none"/>
                <w:lang w:val="en-US" w:eastAsia="zh-CN"/>
                <w14:textFill>
                  <w14:solidFill>
                    <w14:schemeClr w14:val="tx1"/>
                  </w14:solidFill>
                </w14:textFill>
              </w:rPr>
              <w:t>m</w:t>
            </w:r>
            <w:r>
              <w:rPr>
                <w:rFonts w:hint="default" w:cs="Times New Roman"/>
                <w:color w:val="000000" w:themeColor="text1"/>
                <w:sz w:val="24"/>
                <w:szCs w:val="24"/>
                <w:highlight w:val="none"/>
                <w:vertAlign w:val="superscript"/>
                <w:lang w:val="en-US" w:eastAsia="zh-CN"/>
                <w14:textFill>
                  <w14:solidFill>
                    <w14:schemeClr w14:val="tx1"/>
                  </w14:solidFill>
                </w14:textFill>
              </w:rPr>
              <w:t>3</w:t>
            </w:r>
            <w:r>
              <w:rPr>
                <w:rFonts w:hint="default" w:cs="Times New Roman"/>
                <w:color w:val="000000" w:themeColor="text1"/>
                <w:sz w:val="24"/>
                <w:szCs w:val="24"/>
                <w:highlight w:val="none"/>
                <w:lang w:val="en-US" w:eastAsia="zh-CN"/>
                <w14:textFill>
                  <w14:solidFill>
                    <w14:schemeClr w14:val="tx1"/>
                  </w14:solidFill>
                </w14:textFill>
              </w:rPr>
              <w:t>/a</w:t>
            </w:r>
            <w:r>
              <w:rPr>
                <w:rFonts w:hint="eastAsia" w:cs="Times New Roman"/>
                <w:color w:val="000000" w:themeColor="text1"/>
                <w:sz w:val="24"/>
                <w:szCs w:val="24"/>
                <w:highlight w:val="none"/>
                <w:lang w:val="en-US" w:eastAsia="zh-CN"/>
                <w14:textFill>
                  <w14:solidFill>
                    <w14:schemeClr w14:val="tx1"/>
                  </w14:solidFill>
                </w14:textFill>
              </w:rPr>
              <w:t>+5205.6</w:t>
            </w:r>
            <w:r>
              <w:rPr>
                <w:rFonts w:hint="default" w:cs="Times New Roman"/>
                <w:color w:val="000000" w:themeColor="text1"/>
                <w:sz w:val="24"/>
                <w:szCs w:val="24"/>
                <w:highlight w:val="none"/>
                <w:lang w:val="en-US" w:eastAsia="zh-CN"/>
                <w14:textFill>
                  <w14:solidFill>
                    <w14:schemeClr w14:val="tx1"/>
                  </w14:solidFill>
                </w14:textFill>
              </w:rPr>
              <w:t>m</w:t>
            </w:r>
            <w:r>
              <w:rPr>
                <w:rFonts w:hint="default" w:cs="Times New Roman"/>
                <w:color w:val="000000" w:themeColor="text1"/>
                <w:sz w:val="24"/>
                <w:szCs w:val="24"/>
                <w:highlight w:val="none"/>
                <w:vertAlign w:val="superscript"/>
                <w:lang w:val="en-US" w:eastAsia="zh-CN"/>
                <w14:textFill>
                  <w14:solidFill>
                    <w14:schemeClr w14:val="tx1"/>
                  </w14:solidFill>
                </w14:textFill>
              </w:rPr>
              <w:t>3</w:t>
            </w:r>
            <w:r>
              <w:rPr>
                <w:rFonts w:hint="default" w:cs="Times New Roman"/>
                <w:color w:val="000000" w:themeColor="text1"/>
                <w:sz w:val="24"/>
                <w:szCs w:val="24"/>
                <w:highlight w:val="none"/>
                <w:lang w:val="en-US" w:eastAsia="zh-CN"/>
                <w14:textFill>
                  <w14:solidFill>
                    <w14:schemeClr w14:val="tx1"/>
                  </w14:solidFill>
                </w14:textFill>
              </w:rPr>
              <w:t>/a</w:t>
            </w:r>
            <w:r>
              <w:rPr>
                <w:rFonts w:hint="eastAsia" w:cs="Times New Roman"/>
                <w:color w:val="000000" w:themeColor="text1"/>
                <w:sz w:val="24"/>
                <w:szCs w:val="24"/>
                <w:highlight w:val="none"/>
                <w:lang w:val="en-US" w:eastAsia="zh-CN"/>
                <w14:textFill>
                  <w14:solidFill>
                    <w14:schemeClr w14:val="tx1"/>
                  </w14:solidFill>
                </w14:textFill>
              </w:rPr>
              <w:t>）×2=11051.2</w:t>
            </w:r>
            <w:r>
              <w:rPr>
                <w:rFonts w:hint="default" w:cs="Times New Roman"/>
                <w:color w:val="000000" w:themeColor="text1"/>
                <w:sz w:val="24"/>
                <w:szCs w:val="24"/>
                <w:highlight w:val="none"/>
                <w:lang w:val="en-US" w:eastAsia="zh-CN"/>
                <w14:textFill>
                  <w14:solidFill>
                    <w14:schemeClr w14:val="tx1"/>
                  </w14:solidFill>
                </w14:textFill>
              </w:rPr>
              <w:t>m</w:t>
            </w:r>
            <w:r>
              <w:rPr>
                <w:rFonts w:hint="default" w:cs="Times New Roman"/>
                <w:color w:val="000000" w:themeColor="text1"/>
                <w:sz w:val="24"/>
                <w:szCs w:val="24"/>
                <w:highlight w:val="none"/>
                <w:vertAlign w:val="superscript"/>
                <w:lang w:val="en-US" w:eastAsia="zh-CN"/>
                <w14:textFill>
                  <w14:solidFill>
                    <w14:schemeClr w14:val="tx1"/>
                  </w14:solidFill>
                </w14:textFill>
              </w:rPr>
              <w:t>3</w:t>
            </w:r>
            <w:r>
              <w:rPr>
                <w:rFonts w:hint="default" w:cs="Times New Roman"/>
                <w:color w:val="000000" w:themeColor="text1"/>
                <w:sz w:val="24"/>
                <w:szCs w:val="24"/>
                <w:highlight w:val="none"/>
                <w:lang w:val="en-US" w:eastAsia="zh-CN"/>
                <w14:textFill>
                  <w14:solidFill>
                    <w14:schemeClr w14:val="tx1"/>
                  </w14:solidFill>
                </w14:textFill>
              </w:rPr>
              <w:t>/a。</w:t>
            </w:r>
          </w:p>
          <w:p w14:paraId="0B2EAB3E">
            <w:pPr>
              <w:pageBreakBefore w:val="0"/>
              <w:widowControl w:val="0"/>
              <w:numPr>
                <w:ilvl w:val="0"/>
                <w:numId w:val="10"/>
              </w:numPr>
              <w:wordWrap w:val="0"/>
              <w:overflowPunct/>
              <w:bidi w:val="0"/>
              <w:spacing w:line="240" w:lineRule="auto"/>
              <w:ind w:left="0" w:leftChars="0" w:firstLine="40" w:firstLineChars="0"/>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用水量一览表</w:t>
            </w:r>
          </w:p>
          <w:tbl>
            <w:tblPr>
              <w:tblStyle w:val="44"/>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03"/>
              <w:gridCol w:w="1164"/>
              <w:gridCol w:w="5740"/>
            </w:tblGrid>
            <w:tr w14:paraId="38B04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942" w:type="pct"/>
                  <w:noWrap w:val="0"/>
                  <w:vAlign w:val="center"/>
                </w:tcPr>
                <w:p w14:paraId="214FA46B">
                  <w:pPr>
                    <w:pStyle w:val="109"/>
                    <w:keepNext w:val="0"/>
                    <w:keepLines w:val="0"/>
                    <w:pageBreakBefore w:val="0"/>
                    <w:widowControl/>
                    <w:suppressLineNumbers w:val="0"/>
                    <w:tabs>
                      <w:tab w:val="left" w:pos="-2848"/>
                    </w:tabs>
                    <w:kinsoku/>
                    <w:overflowPunct/>
                    <w:topLinePunct w:val="0"/>
                    <w:bidi w:val="0"/>
                    <w:adjustRightInd/>
                    <w:snapToGrid/>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用水情形</w:t>
                  </w:r>
                </w:p>
              </w:tc>
              <w:tc>
                <w:tcPr>
                  <w:tcW w:w="684" w:type="pct"/>
                  <w:noWrap w:val="0"/>
                  <w:vAlign w:val="center"/>
                </w:tcPr>
                <w:p w14:paraId="23CF5F64">
                  <w:pPr>
                    <w:pStyle w:val="109"/>
                    <w:keepNext w:val="0"/>
                    <w:keepLines w:val="0"/>
                    <w:pageBreakBefore w:val="0"/>
                    <w:widowControl/>
                    <w:suppressLineNumbers w:val="0"/>
                    <w:tabs>
                      <w:tab w:val="left" w:pos="-2848"/>
                    </w:tabs>
                    <w:kinsoku/>
                    <w:overflowPunct/>
                    <w:topLinePunct w:val="0"/>
                    <w:bidi w:val="0"/>
                    <w:adjustRightInd/>
                    <w:snapToGrid/>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用量m</w:t>
                  </w:r>
                  <w:r>
                    <w:rPr>
                      <w:rFonts w:hint="default" w:ascii="Times New Roman" w:hAnsi="Times New Roman" w:cs="Times New Roman"/>
                      <w:b/>
                      <w:bCs/>
                      <w:color w:val="000000" w:themeColor="text1"/>
                      <w:kern w:val="2"/>
                      <w:sz w:val="21"/>
                      <w:szCs w:val="21"/>
                      <w:highlight w:val="none"/>
                      <w:vertAlign w:val="superscript"/>
                      <w14:textFill>
                        <w14:solidFill>
                          <w14:schemeClr w14:val="tx1"/>
                        </w14:solidFill>
                      </w14:textFill>
                    </w:rPr>
                    <w:t>3</w:t>
                  </w:r>
                  <w:r>
                    <w:rPr>
                      <w:rFonts w:hint="default" w:ascii="Times New Roman" w:hAnsi="Times New Roman" w:cs="Times New Roman"/>
                      <w:b/>
                      <w:bCs/>
                      <w:color w:val="000000" w:themeColor="text1"/>
                      <w:kern w:val="2"/>
                      <w:sz w:val="21"/>
                      <w:szCs w:val="21"/>
                      <w:highlight w:val="none"/>
                      <w14:textFill>
                        <w14:solidFill>
                          <w14:schemeClr w14:val="tx1"/>
                        </w14:solidFill>
                      </w14:textFill>
                    </w:rPr>
                    <w:t>/a</w:t>
                  </w:r>
                </w:p>
              </w:tc>
              <w:tc>
                <w:tcPr>
                  <w:tcW w:w="3373" w:type="pct"/>
                  <w:noWrap w:val="0"/>
                  <w:vAlign w:val="center"/>
                </w:tcPr>
                <w:p w14:paraId="21D95083">
                  <w:pPr>
                    <w:pStyle w:val="109"/>
                    <w:keepNext w:val="0"/>
                    <w:keepLines w:val="0"/>
                    <w:pageBreakBefore w:val="0"/>
                    <w:widowControl/>
                    <w:suppressLineNumbers w:val="0"/>
                    <w:tabs>
                      <w:tab w:val="left" w:pos="-2848"/>
                    </w:tabs>
                    <w:kinsoku/>
                    <w:overflowPunct/>
                    <w:topLinePunct w:val="0"/>
                    <w:bidi w:val="0"/>
                    <w:adjustRightInd/>
                    <w:snapToGrid/>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说明</w:t>
                  </w:r>
                </w:p>
              </w:tc>
            </w:tr>
            <w:tr w14:paraId="25F93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942" w:type="pct"/>
                  <w:noWrap w:val="0"/>
                  <w:vAlign w:val="center"/>
                </w:tcPr>
                <w:p w14:paraId="502AFAE8">
                  <w:pPr>
                    <w:pStyle w:val="109"/>
                    <w:keepNext w:val="0"/>
                    <w:keepLines w:val="0"/>
                    <w:pageBreakBefore w:val="0"/>
                    <w:widowControl/>
                    <w:suppressLineNumbers w:val="0"/>
                    <w:tabs>
                      <w:tab w:val="left" w:pos="-2848"/>
                    </w:tabs>
                    <w:kinsoku/>
                    <w:overflowPunct/>
                    <w:topLinePunct w:val="0"/>
                    <w:bidi w:val="0"/>
                    <w:adjustRightInd/>
                    <w:snapToGrid/>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2"/>
                      <w:position w:val="-1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生活用水</w:t>
                  </w:r>
                </w:p>
              </w:tc>
              <w:tc>
                <w:tcPr>
                  <w:tcW w:w="1164" w:type="dxa"/>
                  <w:noWrap w:val="0"/>
                  <w:vAlign w:val="center"/>
                </w:tcPr>
                <w:p w14:paraId="60496CEE">
                  <w:pPr>
                    <w:keepNext w:val="0"/>
                    <w:keepLines w:val="0"/>
                    <w:widowControl/>
                    <w:suppressLineNumbers w:val="0"/>
                    <w:jc w:val="center"/>
                    <w:textAlignment w:val="center"/>
                    <w:rPr>
                      <w:rFonts w:hint="default" w:ascii="Times New Roman" w:hAnsi="Times New Roman" w:eastAsia="宋体" w:cs="Times New Roman"/>
                      <w:color w:val="000000" w:themeColor="text1"/>
                      <w:kern w:val="2"/>
                      <w:position w:val="-1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2300</w:t>
                  </w:r>
                </w:p>
              </w:tc>
              <w:tc>
                <w:tcPr>
                  <w:tcW w:w="3373" w:type="pct"/>
                  <w:noWrap w:val="0"/>
                  <w:vAlign w:val="center"/>
                </w:tcPr>
                <w:p w14:paraId="6AC1A868">
                  <w:pPr>
                    <w:keepNext w:val="0"/>
                    <w:keepLines w:val="0"/>
                    <w:pageBreakBefore w:val="0"/>
                    <w:suppressLineNumbers w:val="0"/>
                    <w:kinsoku/>
                    <w:overflowPunct/>
                    <w:topLinePunct w:val="0"/>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共160</w:t>
                  </w:r>
                  <w:r>
                    <w:rPr>
                      <w:rFonts w:hint="default" w:ascii="Times New Roman" w:hAnsi="Times New Roman" w:cs="Times New Roman"/>
                      <w:color w:val="000000" w:themeColor="text1"/>
                      <w:sz w:val="21"/>
                      <w:szCs w:val="21"/>
                      <w:highlight w:val="none"/>
                      <w14:textFill>
                        <w14:solidFill>
                          <w14:schemeClr w14:val="tx1"/>
                        </w14:solidFill>
                      </w14:textFill>
                    </w:rPr>
                    <w:t>人，</w:t>
                  </w:r>
                  <w:r>
                    <w:rPr>
                      <w:rFonts w:hint="eastAsia" w:cs="Times New Roman"/>
                      <w:color w:val="000000" w:themeColor="text1"/>
                      <w:sz w:val="21"/>
                      <w:szCs w:val="21"/>
                      <w:highlight w:val="none"/>
                      <w:lang w:val="en-US" w:eastAsia="zh-CN"/>
                      <w14:textFill>
                        <w14:solidFill>
                          <w14:schemeClr w14:val="tx1"/>
                        </w14:solidFill>
                      </w14:textFill>
                    </w:rPr>
                    <w:t>其中140人住宿</w:t>
                  </w:r>
                </w:p>
              </w:tc>
            </w:tr>
            <w:tr w14:paraId="5B099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942" w:type="pct"/>
                  <w:noWrap w:val="0"/>
                  <w:vAlign w:val="center"/>
                </w:tcPr>
                <w:p w14:paraId="47E46CB7">
                  <w:pPr>
                    <w:keepNext w:val="0"/>
                    <w:keepLines w:val="0"/>
                    <w:pageBreakBefore w:val="0"/>
                    <w:suppressLineNumbers w:val="0"/>
                    <w:kinsoku/>
                    <w:overflowPunct/>
                    <w:topLinePunct w:val="0"/>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前处理</w:t>
                  </w:r>
                  <w:r>
                    <w:rPr>
                      <w:rFonts w:hint="default" w:ascii="Times New Roman" w:hAnsi="Times New Roman" w:cs="Times New Roman"/>
                      <w:color w:val="000000" w:themeColor="text1"/>
                      <w:sz w:val="21"/>
                      <w:szCs w:val="21"/>
                      <w:highlight w:val="none"/>
                      <w14:textFill>
                        <w14:solidFill>
                          <w14:schemeClr w14:val="tx1"/>
                        </w14:solidFill>
                      </w14:textFill>
                    </w:rPr>
                    <w:t>用水</w:t>
                  </w:r>
                </w:p>
              </w:tc>
              <w:tc>
                <w:tcPr>
                  <w:tcW w:w="1164" w:type="dxa"/>
                  <w:noWrap w:val="0"/>
                  <w:vAlign w:val="center"/>
                </w:tcPr>
                <w:p w14:paraId="1A711505">
                  <w:pPr>
                    <w:keepNext w:val="0"/>
                    <w:keepLines w:val="0"/>
                    <w:widowControl/>
                    <w:suppressLineNumbers w:val="0"/>
                    <w:jc w:val="center"/>
                    <w:textAlignment w:val="center"/>
                    <w:rPr>
                      <w:rFonts w:hint="default"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19895.1</w:t>
                  </w:r>
                  <w:r>
                    <w:rPr>
                      <w:rFonts w:hint="eastAsia" w:cs="Times New Roman"/>
                      <w:i w:val="0"/>
                      <w:iCs w:val="0"/>
                      <w:color w:val="000000" w:themeColor="text1"/>
                      <w:kern w:val="0"/>
                      <w:sz w:val="21"/>
                      <w:szCs w:val="21"/>
                      <w:u w:val="none"/>
                      <w:lang w:val="en-US" w:eastAsia="zh-CN" w:bidi="ar"/>
                      <w14:textFill>
                        <w14:solidFill>
                          <w14:schemeClr w14:val="tx1"/>
                        </w14:solidFill>
                      </w14:textFill>
                    </w:rPr>
                    <w:t>1</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3373" w:type="pct"/>
                  <w:noWrap w:val="0"/>
                  <w:vAlign w:val="center"/>
                </w:tcPr>
                <w:p w14:paraId="4821FA93">
                  <w:pPr>
                    <w:keepNext w:val="0"/>
                    <w:keepLines w:val="0"/>
                    <w:pageBreakBefore w:val="0"/>
                    <w:suppressLineNumbers w:val="0"/>
                    <w:kinsoku/>
                    <w:overflowPunct/>
                    <w:topLinePunct w:val="0"/>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生产用水量（新鲜用水）=</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前处理线用水</w:t>
                  </w:r>
                  <w:r>
                    <w:rPr>
                      <w:rFonts w:hint="eastAsia" w:cs="Times New Roman"/>
                      <w:color w:val="000000" w:themeColor="text1"/>
                      <w:sz w:val="21"/>
                      <w:szCs w:val="21"/>
                      <w:highlight w:val="none"/>
                      <w:lang w:val="en-US" w:eastAsia="zh-CN"/>
                      <w14:textFill>
                        <w14:solidFill>
                          <w14:schemeClr w14:val="tx1"/>
                        </w14:solidFill>
                      </w14:textFill>
                    </w:rPr>
                    <w:t>量-（除油剂年用量+无铬钝化剂年用量）=19916.128-（17.824+3.201）=19895.11</w:t>
                  </w:r>
                </w:p>
              </w:tc>
            </w:tr>
            <w:tr w14:paraId="302A1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942" w:type="pct"/>
                  <w:noWrap w:val="0"/>
                  <w:vAlign w:val="center"/>
                </w:tcPr>
                <w:p w14:paraId="2B100521">
                  <w:pPr>
                    <w:keepNext w:val="0"/>
                    <w:keepLines w:val="0"/>
                    <w:widowControl/>
                    <w:suppressLineNumbers w:val="0"/>
                    <w:jc w:val="center"/>
                    <w:textAlignment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水帘柜用水</w:t>
                  </w:r>
                </w:p>
              </w:tc>
              <w:tc>
                <w:tcPr>
                  <w:tcW w:w="1164" w:type="dxa"/>
                  <w:noWrap w:val="0"/>
                  <w:vAlign w:val="center"/>
                </w:tcPr>
                <w:p w14:paraId="4360B957">
                  <w:pPr>
                    <w:keepNext w:val="0"/>
                    <w:keepLines w:val="0"/>
                    <w:widowControl/>
                    <w:suppressLineNumbers w:val="0"/>
                    <w:jc w:val="center"/>
                    <w:textAlignment w:val="center"/>
                    <w:rPr>
                      <w:rFonts w:hint="eastAsia"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5434.704</w:t>
                  </w:r>
                </w:p>
              </w:tc>
              <w:tc>
                <w:tcPr>
                  <w:tcW w:w="3373" w:type="pct"/>
                  <w:noWrap w:val="0"/>
                  <w:vAlign w:val="center"/>
                </w:tcPr>
                <w:p w14:paraId="21AF39C0">
                  <w:pPr>
                    <w:keepNext w:val="0"/>
                    <w:keepLines w:val="0"/>
                    <w:widowControl/>
                    <w:suppressLineNumbers w:val="0"/>
                    <w:jc w:val="center"/>
                    <w:textAlignment w:val="center"/>
                    <w:rPr>
                      <w:rFonts w:hint="eastAsia"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3ECAA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2" w:type="pct"/>
                  <w:noWrap w:val="0"/>
                  <w:vAlign w:val="center"/>
                </w:tcPr>
                <w:p w14:paraId="29CDCEC2">
                  <w:pPr>
                    <w:keepNext w:val="0"/>
                    <w:keepLines w:val="0"/>
                    <w:widowControl/>
                    <w:suppressLineNumbers w:val="0"/>
                    <w:jc w:val="center"/>
                    <w:textAlignment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喷淋塔用水</w:t>
                  </w:r>
                </w:p>
              </w:tc>
              <w:tc>
                <w:tcPr>
                  <w:tcW w:w="1164" w:type="dxa"/>
                  <w:noWrap w:val="0"/>
                  <w:vAlign w:val="center"/>
                </w:tcPr>
                <w:p w14:paraId="53A82A35">
                  <w:pPr>
                    <w:keepNext w:val="0"/>
                    <w:keepLines w:val="0"/>
                    <w:widowControl/>
                    <w:suppressLineNumbers w:val="0"/>
                    <w:jc w:val="center"/>
                    <w:textAlignment w:val="center"/>
                    <w:rPr>
                      <w:rFonts w:hint="eastAsia"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1190.4</w:t>
                  </w:r>
                </w:p>
              </w:tc>
              <w:tc>
                <w:tcPr>
                  <w:tcW w:w="3373" w:type="pct"/>
                  <w:noWrap w:val="0"/>
                  <w:vAlign w:val="center"/>
                </w:tcPr>
                <w:p w14:paraId="42D0C206">
                  <w:pPr>
                    <w:keepNext w:val="0"/>
                    <w:keepLines w:val="0"/>
                    <w:widowControl/>
                    <w:suppressLineNumbers w:val="0"/>
                    <w:jc w:val="center"/>
                    <w:textAlignment w:val="center"/>
                    <w:rPr>
                      <w:rFonts w:hint="eastAsia"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01965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942" w:type="pct"/>
                  <w:noWrap w:val="0"/>
                  <w:vAlign w:val="center"/>
                </w:tcPr>
                <w:p w14:paraId="300A31D8">
                  <w:pPr>
                    <w:keepNext w:val="0"/>
                    <w:keepLines w:val="0"/>
                    <w:widowControl/>
                    <w:suppressLineNumbers w:val="0"/>
                    <w:jc w:val="left"/>
                    <w:textAlignment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生产用水合计</w:t>
                  </w:r>
                </w:p>
              </w:tc>
              <w:tc>
                <w:tcPr>
                  <w:tcW w:w="1164" w:type="dxa"/>
                  <w:noWrap w:val="0"/>
                  <w:vAlign w:val="center"/>
                </w:tcPr>
                <w:p w14:paraId="1966988D">
                  <w:pPr>
                    <w:keepNext w:val="0"/>
                    <w:keepLines w:val="0"/>
                    <w:widowControl/>
                    <w:suppressLineNumbers w:val="0"/>
                    <w:jc w:val="center"/>
                    <w:textAlignment w:val="center"/>
                    <w:rPr>
                      <w:rFonts w:hint="eastAsia"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26520.2</w:t>
                  </w:r>
                  <w:r>
                    <w:rPr>
                      <w:rFonts w:hint="eastAsia" w:cs="Times New Roman"/>
                      <w:i w:val="0"/>
                      <w:iCs w:val="0"/>
                      <w:color w:val="000000" w:themeColor="text1"/>
                      <w:kern w:val="0"/>
                      <w:sz w:val="21"/>
                      <w:szCs w:val="21"/>
                      <w:u w:val="none"/>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3373" w:type="pct"/>
                  <w:noWrap w:val="0"/>
                  <w:vAlign w:val="center"/>
                </w:tcPr>
                <w:p w14:paraId="1F2F7557">
                  <w:pPr>
                    <w:keepNext w:val="0"/>
                    <w:keepLines w:val="0"/>
                    <w:widowControl/>
                    <w:suppressLineNumbers w:val="0"/>
                    <w:jc w:val="center"/>
                    <w:textAlignment w:val="center"/>
                    <w:rPr>
                      <w:rFonts w:hint="eastAsia"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p>
              </w:tc>
            </w:tr>
            <w:tr w14:paraId="625F4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942" w:type="pct"/>
                  <w:noWrap w:val="0"/>
                  <w:vAlign w:val="center"/>
                </w:tcPr>
                <w:p w14:paraId="10A9A7A1">
                  <w:pPr>
                    <w:keepNext w:val="0"/>
                    <w:keepLines w:val="0"/>
                    <w:widowControl/>
                    <w:suppressLineNumbers w:val="0"/>
                    <w:jc w:val="center"/>
                    <w:textAlignment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总用水</w:t>
                  </w:r>
                </w:p>
              </w:tc>
              <w:tc>
                <w:tcPr>
                  <w:tcW w:w="1164" w:type="dxa"/>
                  <w:noWrap w:val="0"/>
                  <w:vAlign w:val="center"/>
                </w:tcPr>
                <w:p w14:paraId="5F54FB2C">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28820.2</w:t>
                  </w:r>
                  <w:r>
                    <w:rPr>
                      <w:rFonts w:hint="eastAsia" w:cs="Times New Roman"/>
                      <w:i w:val="0"/>
                      <w:iCs w:val="0"/>
                      <w:color w:val="000000" w:themeColor="text1"/>
                      <w:kern w:val="0"/>
                      <w:sz w:val="21"/>
                      <w:szCs w:val="21"/>
                      <w:u w:val="none"/>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3373" w:type="pct"/>
                  <w:noWrap w:val="0"/>
                  <w:vAlign w:val="center"/>
                </w:tcPr>
                <w:p w14:paraId="6B82A54E">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bl>
          <w:p w14:paraId="08E701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00" w:lineRule="exact"/>
              <w:ind w:left="0" w:right="0" w:firstLine="480" w:firstLineChars="200"/>
              <w:jc w:val="left"/>
              <w:textAlignment w:val="auto"/>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pPr>
          </w:p>
          <w:p w14:paraId="2BD2817F">
            <w:pPr>
              <w:pStyle w:val="11"/>
              <w:widowControl/>
              <w:numPr>
                <w:ilvl w:val="4"/>
                <w:numId w:val="0"/>
              </w:numPr>
              <w:suppressLineNumbers w:val="0"/>
              <w:spacing w:before="0" w:beforeAutospacing="0" w:after="0" w:afterAutospacing="0" w:line="360" w:lineRule="auto"/>
              <w:ind w:left="-960" w:right="0" w:firstLine="1440"/>
              <w:rPr>
                <w:rFonts w:hint="default" w:ascii="Times New Roman" w:hAnsi="Times New Roman" w:cs="Times New Roman"/>
                <w:color w:val="000000" w:themeColor="text1"/>
                <w:kern w:val="2"/>
                <w:sz w:val="24"/>
                <w:szCs w:val="24"/>
                <w:highlight w:val="none"/>
                <w14:textFill>
                  <w14:solidFill>
                    <w14:schemeClr w14:val="tx1"/>
                  </w14:solidFill>
                </w14:textFill>
              </w:rPr>
            </w:pPr>
            <w:r>
              <w:rPr>
                <w:rFonts w:hint="default" w:ascii="Times New Roman" w:hAnsi="Times New Roman" w:cs="Times New Roman"/>
                <w:color w:val="000000" w:themeColor="text1"/>
                <w:kern w:val="2"/>
                <w:sz w:val="24"/>
                <w:szCs w:val="24"/>
                <w:highlight w:val="none"/>
                <w14:textFill>
                  <w14:solidFill>
                    <w14:schemeClr w14:val="tx1"/>
                  </w14:solidFill>
                </w14:textFill>
              </w:rPr>
              <w:t>（3）排水</w:t>
            </w:r>
          </w:p>
          <w:p w14:paraId="74A4F4D5">
            <w:pPr>
              <w:keepNext w:val="0"/>
              <w:keepLines w:val="0"/>
              <w:suppressLineNumbers w:val="0"/>
              <w:adjustRightInd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本项目实行雨污分流制的排水体制。</w:t>
            </w:r>
          </w:p>
          <w:p w14:paraId="5E59BF20">
            <w:pPr>
              <w:keepNext w:val="0"/>
              <w:keepLines w:val="0"/>
              <w:suppressLineNumbers w:val="0"/>
              <w:adjustRightInd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雨水：雨水经厂区雨水管网收集后，排入市政雨水管网；</w:t>
            </w:r>
          </w:p>
          <w:p w14:paraId="76A3EE66">
            <w:pPr>
              <w:keepNext w:val="0"/>
              <w:keepLines w:val="0"/>
              <w:suppressLineNumbers w:val="0"/>
              <w:adjustRightInd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生活污水：本项目生活污水排放量为</w:t>
            </w:r>
            <w:r>
              <w:rPr>
                <w:rFonts w:hint="eastAsia" w:cs="Times New Roman"/>
                <w:color w:val="000000" w:themeColor="text1"/>
                <w:sz w:val="24"/>
                <w:szCs w:val="24"/>
                <w:highlight w:val="none"/>
                <w:lang w:val="en-US" w:eastAsia="zh-CN"/>
                <w14:textFill>
                  <w14:solidFill>
                    <w14:schemeClr w14:val="tx1"/>
                  </w14:solidFill>
                </w14:textFill>
              </w:rPr>
              <w:t>2070</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/a，经三级化粪池</w:t>
            </w:r>
            <w:r>
              <w:rPr>
                <w:rFonts w:hint="eastAsia"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隔油隔渣池</w:t>
            </w:r>
            <w:r>
              <w:rPr>
                <w:rFonts w:hint="default" w:ascii="Times New Roman" w:hAnsi="Times New Roman" w:cs="Times New Roman"/>
                <w:color w:val="000000" w:themeColor="text1"/>
                <w:sz w:val="24"/>
                <w:szCs w:val="24"/>
                <w:highlight w:val="none"/>
                <w14:textFill>
                  <w14:solidFill>
                    <w14:schemeClr w14:val="tx1"/>
                  </w14:solidFill>
                </w14:textFill>
              </w:rPr>
              <w:t>预处理后，排入园区污水处理厂进一步处理，达标后排放至武江；</w:t>
            </w:r>
          </w:p>
          <w:p w14:paraId="1B9A15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生产废水：</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包括水帘柜废水、喷淋塔废水和前处理废水。</w:t>
            </w:r>
          </w:p>
          <w:p w14:paraId="2C537A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color w:val="000000" w:themeColor="text1"/>
                <w:sz w:val="24"/>
                <w:szCs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A.水帘柜废水：</w:t>
            </w:r>
            <w:r>
              <w:rPr>
                <w:color w:val="000000" w:themeColor="text1"/>
                <w:sz w:val="24"/>
                <w:szCs w:val="24"/>
                <w14:textFill>
                  <w14:solidFill>
                    <w14:schemeClr w14:val="tx1"/>
                  </w14:solidFill>
                </w14:textFill>
              </w:rPr>
              <w:t>喷漆房内设有水帘</w:t>
            </w:r>
            <w:r>
              <w:rPr>
                <w:rFonts w:hint="eastAsia"/>
                <w:color w:val="000000" w:themeColor="text1"/>
                <w:sz w:val="24"/>
                <w:szCs w:val="24"/>
                <w:lang w:val="en-US" w:eastAsia="zh-CN"/>
                <w14:textFill>
                  <w14:solidFill>
                    <w14:schemeClr w14:val="tx1"/>
                  </w14:solidFill>
                </w14:textFill>
              </w:rPr>
              <w:t>柜</w:t>
            </w:r>
            <w:r>
              <w:rPr>
                <w:color w:val="000000" w:themeColor="text1"/>
                <w:sz w:val="24"/>
                <w:szCs w:val="24"/>
                <w14:textFill>
                  <w14:solidFill>
                    <w14:schemeClr w14:val="tx1"/>
                  </w14:solidFill>
                </w14:textFill>
              </w:rPr>
              <w:t>的循环水池，总有效容积为</w:t>
            </w:r>
            <w:r>
              <w:rPr>
                <w:rFonts w:hint="eastAsia"/>
                <w:color w:val="000000" w:themeColor="text1"/>
                <w:sz w:val="24"/>
                <w:szCs w:val="24"/>
                <w:lang w:val="en-US" w:eastAsia="zh-CN"/>
                <w14:textFill>
                  <w14:solidFill>
                    <w14:schemeClr w14:val="tx1"/>
                  </w14:solidFill>
                </w14:textFill>
              </w:rPr>
              <w:t>16.2</w:t>
            </w:r>
            <w:r>
              <w:rPr>
                <w:color w:val="000000" w:themeColor="text1"/>
                <w:sz w:val="24"/>
                <w:szCs w:val="24"/>
                <w14:textFill>
                  <w14:solidFill>
                    <w14:schemeClr w14:val="tx1"/>
                  </w14:solidFill>
                </w14:textFill>
              </w:rPr>
              <w:t>m</w:t>
            </w:r>
            <w:r>
              <w:rPr>
                <w:color w:val="000000" w:themeColor="text1"/>
                <w:sz w:val="24"/>
                <w:szCs w:val="24"/>
                <w:vertAlign w:val="superscript"/>
                <w14:textFill>
                  <w14:solidFill>
                    <w14:schemeClr w14:val="tx1"/>
                  </w14:solidFill>
                </w14:textFill>
              </w:rPr>
              <w:t>3</w:t>
            </w:r>
            <w:r>
              <w:rPr>
                <w:color w:val="000000" w:themeColor="text1"/>
                <w:sz w:val="24"/>
                <w:szCs w:val="24"/>
                <w14:textFill>
                  <w14:solidFill>
                    <w14:schemeClr w14:val="tx1"/>
                  </w14:solidFill>
                </w14:textFill>
              </w:rPr>
              <w:t>，每</w:t>
            </w:r>
            <w:r>
              <w:rPr>
                <w:rFonts w:hint="eastAsia"/>
                <w:color w:val="000000" w:themeColor="text1"/>
                <w:sz w:val="24"/>
                <w:szCs w:val="24"/>
                <w:lang w:eastAsia="zh-CN"/>
                <w14:textFill>
                  <w14:solidFill>
                    <w14:schemeClr w14:val="tx1"/>
                  </w14:solidFill>
                </w14:textFill>
              </w:rPr>
              <w:t>月</w:t>
            </w:r>
            <w:r>
              <w:rPr>
                <w:color w:val="000000" w:themeColor="text1"/>
                <w:sz w:val="24"/>
                <w:szCs w:val="24"/>
                <w14:textFill>
                  <w14:solidFill>
                    <w14:schemeClr w14:val="tx1"/>
                  </w14:solidFill>
                </w14:textFill>
              </w:rPr>
              <w:t>更换一次，对应更换补充用水量为</w:t>
            </w:r>
            <w:r>
              <w:rPr>
                <w:rFonts w:hint="eastAsia"/>
                <w:color w:val="000000" w:themeColor="text1"/>
                <w:sz w:val="24"/>
                <w:szCs w:val="24"/>
                <w:lang w:val="en-US" w:eastAsia="zh-CN"/>
                <w14:textFill>
                  <w14:solidFill>
                    <w14:schemeClr w14:val="tx1"/>
                  </w14:solidFill>
                </w14:textFill>
              </w:rPr>
              <w:t>16.2</w:t>
            </w:r>
            <w:r>
              <w:rPr>
                <w:color w:val="000000" w:themeColor="text1"/>
                <w:sz w:val="24"/>
                <w:szCs w:val="24"/>
                <w14:textFill>
                  <w14:solidFill>
                    <w14:schemeClr w14:val="tx1"/>
                  </w14:solidFill>
                </w14:textFill>
              </w:rPr>
              <w:t>m</w:t>
            </w:r>
            <w:r>
              <w:rPr>
                <w:color w:val="000000" w:themeColor="text1"/>
                <w:sz w:val="24"/>
                <w:szCs w:val="24"/>
                <w:vertAlign w:val="superscript"/>
                <w14:textFill>
                  <w14:solidFill>
                    <w14:schemeClr w14:val="tx1"/>
                  </w14:solidFill>
                </w14:textFill>
              </w:rPr>
              <w:t>3</w:t>
            </w:r>
            <w:r>
              <w:rPr>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12</w:t>
            </w:r>
            <w:r>
              <w:rPr>
                <w:color w:val="000000" w:themeColor="text1"/>
                <w:sz w:val="24"/>
                <w:szCs w:val="24"/>
                <w14:textFill>
                  <w14:solidFill>
                    <w14:schemeClr w14:val="tx1"/>
                  </w14:solidFill>
                </w14:textFill>
              </w:rPr>
              <w:t>次/年=</w:t>
            </w:r>
            <w:r>
              <w:rPr>
                <w:rFonts w:hint="eastAsia"/>
                <w:color w:val="000000" w:themeColor="text1"/>
                <w:sz w:val="24"/>
                <w:szCs w:val="24"/>
                <w:lang w:val="en-US" w:eastAsia="zh-CN"/>
                <w14:textFill>
                  <w14:solidFill>
                    <w14:schemeClr w14:val="tx1"/>
                  </w14:solidFill>
                </w14:textFill>
              </w:rPr>
              <w:t>194.4</w:t>
            </w:r>
            <w:r>
              <w:rPr>
                <w:color w:val="000000" w:themeColor="text1"/>
                <w:sz w:val="24"/>
                <w:szCs w:val="24"/>
                <w14:textFill>
                  <w14:solidFill>
                    <w14:schemeClr w14:val="tx1"/>
                  </w14:solidFill>
                </w14:textFill>
              </w:rPr>
              <w:t>m</w:t>
            </w:r>
            <w:r>
              <w:rPr>
                <w:color w:val="000000" w:themeColor="text1"/>
                <w:sz w:val="24"/>
                <w:szCs w:val="24"/>
                <w:vertAlign w:val="superscript"/>
                <w14:textFill>
                  <w14:solidFill>
                    <w14:schemeClr w14:val="tx1"/>
                  </w14:solidFill>
                </w14:textFill>
              </w:rPr>
              <w:t>3</w:t>
            </w:r>
            <w:r>
              <w:rPr>
                <w:color w:val="000000" w:themeColor="text1"/>
                <w:sz w:val="24"/>
                <w:szCs w:val="24"/>
                <w14:textFill>
                  <w14:solidFill>
                    <w14:schemeClr w14:val="tx1"/>
                  </w14:solidFill>
                </w14:textFill>
              </w:rPr>
              <w:t>/a，更换后的废水</w:t>
            </w:r>
            <w:r>
              <w:rPr>
                <w:rFonts w:hint="eastAsia"/>
                <w:color w:val="000000" w:themeColor="text1"/>
                <w:sz w:val="24"/>
                <w:szCs w:val="24"/>
                <w:lang w:val="en-US" w:eastAsia="zh-CN"/>
                <w14:textFill>
                  <w14:solidFill>
                    <w14:schemeClr w14:val="tx1"/>
                  </w14:solidFill>
                </w14:textFill>
              </w:rPr>
              <w:t>交由有危险废物处置资质单位处置</w:t>
            </w:r>
            <w:r>
              <w:rPr>
                <w:color w:val="000000" w:themeColor="text1"/>
                <w:sz w:val="24"/>
                <w:szCs w:val="24"/>
                <w14:textFill>
                  <w14:solidFill>
                    <w14:schemeClr w14:val="tx1"/>
                  </w14:solidFill>
                </w14:textFill>
              </w:rPr>
              <w:t>；</w:t>
            </w:r>
          </w:p>
          <w:p w14:paraId="3A66B74D">
            <w:pPr>
              <w:keepNext w:val="0"/>
              <w:keepLines w:val="0"/>
              <w:suppressLineNumbers w:val="0"/>
              <w:adjustRightInd w:val="0"/>
              <w:spacing w:before="0" w:beforeAutospacing="0" w:after="0" w:afterAutospacing="0" w:line="360" w:lineRule="auto"/>
              <w:ind w:left="0" w:right="0" w:firstLine="482" w:firstLineChars="200"/>
              <w:rPr>
                <w:color w:val="000000" w:themeColor="text1"/>
                <w:sz w:val="24"/>
                <w:szCs w:val="24"/>
                <w:highlight w:val="none"/>
                <w14:textFill>
                  <w14:solidFill>
                    <w14:schemeClr w14:val="tx1"/>
                  </w14:solidFill>
                </w14:textFill>
              </w:rPr>
            </w:pP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B.喷淋塔废水：</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本项目废气治理设施设置有</w:t>
            </w:r>
            <w:r>
              <w:rPr>
                <w:rFonts w:hint="eastAsia" w:cs="Times New Roman"/>
                <w:color w:val="000000" w:themeColor="text1"/>
                <w:sz w:val="24"/>
                <w:szCs w:val="24"/>
                <w:highlight w:val="none"/>
                <w:lang w:val="en-US" w:eastAsia="zh-CN"/>
                <w14:textFill>
                  <w14:solidFill>
                    <w14:schemeClr w14:val="tx1"/>
                  </w14:solidFill>
                </w14:textFill>
              </w:rPr>
              <w:t>1</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台</w:t>
            </w:r>
            <w:r>
              <w:rPr>
                <w:rFonts w:ascii="Times New Roman" w:hAnsi="Times New Roman" w:cs="Times New Roman"/>
                <w:color w:val="000000" w:themeColor="text1"/>
                <w:sz w:val="24"/>
                <w:szCs w:val="24"/>
                <w:highlight w:val="none"/>
                <w14:textFill>
                  <w14:solidFill>
                    <w14:schemeClr w14:val="tx1"/>
                  </w14:solidFill>
                </w14:textFill>
              </w:rPr>
              <w:t>喷淋塔</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color w:val="000000" w:themeColor="text1"/>
                <w:sz w:val="24"/>
                <w:szCs w:val="24"/>
                <w:highlight w:val="none"/>
                <w14:textFill>
                  <w14:solidFill>
                    <w14:schemeClr w14:val="tx1"/>
                  </w14:solidFill>
                </w14:textFill>
              </w:rPr>
              <w:t>喷淋塔循环水吸附漆雾后污染物浓度会增大，需定期更换，预计每周更换1次，一个月更换4次，每次更换量为循环水箱容积，约0.7t，则喷淋塔循环水更换量为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1台×</w:t>
            </w:r>
            <w:r>
              <w:rPr>
                <w:rFonts w:ascii="Times New Roman" w:hAnsi="Times New Roman" w:cs="Times New Roman"/>
                <w:color w:val="000000" w:themeColor="text1"/>
                <w:sz w:val="24"/>
                <w:szCs w:val="24"/>
                <w:highlight w:val="none"/>
                <w14:textFill>
                  <w14:solidFill>
                    <w14:schemeClr w14:val="tx1"/>
                  </w14:solidFill>
                </w14:textFill>
              </w:rPr>
              <w:t>0.7t×4</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8次/年</w:t>
            </w:r>
            <w:r>
              <w:rPr>
                <w:rFonts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33.6</w:t>
            </w:r>
            <w:r>
              <w:rPr>
                <w:color w:val="000000" w:themeColor="text1"/>
                <w:sz w:val="24"/>
                <w:szCs w:val="24"/>
                <w14:textFill>
                  <w14:solidFill>
                    <w14:schemeClr w14:val="tx1"/>
                  </w14:solidFill>
                </w14:textFill>
              </w:rPr>
              <w:t>m</w:t>
            </w:r>
            <w:r>
              <w:rPr>
                <w:color w:val="000000" w:themeColor="text1"/>
                <w:sz w:val="24"/>
                <w:szCs w:val="24"/>
                <w:vertAlign w:val="superscript"/>
                <w14:textFill>
                  <w14:solidFill>
                    <w14:schemeClr w14:val="tx1"/>
                  </w14:solidFill>
                </w14:textFill>
              </w:rPr>
              <w:t>3</w:t>
            </w:r>
            <w:r>
              <w:rPr>
                <w:color w:val="000000" w:themeColor="text1"/>
                <w:sz w:val="24"/>
                <w:szCs w:val="24"/>
                <w14:textFill>
                  <w14:solidFill>
                    <w14:schemeClr w14:val="tx1"/>
                  </w14:solidFill>
                </w14:textFill>
              </w:rPr>
              <w:t>/a</w:t>
            </w:r>
            <w:r>
              <w:rPr>
                <w:color w:val="000000" w:themeColor="text1"/>
                <w:sz w:val="24"/>
                <w:szCs w:val="24"/>
                <w:highlight w:val="none"/>
                <w14:textFill>
                  <w14:solidFill>
                    <w14:schemeClr w14:val="tx1"/>
                  </w14:solidFill>
                </w14:textFill>
              </w:rPr>
              <w:t>，更换的废水</w:t>
            </w:r>
            <w:r>
              <w:rPr>
                <w:rFonts w:hint="eastAsia"/>
                <w:color w:val="000000" w:themeColor="text1"/>
                <w:sz w:val="24"/>
                <w:szCs w:val="24"/>
                <w:lang w:val="en-US" w:eastAsia="zh-CN"/>
                <w14:textFill>
                  <w14:solidFill>
                    <w14:schemeClr w14:val="tx1"/>
                  </w14:solidFill>
                </w14:textFill>
              </w:rPr>
              <w:t>交由有危险废物处置资质单位处置</w:t>
            </w:r>
            <w:r>
              <w:rPr>
                <w:color w:val="000000" w:themeColor="text1"/>
                <w:sz w:val="24"/>
                <w:szCs w:val="24"/>
                <w:highlight w:val="none"/>
                <w14:textFill>
                  <w14:solidFill>
                    <w14:schemeClr w14:val="tx1"/>
                  </w14:solidFill>
                </w14:textFill>
              </w:rPr>
              <w:t>。</w:t>
            </w:r>
          </w:p>
          <w:p w14:paraId="6FC7D009">
            <w:pPr>
              <w:keepNext w:val="0"/>
              <w:keepLines w:val="0"/>
              <w:suppressLineNumbers w:val="0"/>
              <w:adjustRightInd w:val="0"/>
              <w:spacing w:before="0" w:beforeAutospacing="0" w:after="0" w:afterAutospacing="0" w:line="360" w:lineRule="auto"/>
              <w:ind w:left="0" w:right="0" w:firstLine="482"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lang w:val="en-US" w:eastAsia="zh-CN"/>
                <w14:textFill>
                  <w14:solidFill>
                    <w14:schemeClr w14:val="tx1"/>
                  </w14:solidFill>
                </w14:textFill>
              </w:rPr>
              <w:t>C.前处理废水：</w:t>
            </w:r>
            <w:r>
              <w:rPr>
                <w:rFonts w:hint="eastAsia"/>
                <w:color w:val="000000" w:themeColor="text1"/>
                <w:sz w:val="24"/>
                <w:szCs w:val="24"/>
                <w:highlight w:val="none"/>
                <w:lang w:val="en-US" w:eastAsia="zh-CN"/>
                <w14:textFill>
                  <w14:solidFill>
                    <w14:schemeClr w14:val="tx1"/>
                  </w14:solidFill>
                </w14:textFill>
              </w:rPr>
              <w:t>由前文计算可知，前处理废水</w:t>
            </w:r>
            <w:r>
              <w:rPr>
                <w:rFonts w:hint="default" w:ascii="Times New Roman" w:hAnsi="Times New Roman" w:cs="Times New Roman"/>
                <w:color w:val="000000" w:themeColor="text1"/>
                <w:sz w:val="24"/>
                <w:szCs w:val="24"/>
                <w:highlight w:val="none"/>
                <w14:textFill>
                  <w14:solidFill>
                    <w14:schemeClr w14:val="tx1"/>
                  </w14:solidFill>
                </w14:textFill>
              </w:rPr>
              <w:t>生产废水排放量</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合计</w:t>
            </w:r>
            <w:r>
              <w:rPr>
                <w:rFonts w:hint="default" w:ascii="Times New Roman" w:hAnsi="Times New Roman" w:cs="Times New Roman"/>
                <w:color w:val="000000" w:themeColor="text1"/>
                <w:sz w:val="24"/>
                <w:szCs w:val="24"/>
                <w:highlight w:val="none"/>
                <w14:textFill>
                  <w14:solidFill>
                    <w14:schemeClr w14:val="tx1"/>
                  </w14:solidFill>
                </w14:textFill>
              </w:rPr>
              <w:t>为</w:t>
            </w:r>
            <w:r>
              <w:rPr>
                <w:rFonts w:hint="eastAsia" w:cs="Times New Roman"/>
                <w:color w:val="000000" w:themeColor="text1"/>
                <w:sz w:val="24"/>
                <w:szCs w:val="24"/>
                <w:highlight w:val="none"/>
                <w:lang w:val="en-US" w:eastAsia="zh-CN"/>
                <w14:textFill>
                  <w14:solidFill>
                    <w14:schemeClr w14:val="tx1"/>
                  </w14:solidFill>
                </w14:textFill>
              </w:rPr>
              <w:t>10010.08</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/a，折算为</w:t>
            </w:r>
            <w:r>
              <w:rPr>
                <w:rFonts w:hint="eastAsia" w:cs="Times New Roman"/>
                <w:color w:val="000000" w:themeColor="text1"/>
                <w:sz w:val="24"/>
                <w:szCs w:val="24"/>
                <w:highlight w:val="none"/>
                <w:lang w:val="en-US" w:eastAsia="zh-CN"/>
                <w14:textFill>
                  <w14:solidFill>
                    <w14:schemeClr w14:val="tx1"/>
                  </w14:solidFill>
                </w14:textFill>
              </w:rPr>
              <w:t>41.54</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/d。</w:t>
            </w:r>
          </w:p>
          <w:p w14:paraId="49CBB412">
            <w:pPr>
              <w:keepNext w:val="0"/>
              <w:keepLines w:val="0"/>
              <w:suppressLineNumbers w:val="0"/>
              <w:adjustRightInd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生产废水排放量</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合计</w:t>
            </w:r>
            <w:r>
              <w:rPr>
                <w:rFonts w:hint="default" w:ascii="Times New Roman" w:hAnsi="Times New Roman" w:cs="Times New Roman"/>
                <w:color w:val="000000" w:themeColor="text1"/>
                <w:sz w:val="24"/>
                <w:szCs w:val="24"/>
                <w:highlight w:val="none"/>
                <w14:textFill>
                  <w14:solidFill>
                    <w14:schemeClr w14:val="tx1"/>
                  </w14:solidFill>
                </w14:textFill>
              </w:rPr>
              <w:t>为</w:t>
            </w:r>
            <w:r>
              <w:rPr>
                <w:rFonts w:hint="eastAsia" w:cs="Times New Roman"/>
                <w:color w:val="000000" w:themeColor="text1"/>
                <w:sz w:val="24"/>
                <w:szCs w:val="24"/>
                <w:highlight w:val="none"/>
                <w:lang w:val="en-US" w:eastAsia="zh-CN"/>
                <w14:textFill>
                  <w14:solidFill>
                    <w14:schemeClr w14:val="tx1"/>
                  </w14:solidFill>
                </w14:textFill>
              </w:rPr>
              <w:t>10010.08</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/a，折算为</w:t>
            </w:r>
            <w:r>
              <w:rPr>
                <w:rFonts w:hint="eastAsia" w:cs="Times New Roman"/>
                <w:color w:val="000000" w:themeColor="text1"/>
                <w:sz w:val="24"/>
                <w:szCs w:val="24"/>
                <w:highlight w:val="none"/>
                <w:lang w:val="en-US" w:eastAsia="zh-CN"/>
                <w14:textFill>
                  <w14:solidFill>
                    <w14:schemeClr w14:val="tx1"/>
                  </w14:solidFill>
                </w14:textFill>
              </w:rPr>
              <w:t>41.54</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/d。经自建污水处理站（工艺为“</w:t>
            </w:r>
            <w:r>
              <w:rPr>
                <w:rFonts w:hint="eastAsia" w:cs="Times New Roman"/>
                <w:color w:val="000000" w:themeColor="text1"/>
                <w:sz w:val="24"/>
                <w:szCs w:val="24"/>
                <w:highlight w:val="none"/>
                <w:lang w:eastAsia="zh-CN"/>
                <w14:textFill>
                  <w14:solidFill>
                    <w14:schemeClr w14:val="tx1"/>
                  </w14:solidFill>
                </w14:textFill>
              </w:rPr>
              <w:t>中和调节+混凝沉淀+气浮+化学除氟</w:t>
            </w:r>
            <w:r>
              <w:rPr>
                <w:rFonts w:hint="default" w:ascii="Times New Roman" w:hAnsi="Times New Roman" w:cs="Times New Roman"/>
                <w:color w:val="000000" w:themeColor="text1"/>
                <w:sz w:val="24"/>
                <w:szCs w:val="24"/>
                <w:highlight w:val="none"/>
                <w14:textFill>
                  <w14:solidFill>
                    <w14:schemeClr w14:val="tx1"/>
                  </w14:solidFill>
                </w14:textFill>
              </w:rPr>
              <w:t>”）处理后，排入园区污水处理厂进一步处理，处理达标后排放至武江。</w:t>
            </w:r>
          </w:p>
          <w:p w14:paraId="2999C421">
            <w:pPr>
              <w:pageBreakBefore w:val="0"/>
              <w:widowControl w:val="0"/>
              <w:numPr>
                <w:ilvl w:val="0"/>
                <w:numId w:val="10"/>
              </w:numPr>
              <w:wordWrap w:val="0"/>
              <w:overflowPunct/>
              <w:bidi w:val="0"/>
              <w:spacing w:line="240" w:lineRule="auto"/>
              <w:ind w:left="0" w:leftChars="0" w:firstLine="40" w:firstLineChars="0"/>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排水量一览表</w:t>
            </w:r>
          </w:p>
          <w:tbl>
            <w:tblPr>
              <w:tblStyle w:val="44"/>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41"/>
              <w:gridCol w:w="1512"/>
              <w:gridCol w:w="1161"/>
              <w:gridCol w:w="4196"/>
            </w:tblGrid>
            <w:tr w14:paraId="02C08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964" w:type="pct"/>
                  <w:noWrap w:val="0"/>
                  <w:vAlign w:val="center"/>
                </w:tcPr>
                <w:p w14:paraId="5101E15D">
                  <w:pPr>
                    <w:pStyle w:val="109"/>
                    <w:keepNext w:val="0"/>
                    <w:keepLines w:val="0"/>
                    <w:widowControl/>
                    <w:suppressLineNumbers w:val="0"/>
                    <w:tabs>
                      <w:tab w:val="left" w:pos="-2848"/>
                    </w:tabs>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排水情形</w:t>
                  </w:r>
                </w:p>
              </w:tc>
              <w:tc>
                <w:tcPr>
                  <w:tcW w:w="888" w:type="pct"/>
                  <w:noWrap w:val="0"/>
                  <w:vAlign w:val="center"/>
                </w:tcPr>
                <w:p w14:paraId="6CBE9D8E">
                  <w:pPr>
                    <w:pStyle w:val="109"/>
                    <w:keepNext w:val="0"/>
                    <w:keepLines w:val="0"/>
                    <w:widowControl/>
                    <w:suppressLineNumbers w:val="0"/>
                    <w:tabs>
                      <w:tab w:val="left" w:pos="-2848"/>
                    </w:tabs>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排水定额</w:t>
                  </w:r>
                </w:p>
              </w:tc>
              <w:tc>
                <w:tcPr>
                  <w:tcW w:w="682" w:type="pct"/>
                  <w:noWrap w:val="0"/>
                  <w:vAlign w:val="center"/>
                </w:tcPr>
                <w:p w14:paraId="6F84FE7A">
                  <w:pPr>
                    <w:pStyle w:val="109"/>
                    <w:keepNext w:val="0"/>
                    <w:keepLines w:val="0"/>
                    <w:widowControl/>
                    <w:suppressLineNumbers w:val="0"/>
                    <w:tabs>
                      <w:tab w:val="left" w:pos="-2848"/>
                    </w:tabs>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排水量t/a</w:t>
                  </w:r>
                </w:p>
              </w:tc>
              <w:tc>
                <w:tcPr>
                  <w:tcW w:w="2464" w:type="pct"/>
                  <w:noWrap w:val="0"/>
                  <w:vAlign w:val="center"/>
                </w:tcPr>
                <w:p w14:paraId="23F2FC39">
                  <w:pPr>
                    <w:pStyle w:val="109"/>
                    <w:keepNext w:val="0"/>
                    <w:keepLines w:val="0"/>
                    <w:widowControl/>
                    <w:suppressLineNumbers w:val="0"/>
                    <w:tabs>
                      <w:tab w:val="left" w:pos="-2848"/>
                    </w:tabs>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说明</w:t>
                  </w:r>
                </w:p>
              </w:tc>
            </w:tr>
            <w:tr w14:paraId="3E5EE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964" w:type="pct"/>
                  <w:noWrap w:val="0"/>
                  <w:vAlign w:val="center"/>
                </w:tcPr>
                <w:p w14:paraId="58AF625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生活污水</w:t>
                  </w:r>
                </w:p>
              </w:tc>
              <w:tc>
                <w:tcPr>
                  <w:tcW w:w="888" w:type="pct"/>
                  <w:noWrap w:val="0"/>
                  <w:vAlign w:val="center"/>
                </w:tcPr>
                <w:p w14:paraId="7882A92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按生活用水量的90%</w:t>
                  </w:r>
                </w:p>
              </w:tc>
              <w:tc>
                <w:tcPr>
                  <w:tcW w:w="1161" w:type="dxa"/>
                  <w:noWrap w:val="0"/>
                  <w:vAlign w:val="center"/>
                </w:tcPr>
                <w:p w14:paraId="286832C5">
                  <w:pPr>
                    <w:keepNext w:val="0"/>
                    <w:keepLines w:val="0"/>
                    <w:widowControl/>
                    <w:suppressLineNumbers w:val="0"/>
                    <w:jc w:val="center"/>
                    <w:textAlignment w:val="center"/>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2070</w:t>
                  </w:r>
                </w:p>
              </w:tc>
              <w:tc>
                <w:tcPr>
                  <w:tcW w:w="2464" w:type="pct"/>
                  <w:noWrap w:val="0"/>
                  <w:vAlign w:val="center"/>
                </w:tcPr>
                <w:p w14:paraId="108AE515">
                  <w:pPr>
                    <w:keepNext w:val="0"/>
                    <w:keepLines w:val="0"/>
                    <w:widowControl/>
                    <w:suppressLineNumbers w:val="0"/>
                    <w:jc w:val="center"/>
                    <w:textAlignment w:val="center"/>
                    <w:rPr>
                      <w:rFonts w:hint="default" w:ascii="Times New Roman" w:hAnsi="Times New Roman" w:cs="Times New Roman"/>
                      <w:bCs/>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三级化粪池、隔油隔渣池处理</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园区污水处理厂</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武江</w:t>
                  </w:r>
                </w:p>
              </w:tc>
            </w:tr>
            <w:tr w14:paraId="719BC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964" w:type="pct"/>
                  <w:noWrap w:val="0"/>
                  <w:vAlign w:val="center"/>
                </w:tcPr>
                <w:p w14:paraId="7195762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前处理</w:t>
                  </w:r>
                  <w:r>
                    <w:rPr>
                      <w:rFonts w:hint="default" w:ascii="Times New Roman" w:hAnsi="Times New Roman" w:cs="Times New Roman"/>
                      <w:color w:val="000000" w:themeColor="text1"/>
                      <w:sz w:val="21"/>
                      <w:szCs w:val="21"/>
                      <w:highlight w:val="none"/>
                      <w14:textFill>
                        <w14:solidFill>
                          <w14:schemeClr w14:val="tx1"/>
                        </w14:solidFill>
                      </w14:textFill>
                    </w:rPr>
                    <w:t>废水</w:t>
                  </w:r>
                </w:p>
              </w:tc>
              <w:tc>
                <w:tcPr>
                  <w:tcW w:w="888" w:type="pct"/>
                  <w:noWrap w:val="0"/>
                  <w:vAlign w:val="center"/>
                </w:tcPr>
                <w:p w14:paraId="6D81017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p>
              </w:tc>
              <w:tc>
                <w:tcPr>
                  <w:tcW w:w="1161" w:type="dxa"/>
                  <w:noWrap w:val="0"/>
                  <w:vAlign w:val="center"/>
                </w:tcPr>
                <w:p w14:paraId="6FB38BD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10010.08</w:t>
                  </w:r>
                </w:p>
              </w:tc>
              <w:tc>
                <w:tcPr>
                  <w:tcW w:w="2464" w:type="pct"/>
                  <w:noWrap w:val="0"/>
                  <w:vAlign w:val="center"/>
                </w:tcPr>
                <w:p w14:paraId="7CFB4DAD">
                  <w:pPr>
                    <w:keepNext w:val="0"/>
                    <w:keepLines w:val="0"/>
                    <w:widowControl/>
                    <w:suppressLineNumbers w:val="0"/>
                    <w:jc w:val="left"/>
                    <w:textAlignment w:val="center"/>
                    <w:rPr>
                      <w:rFonts w:hint="default" w:ascii="Times New Roman" w:hAnsi="Times New Roman" w:cs="Times New Roman"/>
                      <w:bCs/>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自建污水处理站预处理</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园区污水处理厂</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武江</w:t>
                  </w:r>
                </w:p>
              </w:tc>
            </w:tr>
            <w:tr w14:paraId="68411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964" w:type="pct"/>
                  <w:noWrap w:val="0"/>
                  <w:vAlign w:val="center"/>
                </w:tcPr>
                <w:p w14:paraId="603400FE">
                  <w:pPr>
                    <w:keepNext w:val="0"/>
                    <w:keepLines w:val="0"/>
                    <w:widowControl/>
                    <w:suppressLineNumbers w:val="0"/>
                    <w:jc w:val="center"/>
                    <w:textAlignment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水帘柜废水</w:t>
                  </w:r>
                </w:p>
              </w:tc>
              <w:tc>
                <w:tcPr>
                  <w:tcW w:w="888" w:type="pct"/>
                  <w:noWrap w:val="0"/>
                  <w:vAlign w:val="center"/>
                </w:tcPr>
                <w:p w14:paraId="2021AD37">
                  <w:pPr>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1161" w:type="dxa"/>
                  <w:noWrap w:val="0"/>
                  <w:vAlign w:val="center"/>
                </w:tcPr>
                <w:p w14:paraId="1C632E6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194.4</w:t>
                  </w:r>
                </w:p>
              </w:tc>
              <w:tc>
                <w:tcPr>
                  <w:tcW w:w="2464" w:type="pct"/>
                  <w:vMerge w:val="restart"/>
                  <w:noWrap w:val="0"/>
                  <w:vAlign w:val="center"/>
                </w:tcPr>
                <w:p w14:paraId="2BEACB04">
                  <w:pPr>
                    <w:keepNext w:val="0"/>
                    <w:keepLines w:val="0"/>
                    <w:widowControl/>
                    <w:suppressLineNumbers w:val="0"/>
                    <w:jc w:val="center"/>
                    <w:textAlignment w:val="center"/>
                    <w:rPr>
                      <w:rFonts w:hint="default" w:ascii="Times New Roman" w:hAnsi="Times New Roman" w:cs="Times New Roman"/>
                      <w:bCs/>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交由有危险废物处置资质单位处置</w:t>
                  </w:r>
                </w:p>
              </w:tc>
            </w:tr>
            <w:tr w14:paraId="44CE5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64" w:type="pct"/>
                  <w:noWrap w:val="0"/>
                  <w:vAlign w:val="center"/>
                </w:tcPr>
                <w:p w14:paraId="41E58C61">
                  <w:pPr>
                    <w:keepNext w:val="0"/>
                    <w:keepLines w:val="0"/>
                    <w:widowControl/>
                    <w:suppressLineNumbers w:val="0"/>
                    <w:jc w:val="center"/>
                    <w:textAlignment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喷淋塔废水</w:t>
                  </w:r>
                </w:p>
              </w:tc>
              <w:tc>
                <w:tcPr>
                  <w:tcW w:w="888" w:type="pct"/>
                  <w:noWrap w:val="0"/>
                  <w:vAlign w:val="center"/>
                </w:tcPr>
                <w:p w14:paraId="62E9C19F">
                  <w:pPr>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1161" w:type="dxa"/>
                  <w:noWrap w:val="0"/>
                  <w:vAlign w:val="center"/>
                </w:tcPr>
                <w:p w14:paraId="2367DAC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33.6</w:t>
                  </w:r>
                </w:p>
              </w:tc>
              <w:tc>
                <w:tcPr>
                  <w:tcW w:w="2464" w:type="pct"/>
                  <w:vMerge w:val="continue"/>
                  <w:noWrap w:val="0"/>
                  <w:vAlign w:val="center"/>
                </w:tcPr>
                <w:p w14:paraId="22A6BE62">
                  <w:pPr>
                    <w:jc w:val="center"/>
                    <w:rPr>
                      <w:rFonts w:hint="default" w:ascii="Times New Roman" w:hAnsi="Times New Roman" w:cs="Times New Roman"/>
                      <w:bCs/>
                      <w:color w:val="000000" w:themeColor="text1"/>
                      <w:sz w:val="21"/>
                      <w:szCs w:val="21"/>
                      <w:highlight w:val="none"/>
                      <w14:textFill>
                        <w14:solidFill>
                          <w14:schemeClr w14:val="tx1"/>
                        </w14:solidFill>
                      </w14:textFill>
                    </w:rPr>
                  </w:pPr>
                </w:p>
              </w:tc>
            </w:tr>
            <w:tr w14:paraId="6C96B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964" w:type="pct"/>
                  <w:noWrap w:val="0"/>
                  <w:vAlign w:val="center"/>
                </w:tcPr>
                <w:p w14:paraId="11B4D100">
                  <w:pPr>
                    <w:keepNext w:val="0"/>
                    <w:keepLines w:val="0"/>
                    <w:widowControl/>
                    <w:suppressLineNumbers w:val="0"/>
                    <w:jc w:val="center"/>
                    <w:textAlignment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生产废水合计</w:t>
                  </w:r>
                </w:p>
              </w:tc>
              <w:tc>
                <w:tcPr>
                  <w:tcW w:w="888" w:type="pct"/>
                  <w:noWrap w:val="0"/>
                  <w:vAlign w:val="center"/>
                </w:tcPr>
                <w:p w14:paraId="1828F1BD">
                  <w:pPr>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1161" w:type="dxa"/>
                  <w:noWrap w:val="0"/>
                  <w:vAlign w:val="center"/>
                </w:tcPr>
                <w:p w14:paraId="4B348F9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10010.08</w:t>
                  </w:r>
                </w:p>
              </w:tc>
              <w:tc>
                <w:tcPr>
                  <w:tcW w:w="2464" w:type="pct"/>
                  <w:noWrap w:val="0"/>
                  <w:vAlign w:val="center"/>
                </w:tcPr>
                <w:p w14:paraId="0D2E6B77">
                  <w:pPr>
                    <w:keepNext w:val="0"/>
                    <w:keepLines w:val="0"/>
                    <w:widowControl/>
                    <w:suppressLineNumbers w:val="0"/>
                    <w:jc w:val="center"/>
                    <w:textAlignment w:val="cente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60FCD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964" w:type="pct"/>
                  <w:noWrap w:val="0"/>
                  <w:vAlign w:val="center"/>
                </w:tcPr>
                <w:p w14:paraId="30C2BFDA">
                  <w:pPr>
                    <w:keepNext w:val="0"/>
                    <w:keepLines w:val="0"/>
                    <w:widowControl/>
                    <w:suppressLineNumbers w:val="0"/>
                    <w:jc w:val="center"/>
                    <w:textAlignment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总排水</w:t>
                  </w:r>
                </w:p>
              </w:tc>
              <w:tc>
                <w:tcPr>
                  <w:tcW w:w="888" w:type="pct"/>
                  <w:noWrap w:val="0"/>
                  <w:vAlign w:val="center"/>
                </w:tcPr>
                <w:p w14:paraId="208092E4">
                  <w:pPr>
                    <w:keepNext w:val="0"/>
                    <w:keepLines w:val="0"/>
                    <w:widowControl/>
                    <w:suppressLineNumbers w:val="0"/>
                    <w:jc w:val="center"/>
                    <w:textAlignment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1161" w:type="dxa"/>
                  <w:noWrap w:val="0"/>
                  <w:vAlign w:val="center"/>
                </w:tcPr>
                <w:p w14:paraId="38C11B0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12080.08</w:t>
                  </w:r>
                </w:p>
              </w:tc>
              <w:tc>
                <w:tcPr>
                  <w:tcW w:w="2464" w:type="pct"/>
                  <w:noWrap w:val="0"/>
                  <w:vAlign w:val="center"/>
                </w:tcPr>
                <w:p w14:paraId="21C3BFE9">
                  <w:pPr>
                    <w:keepNext w:val="0"/>
                    <w:keepLines w:val="0"/>
                    <w:widowControl/>
                    <w:suppressLineNumbers w:val="0"/>
                    <w:jc w:val="center"/>
                    <w:textAlignment w:val="center"/>
                    <w:rPr>
                      <w:rFonts w:hint="default" w:ascii="Times New Roman" w:hAnsi="Times New Roman"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bl>
          <w:p w14:paraId="081A44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00" w:lineRule="exact"/>
              <w:ind w:left="0" w:right="0" w:firstLine="480" w:firstLineChars="200"/>
              <w:jc w:val="left"/>
              <w:textAlignment w:val="auto"/>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pPr>
          </w:p>
          <w:p w14:paraId="73EF018D">
            <w:pPr>
              <w:pStyle w:val="11"/>
              <w:widowControl/>
              <w:numPr>
                <w:ilvl w:val="4"/>
                <w:numId w:val="0"/>
              </w:numPr>
              <w:suppressLineNumbers w:val="0"/>
              <w:spacing w:before="0" w:beforeAutospacing="0" w:after="0" w:afterAutospacing="0"/>
              <w:ind w:left="0" w:right="0" w:firstLine="480" w:firstLineChars="200"/>
              <w:rPr>
                <w:rFonts w:hint="default" w:ascii="Times New Roman" w:hAnsi="Times New Roman" w:cs="Times New Roman"/>
                <w:color w:val="000000" w:themeColor="text1"/>
                <w:kern w:val="2"/>
                <w:highlight w:val="none"/>
                <w14:textFill>
                  <w14:solidFill>
                    <w14:schemeClr w14:val="tx1"/>
                  </w14:solidFill>
                </w14:textFill>
              </w:rPr>
            </w:pPr>
            <w:r>
              <w:rPr>
                <w:rFonts w:hint="default" w:ascii="Times New Roman" w:hAnsi="Times New Roman" w:cs="Times New Roman"/>
                <w:b w:val="0"/>
                <w:bCs w:val="0"/>
                <w:color w:val="000000" w:themeColor="text1"/>
                <w:kern w:val="2"/>
                <w:highlight w:val="none"/>
                <w14:textFill>
                  <w14:solidFill>
                    <w14:schemeClr w14:val="tx1"/>
                  </w14:solidFill>
                </w14:textFill>
              </w:rPr>
              <w:t>综上，本项目用水情况见下表。</w:t>
            </w:r>
          </w:p>
          <w:p w14:paraId="1630A5CD">
            <w:pPr>
              <w:pageBreakBefore w:val="0"/>
              <w:widowControl w:val="0"/>
              <w:numPr>
                <w:ilvl w:val="0"/>
                <w:numId w:val="10"/>
              </w:numPr>
              <w:wordWrap w:val="0"/>
              <w:overflowPunct/>
              <w:bidi w:val="0"/>
              <w:spacing w:line="240" w:lineRule="auto"/>
              <w:ind w:left="0" w:leftChars="0" w:firstLine="40" w:firstLineChars="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项目用水情况统计表</w:t>
            </w:r>
          </w:p>
          <w:tbl>
            <w:tblPr>
              <w:tblStyle w:val="4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3"/>
              <w:gridCol w:w="1216"/>
              <w:gridCol w:w="1173"/>
              <w:gridCol w:w="1239"/>
              <w:gridCol w:w="1422"/>
              <w:gridCol w:w="1422"/>
            </w:tblGrid>
            <w:tr w14:paraId="366E0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195" w:type="pct"/>
                  <w:noWrap w:val="0"/>
                  <w:vAlign w:val="center"/>
                </w:tcPr>
                <w:p w14:paraId="56F0C7D3">
                  <w:pPr>
                    <w:pStyle w:val="109"/>
                    <w:keepNext w:val="0"/>
                    <w:keepLines w:val="0"/>
                    <w:widowControl/>
                    <w:suppressLineNumbers w:val="0"/>
                    <w:tabs>
                      <w:tab w:val="left" w:pos="-2848"/>
                    </w:tabs>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用水单元</w:t>
                  </w:r>
                </w:p>
              </w:tc>
              <w:tc>
                <w:tcPr>
                  <w:tcW w:w="714" w:type="pct"/>
                  <w:noWrap w:val="0"/>
                  <w:vAlign w:val="center"/>
                </w:tcPr>
                <w:p w14:paraId="11CFB2D6">
                  <w:pPr>
                    <w:pStyle w:val="109"/>
                    <w:keepNext w:val="0"/>
                    <w:keepLines w:val="0"/>
                    <w:widowControl/>
                    <w:suppressLineNumbers w:val="0"/>
                    <w:tabs>
                      <w:tab w:val="left" w:pos="-2848"/>
                    </w:tabs>
                    <w:spacing w:before="0" w:beforeAutospacing="0" w:after="0" w:afterAutospacing="0" w:line="240" w:lineRule="auto"/>
                    <w:ind w:left="0" w:right="0"/>
                    <w:rPr>
                      <w:rFonts w:hint="default" w:ascii="Times New Roman" w:hAnsi="Times New Roman" w:eastAsia="宋体" w:cs="Times New Roman"/>
                      <w:b/>
                      <w:bCs/>
                      <w:color w:val="000000" w:themeColor="text1"/>
                      <w:kern w:val="2"/>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新鲜用水量m</w:t>
                  </w:r>
                  <w:r>
                    <w:rPr>
                      <w:rFonts w:hint="default" w:ascii="Times New Roman" w:hAnsi="Times New Roman" w:cs="Times New Roman"/>
                      <w:b/>
                      <w:bCs/>
                      <w:color w:val="000000" w:themeColor="text1"/>
                      <w:kern w:val="2"/>
                      <w:sz w:val="21"/>
                      <w:szCs w:val="21"/>
                      <w:highlight w:val="none"/>
                      <w:vertAlign w:val="superscript"/>
                      <w14:textFill>
                        <w14:solidFill>
                          <w14:schemeClr w14:val="tx1"/>
                        </w14:solidFill>
                      </w14:textFill>
                    </w:rPr>
                    <w:t>3</w:t>
                  </w:r>
                  <w:r>
                    <w:rPr>
                      <w:rFonts w:hint="default" w:ascii="Times New Roman" w:hAnsi="Times New Roman" w:cs="Times New Roman"/>
                      <w:b/>
                      <w:bCs/>
                      <w:color w:val="000000" w:themeColor="text1"/>
                      <w:kern w:val="2"/>
                      <w:sz w:val="21"/>
                      <w:szCs w:val="21"/>
                      <w:highlight w:val="none"/>
                      <w14:textFill>
                        <w14:solidFill>
                          <w14:schemeClr w14:val="tx1"/>
                        </w14:solidFill>
                      </w14:textFill>
                    </w:rPr>
                    <w:t>/</w:t>
                  </w:r>
                  <w:r>
                    <w:rPr>
                      <w:rFonts w:hint="default" w:ascii="Times New Roman" w:hAnsi="Times New Roman" w:cs="Times New Roman"/>
                      <w:b/>
                      <w:bCs/>
                      <w:color w:val="000000" w:themeColor="text1"/>
                      <w:kern w:val="2"/>
                      <w:sz w:val="21"/>
                      <w:szCs w:val="21"/>
                      <w:highlight w:val="none"/>
                      <w:lang w:val="en-US" w:eastAsia="zh-CN"/>
                      <w14:textFill>
                        <w14:solidFill>
                          <w14:schemeClr w14:val="tx1"/>
                        </w14:solidFill>
                      </w14:textFill>
                    </w:rPr>
                    <w:t>a</w:t>
                  </w:r>
                </w:p>
              </w:tc>
              <w:tc>
                <w:tcPr>
                  <w:tcW w:w="689" w:type="pct"/>
                  <w:noWrap w:val="0"/>
                  <w:vAlign w:val="center"/>
                </w:tcPr>
                <w:p w14:paraId="59ABF5BC">
                  <w:pPr>
                    <w:pStyle w:val="109"/>
                    <w:keepNext w:val="0"/>
                    <w:keepLines w:val="0"/>
                    <w:widowControl/>
                    <w:suppressLineNumbers w:val="0"/>
                    <w:tabs>
                      <w:tab w:val="left" w:pos="-2848"/>
                    </w:tabs>
                    <w:spacing w:before="0" w:beforeAutospacing="0" w:after="0" w:afterAutospacing="0" w:line="240" w:lineRule="auto"/>
                    <w:ind w:left="0" w:right="0"/>
                    <w:rPr>
                      <w:rFonts w:hint="default" w:ascii="Times New Roman" w:hAnsi="Times New Roman" w:eastAsia="宋体" w:cs="Times New Roman"/>
                      <w:b/>
                      <w:bCs/>
                      <w:color w:val="000000" w:themeColor="text1"/>
                      <w:kern w:val="2"/>
                      <w:sz w:val="21"/>
                      <w:szCs w:val="21"/>
                      <w:highlight w:val="none"/>
                      <w:lang w:eastAsia="zh-CN"/>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损耗量m</w:t>
                  </w:r>
                  <w:r>
                    <w:rPr>
                      <w:rFonts w:hint="default" w:ascii="Times New Roman" w:hAnsi="Times New Roman" w:cs="Times New Roman"/>
                      <w:b/>
                      <w:bCs/>
                      <w:color w:val="000000" w:themeColor="text1"/>
                      <w:kern w:val="2"/>
                      <w:sz w:val="21"/>
                      <w:szCs w:val="21"/>
                      <w:highlight w:val="none"/>
                      <w:vertAlign w:val="superscript"/>
                      <w14:textFill>
                        <w14:solidFill>
                          <w14:schemeClr w14:val="tx1"/>
                        </w14:solidFill>
                      </w14:textFill>
                    </w:rPr>
                    <w:t>3</w:t>
                  </w:r>
                  <w:r>
                    <w:rPr>
                      <w:rFonts w:hint="default" w:ascii="Times New Roman" w:hAnsi="Times New Roman" w:cs="Times New Roman"/>
                      <w:b/>
                      <w:bCs/>
                      <w:color w:val="000000" w:themeColor="text1"/>
                      <w:kern w:val="2"/>
                      <w:sz w:val="21"/>
                      <w:szCs w:val="21"/>
                      <w:highlight w:val="none"/>
                      <w14:textFill>
                        <w14:solidFill>
                          <w14:schemeClr w14:val="tx1"/>
                        </w14:solidFill>
                      </w14:textFill>
                    </w:rPr>
                    <w:t>/</w:t>
                  </w:r>
                  <w:r>
                    <w:rPr>
                      <w:rFonts w:hint="default" w:ascii="Times New Roman" w:hAnsi="Times New Roman" w:cs="Times New Roman"/>
                      <w:b/>
                      <w:bCs/>
                      <w:color w:val="000000" w:themeColor="text1"/>
                      <w:kern w:val="2"/>
                      <w:sz w:val="21"/>
                      <w:szCs w:val="21"/>
                      <w:highlight w:val="none"/>
                      <w:lang w:val="en-US" w:eastAsia="zh-CN"/>
                      <w14:textFill>
                        <w14:solidFill>
                          <w14:schemeClr w14:val="tx1"/>
                        </w14:solidFill>
                      </w14:textFill>
                    </w:rPr>
                    <w:t>a</w:t>
                  </w:r>
                </w:p>
              </w:tc>
              <w:tc>
                <w:tcPr>
                  <w:tcW w:w="728" w:type="pct"/>
                  <w:noWrap w:val="0"/>
                  <w:vAlign w:val="center"/>
                </w:tcPr>
                <w:p w14:paraId="083B1439">
                  <w:pPr>
                    <w:keepNext w:val="0"/>
                    <w:keepLines w:val="0"/>
                    <w:widowControl/>
                    <w:suppressLineNumbers w:val="0"/>
                    <w:jc w:val="center"/>
                    <w:textAlignment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循环用水量m</w:t>
                  </w:r>
                  <w:r>
                    <w:rPr>
                      <w:rFonts w:hint="eastAsia" w:ascii="宋体" w:hAnsi="宋体" w:eastAsia="宋体" w:cs="宋体"/>
                      <w:b/>
                      <w:bCs/>
                      <w:i w:val="0"/>
                      <w:iCs w:val="0"/>
                      <w:color w:val="000000" w:themeColor="text1"/>
                      <w:kern w:val="0"/>
                      <w:sz w:val="21"/>
                      <w:szCs w:val="21"/>
                      <w:u w:val="none"/>
                      <w:vertAlign w:val="superscript"/>
                      <w:lang w:val="en-US" w:eastAsia="zh-CN" w:bidi="ar"/>
                      <w14:textFill>
                        <w14:solidFill>
                          <w14:schemeClr w14:val="tx1"/>
                        </w14:solidFill>
                      </w14:textFill>
                    </w:rPr>
                    <w:t>3</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/a</w:t>
                  </w:r>
                </w:p>
              </w:tc>
              <w:tc>
                <w:tcPr>
                  <w:tcW w:w="835" w:type="pct"/>
                  <w:noWrap w:val="0"/>
                  <w:vAlign w:val="center"/>
                </w:tcPr>
                <w:p w14:paraId="4DB915C6">
                  <w:pPr>
                    <w:pStyle w:val="109"/>
                    <w:keepNext w:val="0"/>
                    <w:keepLines w:val="0"/>
                    <w:widowControl/>
                    <w:suppressLineNumbers w:val="0"/>
                    <w:tabs>
                      <w:tab w:val="left" w:pos="-2848"/>
                    </w:tabs>
                    <w:spacing w:before="0" w:beforeAutospacing="0" w:after="0" w:afterAutospacing="0" w:line="240" w:lineRule="auto"/>
                    <w:ind w:left="0" w:right="0"/>
                    <w:rPr>
                      <w:rFonts w:hint="default" w:ascii="Times New Roman" w:hAnsi="Times New Roman" w:eastAsia="宋体" w:cs="Times New Roman"/>
                      <w:b/>
                      <w:bCs/>
                      <w:color w:val="000000" w:themeColor="text1"/>
                      <w:kern w:val="2"/>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废水外排量m</w:t>
                  </w:r>
                  <w:r>
                    <w:rPr>
                      <w:rFonts w:hint="default" w:ascii="Times New Roman" w:hAnsi="Times New Roman" w:cs="Times New Roman"/>
                      <w:b/>
                      <w:bCs/>
                      <w:color w:val="000000" w:themeColor="text1"/>
                      <w:kern w:val="2"/>
                      <w:sz w:val="21"/>
                      <w:szCs w:val="21"/>
                      <w:highlight w:val="none"/>
                      <w:vertAlign w:val="superscript"/>
                      <w14:textFill>
                        <w14:solidFill>
                          <w14:schemeClr w14:val="tx1"/>
                        </w14:solidFill>
                      </w14:textFill>
                    </w:rPr>
                    <w:t>3</w:t>
                  </w:r>
                  <w:r>
                    <w:rPr>
                      <w:rFonts w:hint="default" w:ascii="Times New Roman" w:hAnsi="Times New Roman" w:cs="Times New Roman"/>
                      <w:b/>
                      <w:bCs/>
                      <w:color w:val="000000" w:themeColor="text1"/>
                      <w:kern w:val="2"/>
                      <w:sz w:val="21"/>
                      <w:szCs w:val="21"/>
                      <w:highlight w:val="none"/>
                      <w14:textFill>
                        <w14:solidFill>
                          <w14:schemeClr w14:val="tx1"/>
                        </w14:solidFill>
                      </w14:textFill>
                    </w:rPr>
                    <w:t>/</w:t>
                  </w:r>
                  <w:r>
                    <w:rPr>
                      <w:rFonts w:hint="eastAsia" w:cs="Times New Roman"/>
                      <w:b/>
                      <w:bCs/>
                      <w:color w:val="000000" w:themeColor="text1"/>
                      <w:kern w:val="2"/>
                      <w:sz w:val="21"/>
                      <w:szCs w:val="21"/>
                      <w:highlight w:val="none"/>
                      <w:lang w:val="en-US" w:eastAsia="zh-CN"/>
                      <w14:textFill>
                        <w14:solidFill>
                          <w14:schemeClr w14:val="tx1"/>
                        </w14:solidFill>
                      </w14:textFill>
                    </w:rPr>
                    <w:t>a</w:t>
                  </w:r>
                </w:p>
              </w:tc>
              <w:tc>
                <w:tcPr>
                  <w:tcW w:w="835" w:type="pct"/>
                  <w:noWrap w:val="0"/>
                  <w:vAlign w:val="center"/>
                </w:tcPr>
                <w:p w14:paraId="31B18F06">
                  <w:pPr>
                    <w:pStyle w:val="109"/>
                    <w:keepNext w:val="0"/>
                    <w:keepLines w:val="0"/>
                    <w:widowControl/>
                    <w:suppressLineNumbers w:val="0"/>
                    <w:tabs>
                      <w:tab w:val="left" w:pos="-2848"/>
                    </w:tabs>
                    <w:spacing w:before="0" w:beforeAutospacing="0" w:after="0" w:afterAutospacing="0" w:line="240" w:lineRule="auto"/>
                    <w:ind w:left="0" w:right="0"/>
                    <w:rPr>
                      <w:rFonts w:hint="eastAsia" w:ascii="Times New Roman" w:hAnsi="Times New Roman" w:eastAsia="宋体" w:cs="Times New Roman"/>
                      <w:b/>
                      <w:bCs/>
                      <w:color w:val="000000" w:themeColor="text1"/>
                      <w:kern w:val="2"/>
                      <w:sz w:val="21"/>
                      <w:szCs w:val="21"/>
                      <w:highlight w:val="none"/>
                      <w:lang w:val="en-US" w:eastAsia="zh-CN"/>
                      <w14:textFill>
                        <w14:solidFill>
                          <w14:schemeClr w14:val="tx1"/>
                        </w14:solidFill>
                      </w14:textFill>
                    </w:rPr>
                  </w:pPr>
                  <w:r>
                    <w:rPr>
                      <w:rFonts w:hint="eastAsia" w:ascii="Times New Roman" w:hAnsi="Times New Roman" w:cs="Times New Roman"/>
                      <w:b/>
                      <w:bCs/>
                      <w:color w:val="000000" w:themeColor="text1"/>
                      <w:kern w:val="2"/>
                      <w:sz w:val="21"/>
                      <w:szCs w:val="21"/>
                      <w:highlight w:val="none"/>
                      <w:lang w:val="en-US" w:eastAsia="zh-CN"/>
                      <w14:textFill>
                        <w14:solidFill>
                          <w14:schemeClr w14:val="tx1"/>
                        </w14:solidFill>
                      </w14:textFill>
                    </w:rPr>
                    <w:t>备注</w:t>
                  </w:r>
                </w:p>
              </w:tc>
            </w:tr>
            <w:tr w14:paraId="2EFE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195" w:type="pct"/>
                  <w:noWrap w:val="0"/>
                  <w:vAlign w:val="center"/>
                </w:tcPr>
                <w:p w14:paraId="65074F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员工办公生活用水</w:t>
                  </w:r>
                </w:p>
              </w:tc>
              <w:tc>
                <w:tcPr>
                  <w:tcW w:w="714" w:type="pct"/>
                  <w:noWrap w:val="0"/>
                  <w:vAlign w:val="center"/>
                </w:tcPr>
                <w:p w14:paraId="088B7670">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2300</w:t>
                  </w:r>
                </w:p>
              </w:tc>
              <w:tc>
                <w:tcPr>
                  <w:tcW w:w="689" w:type="pct"/>
                  <w:noWrap w:val="0"/>
                  <w:vAlign w:val="center"/>
                </w:tcPr>
                <w:p w14:paraId="6A0A91C5">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230</w:t>
                  </w:r>
                </w:p>
              </w:tc>
              <w:tc>
                <w:tcPr>
                  <w:tcW w:w="728" w:type="pct"/>
                  <w:noWrap w:val="0"/>
                  <w:vAlign w:val="center"/>
                </w:tcPr>
                <w:p w14:paraId="66B59ADB">
                  <w:pPr>
                    <w:keepNext w:val="0"/>
                    <w:keepLines w:val="0"/>
                    <w:widowControl/>
                    <w:suppressLineNumbers w:val="0"/>
                    <w:jc w:val="center"/>
                    <w:textAlignment w:val="cente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835" w:type="pct"/>
                  <w:noWrap w:val="0"/>
                  <w:vAlign w:val="center"/>
                </w:tcPr>
                <w:p w14:paraId="4614C336">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2070</w:t>
                  </w:r>
                </w:p>
              </w:tc>
              <w:tc>
                <w:tcPr>
                  <w:tcW w:w="835" w:type="pct"/>
                  <w:noWrap w:val="0"/>
                  <w:vAlign w:val="center"/>
                </w:tcPr>
                <w:p w14:paraId="732B0C5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r>
            <w:tr w14:paraId="0071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195" w:type="pct"/>
                  <w:noWrap w:val="0"/>
                  <w:vAlign w:val="center"/>
                </w:tcPr>
                <w:p w14:paraId="7170D0D4">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前处理</w:t>
                  </w:r>
                  <w:r>
                    <w:rPr>
                      <w:rFonts w:hint="default" w:ascii="Times New Roman" w:hAnsi="Times New Roman" w:cs="Times New Roman"/>
                      <w:color w:val="000000" w:themeColor="text1"/>
                      <w:kern w:val="0"/>
                      <w:sz w:val="21"/>
                      <w:szCs w:val="21"/>
                      <w:highlight w:val="none"/>
                      <w:lang w:bidi="ar"/>
                      <w14:textFill>
                        <w14:solidFill>
                          <w14:schemeClr w14:val="tx1"/>
                        </w14:solidFill>
                      </w14:textFill>
                    </w:rPr>
                    <w:t>清洗用水</w:t>
                  </w:r>
                </w:p>
              </w:tc>
              <w:tc>
                <w:tcPr>
                  <w:tcW w:w="714" w:type="pct"/>
                  <w:noWrap w:val="0"/>
                  <w:vAlign w:val="center"/>
                </w:tcPr>
                <w:p w14:paraId="331B3B4B">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198</w:t>
                  </w:r>
                  <w:r>
                    <w:rPr>
                      <w:rFonts w:hint="eastAsia" w:cs="Times New Roman"/>
                      <w:i w:val="0"/>
                      <w:iCs w:val="0"/>
                      <w:color w:val="000000" w:themeColor="text1"/>
                      <w:kern w:val="0"/>
                      <w:sz w:val="21"/>
                      <w:szCs w:val="21"/>
                      <w:u w:val="none"/>
                      <w:lang w:val="en-US" w:eastAsia="zh-CN" w:bidi="ar"/>
                      <w14:textFill>
                        <w14:solidFill>
                          <w14:schemeClr w14:val="tx1"/>
                        </w14:solidFill>
                      </w14:textFill>
                    </w:rPr>
                    <w:t>95.11</w:t>
                  </w:r>
                </w:p>
              </w:tc>
              <w:tc>
                <w:tcPr>
                  <w:tcW w:w="689" w:type="pct"/>
                  <w:noWrap w:val="0"/>
                  <w:vAlign w:val="center"/>
                </w:tcPr>
                <w:p w14:paraId="47EB6797">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9861.248</w:t>
                  </w:r>
                </w:p>
              </w:tc>
              <w:tc>
                <w:tcPr>
                  <w:tcW w:w="728" w:type="pct"/>
                  <w:noWrap w:val="0"/>
                  <w:vAlign w:val="center"/>
                </w:tcPr>
                <w:p w14:paraId="40B9E84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1270937.6</w:t>
                  </w:r>
                </w:p>
              </w:tc>
              <w:tc>
                <w:tcPr>
                  <w:tcW w:w="835" w:type="pct"/>
                  <w:noWrap w:val="0"/>
                  <w:vAlign w:val="center"/>
                </w:tcPr>
                <w:p w14:paraId="432FC46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10010.08</w:t>
                  </w:r>
                </w:p>
              </w:tc>
              <w:tc>
                <w:tcPr>
                  <w:tcW w:w="835" w:type="pct"/>
                  <w:noWrap w:val="0"/>
                  <w:vAlign w:val="center"/>
                </w:tcPr>
                <w:p w14:paraId="5E8209A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无铬钝化槽液44.8t/a按危废处理</w:t>
                  </w:r>
                </w:p>
              </w:tc>
            </w:tr>
            <w:tr w14:paraId="6E1A6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95" w:type="pct"/>
                  <w:noWrap w:val="0"/>
                  <w:vAlign w:val="center"/>
                </w:tcPr>
                <w:p w14:paraId="2D9D46EA">
                  <w:pPr>
                    <w:keepNext w:val="0"/>
                    <w:keepLines w:val="0"/>
                    <w:widowControl/>
                    <w:suppressLineNumbers w:val="0"/>
                    <w:jc w:val="center"/>
                    <w:textAlignment w:val="cente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水帘柜用水</w:t>
                  </w:r>
                </w:p>
              </w:tc>
              <w:tc>
                <w:tcPr>
                  <w:tcW w:w="714" w:type="pct"/>
                  <w:noWrap w:val="0"/>
                  <w:vAlign w:val="center"/>
                </w:tcPr>
                <w:p w14:paraId="0CC7B581">
                  <w:pPr>
                    <w:keepNext w:val="0"/>
                    <w:keepLines w:val="0"/>
                    <w:widowControl/>
                    <w:suppressLineNumbers w:val="0"/>
                    <w:jc w:val="center"/>
                    <w:textAlignment w:val="center"/>
                    <w:rPr>
                      <w:rFonts w:hint="eastAsia"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5434.704</w:t>
                  </w:r>
                </w:p>
              </w:tc>
              <w:tc>
                <w:tcPr>
                  <w:tcW w:w="689" w:type="pct"/>
                  <w:noWrap w:val="0"/>
                  <w:vAlign w:val="center"/>
                </w:tcPr>
                <w:p w14:paraId="0680970C">
                  <w:pPr>
                    <w:keepNext w:val="0"/>
                    <w:keepLines w:val="0"/>
                    <w:widowControl/>
                    <w:suppressLineNumbers w:val="0"/>
                    <w:jc w:val="center"/>
                    <w:textAlignment w:val="cente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144.6</w:t>
                  </w:r>
                </w:p>
              </w:tc>
              <w:tc>
                <w:tcPr>
                  <w:tcW w:w="728" w:type="pct"/>
                  <w:noWrap w:val="0"/>
                  <w:vAlign w:val="center"/>
                </w:tcPr>
                <w:p w14:paraId="2B2B97F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15000</w:t>
                  </w:r>
                </w:p>
              </w:tc>
              <w:tc>
                <w:tcPr>
                  <w:tcW w:w="835" w:type="pct"/>
                  <w:noWrap w:val="0"/>
                  <w:vAlign w:val="center"/>
                </w:tcPr>
                <w:p w14:paraId="29C0662E">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194.4</w:t>
                  </w:r>
                </w:p>
              </w:tc>
              <w:tc>
                <w:tcPr>
                  <w:tcW w:w="835" w:type="pct"/>
                  <w:noWrap w:val="0"/>
                  <w:vAlign w:val="center"/>
                </w:tcPr>
                <w:p w14:paraId="78A0121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r>
            <w:tr w14:paraId="5028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95" w:type="pct"/>
                  <w:noWrap w:val="0"/>
                  <w:vAlign w:val="center"/>
                </w:tcPr>
                <w:p w14:paraId="2AFAED9A">
                  <w:pPr>
                    <w:keepNext w:val="0"/>
                    <w:keepLines w:val="0"/>
                    <w:widowControl/>
                    <w:suppressLineNumbers w:val="0"/>
                    <w:jc w:val="center"/>
                    <w:textAlignment w:val="cente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喷淋塔用水</w:t>
                  </w:r>
                </w:p>
              </w:tc>
              <w:tc>
                <w:tcPr>
                  <w:tcW w:w="714" w:type="pct"/>
                  <w:noWrap w:val="0"/>
                  <w:vAlign w:val="center"/>
                </w:tcPr>
                <w:p w14:paraId="74180A3F">
                  <w:pPr>
                    <w:keepNext w:val="0"/>
                    <w:keepLines w:val="0"/>
                    <w:widowControl/>
                    <w:suppressLineNumbers w:val="0"/>
                    <w:jc w:val="center"/>
                    <w:textAlignment w:val="center"/>
                    <w:rPr>
                      <w:rFonts w:hint="eastAsia"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1190.4</w:t>
                  </w:r>
                </w:p>
              </w:tc>
              <w:tc>
                <w:tcPr>
                  <w:tcW w:w="689" w:type="pct"/>
                  <w:noWrap w:val="0"/>
                  <w:vAlign w:val="center"/>
                </w:tcPr>
                <w:p w14:paraId="688C0698">
                  <w:pPr>
                    <w:keepNext w:val="0"/>
                    <w:keepLines w:val="0"/>
                    <w:widowControl/>
                    <w:suppressLineNumbers w:val="0"/>
                    <w:jc w:val="center"/>
                    <w:textAlignment w:val="cente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450</w:t>
                  </w:r>
                </w:p>
              </w:tc>
              <w:tc>
                <w:tcPr>
                  <w:tcW w:w="728" w:type="pct"/>
                  <w:noWrap w:val="0"/>
                  <w:vAlign w:val="center"/>
                </w:tcPr>
                <w:p w14:paraId="5E33CFE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30000</w:t>
                  </w:r>
                </w:p>
              </w:tc>
              <w:tc>
                <w:tcPr>
                  <w:tcW w:w="835" w:type="pct"/>
                  <w:noWrap w:val="0"/>
                  <w:vAlign w:val="center"/>
                </w:tcPr>
                <w:p w14:paraId="71DBBECF">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33.6</w:t>
                  </w:r>
                </w:p>
              </w:tc>
              <w:tc>
                <w:tcPr>
                  <w:tcW w:w="835" w:type="pct"/>
                  <w:noWrap w:val="0"/>
                  <w:vAlign w:val="center"/>
                </w:tcPr>
                <w:p w14:paraId="42AFF9B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r>
            <w:tr w14:paraId="26591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95" w:type="pct"/>
                  <w:noWrap w:val="0"/>
                  <w:vAlign w:val="center"/>
                </w:tcPr>
                <w:p w14:paraId="55A39A85">
                  <w:pPr>
                    <w:keepNext w:val="0"/>
                    <w:keepLines w:val="0"/>
                    <w:widowControl/>
                    <w:suppressLineNumbers w:val="0"/>
                    <w:jc w:val="center"/>
                    <w:textAlignment w:val="cente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生产用水合计</w:t>
                  </w:r>
                </w:p>
              </w:tc>
              <w:tc>
                <w:tcPr>
                  <w:tcW w:w="714" w:type="pct"/>
                  <w:noWrap w:val="0"/>
                  <w:vAlign w:val="center"/>
                </w:tcPr>
                <w:p w14:paraId="5E69A3EB">
                  <w:pPr>
                    <w:keepNext w:val="0"/>
                    <w:keepLines w:val="0"/>
                    <w:widowControl/>
                    <w:suppressLineNumbers w:val="0"/>
                    <w:jc w:val="center"/>
                    <w:textAlignment w:val="center"/>
                    <w:rPr>
                      <w:rFonts w:hint="eastAsia"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26520.22</w:t>
                  </w:r>
                </w:p>
              </w:tc>
              <w:tc>
                <w:tcPr>
                  <w:tcW w:w="689" w:type="pct"/>
                  <w:noWrap w:val="0"/>
                  <w:vAlign w:val="center"/>
                </w:tcPr>
                <w:p w14:paraId="66039AAB">
                  <w:pPr>
                    <w:keepNext w:val="0"/>
                    <w:keepLines w:val="0"/>
                    <w:widowControl/>
                    <w:suppressLineNumbers w:val="0"/>
                    <w:jc w:val="center"/>
                    <w:textAlignment w:val="cente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10455.848</w:t>
                  </w:r>
                </w:p>
              </w:tc>
              <w:tc>
                <w:tcPr>
                  <w:tcW w:w="728" w:type="pct"/>
                  <w:noWrap w:val="0"/>
                  <w:vAlign w:val="center"/>
                </w:tcPr>
                <w:p w14:paraId="324BE0A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1315937.6</w:t>
                  </w:r>
                </w:p>
              </w:tc>
              <w:tc>
                <w:tcPr>
                  <w:tcW w:w="835" w:type="pct"/>
                  <w:noWrap w:val="0"/>
                  <w:vAlign w:val="center"/>
                </w:tcPr>
                <w:p w14:paraId="5FE61FE4">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10010.08 </w:t>
                  </w:r>
                </w:p>
              </w:tc>
              <w:tc>
                <w:tcPr>
                  <w:tcW w:w="835" w:type="pct"/>
                  <w:noWrap w:val="0"/>
                  <w:vAlign w:val="center"/>
                </w:tcPr>
                <w:p w14:paraId="6905146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r>
            <w:tr w14:paraId="65C33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195" w:type="pct"/>
                  <w:noWrap w:val="0"/>
                  <w:vAlign w:val="center"/>
                </w:tcPr>
                <w:p w14:paraId="0A814E4D">
                  <w:pPr>
                    <w:keepNext w:val="0"/>
                    <w:keepLines w:val="0"/>
                    <w:widowControl/>
                    <w:suppressLineNumbers w:val="0"/>
                    <w:jc w:val="center"/>
                    <w:textAlignment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合计</w:t>
                  </w:r>
                </w:p>
              </w:tc>
              <w:tc>
                <w:tcPr>
                  <w:tcW w:w="714" w:type="pct"/>
                  <w:noWrap w:val="0"/>
                  <w:vAlign w:val="center"/>
                </w:tcPr>
                <w:p w14:paraId="2507C68B">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28820.22</w:t>
                  </w:r>
                </w:p>
              </w:tc>
              <w:tc>
                <w:tcPr>
                  <w:tcW w:w="689" w:type="pct"/>
                  <w:noWrap w:val="0"/>
                  <w:vAlign w:val="center"/>
                </w:tcPr>
                <w:p w14:paraId="4542065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10685.848</w:t>
                  </w:r>
                </w:p>
              </w:tc>
              <w:tc>
                <w:tcPr>
                  <w:tcW w:w="728" w:type="pct"/>
                  <w:noWrap w:val="0"/>
                  <w:vAlign w:val="center"/>
                </w:tcPr>
                <w:p w14:paraId="29A0696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1315937.6</w:t>
                  </w:r>
                </w:p>
              </w:tc>
              <w:tc>
                <w:tcPr>
                  <w:tcW w:w="835" w:type="pct"/>
                  <w:noWrap w:val="0"/>
                  <w:vAlign w:val="center"/>
                </w:tcPr>
                <w:p w14:paraId="000F79D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12080.08 </w:t>
                  </w:r>
                </w:p>
              </w:tc>
              <w:tc>
                <w:tcPr>
                  <w:tcW w:w="835" w:type="pct"/>
                  <w:noWrap w:val="0"/>
                  <w:vAlign w:val="center"/>
                </w:tcPr>
                <w:p w14:paraId="4F33C9E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r>
          </w:tbl>
          <w:p w14:paraId="3BFA66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00" w:lineRule="exact"/>
              <w:ind w:left="0" w:right="0" w:firstLine="480" w:firstLineChars="200"/>
              <w:jc w:val="left"/>
              <w:textAlignment w:val="auto"/>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pPr>
          </w:p>
          <w:p w14:paraId="7A1D316A">
            <w:pPr>
              <w:pStyle w:val="11"/>
              <w:widowControl/>
              <w:numPr>
                <w:ilvl w:val="4"/>
                <w:numId w:val="0"/>
              </w:numPr>
              <w:suppressLineNumbers w:val="0"/>
              <w:spacing w:before="0" w:beforeAutospacing="0" w:after="0" w:afterAutospacing="0" w:line="240" w:lineRule="auto"/>
              <w:ind w:left="-960" w:right="0" w:firstLine="1440"/>
              <w:rPr>
                <w:rFonts w:hint="eastAsia" w:cs="Times New Roman"/>
                <w:color w:val="000000" w:themeColor="text1"/>
                <w:kern w:val="2"/>
                <w:highlight w:val="none"/>
                <w:lang w:val="en-US" w:eastAsia="zh-CN"/>
                <w14:textFill>
                  <w14:solidFill>
                    <w14:schemeClr w14:val="tx1"/>
                  </w14:solidFill>
                </w14:textFill>
              </w:rPr>
            </w:pPr>
            <w:r>
              <w:rPr>
                <w:rFonts w:hint="default" w:ascii="Times New Roman" w:hAnsi="Times New Roman" w:cs="Times New Roman"/>
                <w:color w:val="000000" w:themeColor="text1"/>
                <w:kern w:val="2"/>
                <w:highlight w:val="none"/>
                <w:lang w:val="en-US" w:eastAsia="zh-CN"/>
                <w14:textFill>
                  <w14:solidFill>
                    <w14:schemeClr w14:val="tx1"/>
                  </w14:solidFill>
                </w14:textFill>
              </w:rPr>
              <w:t>项目水平衡图如下</w:t>
            </w:r>
            <w:r>
              <w:rPr>
                <w:rFonts w:hint="eastAsia" w:cs="Times New Roman"/>
                <w:color w:val="000000" w:themeColor="text1"/>
                <w:kern w:val="2"/>
                <w:highlight w:val="none"/>
                <w:lang w:val="en-US" w:eastAsia="zh-CN"/>
                <w14:textFill>
                  <w14:solidFill>
                    <w14:schemeClr w14:val="tx1"/>
                  </w14:solidFill>
                </w14:textFill>
              </w:rPr>
              <w:t>：</w:t>
            </w:r>
          </w:p>
          <w:p w14:paraId="6F72DCE4">
            <w:pP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object>
                <v:shape id="_x0000_i1025" o:spt="75" type="#_x0000_t75" style="height:313.95pt;width:425.1pt;" o:ole="t" filled="f" o:preferrelative="t" stroked="f" coordsize="21600,21600">
                  <v:path/>
                  <v:fill on="f" focussize="0,0"/>
                  <v:stroke on="f"/>
                  <v:imagedata r:id="rId22" o:title=""/>
                  <o:lock v:ext="edit" aspectratio="f"/>
                  <w10:wrap type="none"/>
                  <w10:anchorlock/>
                </v:shape>
                <o:OLEObject Type="Embed" ProgID="Visio.Drawing.15" ShapeID="_x0000_i1025" DrawAspect="Content" ObjectID="_1468075725" r:id="rId21">
                  <o:LockedField>false</o:LockedField>
                </o:OLEObject>
              </w:object>
            </w:r>
          </w:p>
          <w:p w14:paraId="2A03CDA4">
            <w:pPr>
              <w:pStyle w:val="17"/>
              <w:keepNext w:val="0"/>
              <w:keepLines w:val="0"/>
              <w:pageBreakBefore w:val="0"/>
              <w:widowControl w:val="0"/>
              <w:numPr>
                <w:ilvl w:val="0"/>
                <w:numId w:val="11"/>
              </w:numPr>
              <w:suppressLineNumbers w:val="0"/>
              <w:tabs>
                <w:tab w:val="left" w:pos="628"/>
                <w:tab w:val="left" w:pos="993"/>
                <w:tab w:val="left" w:pos="1884"/>
                <w:tab w:val="clear" w:pos="3240"/>
                <w:tab w:val="clear" w:pos="6120"/>
              </w:tabs>
              <w:kinsoku/>
              <w:wordWrap w:val="0"/>
              <w:overflowPunct/>
              <w:topLinePunct w:val="0"/>
              <w:bidi w:val="0"/>
              <w:adjustRightInd/>
              <w:snapToGrid/>
              <w:spacing w:before="0" w:beforeAutospacing="0" w:after="0" w:afterLines="0" w:afterAutospacing="0" w:line="240" w:lineRule="auto"/>
              <w:ind w:left="0" w:leftChars="0" w:right="0" w:firstLine="0" w:firstLineChars="0"/>
              <w:jc w:val="center"/>
              <w:outlineLvl w:val="9"/>
              <w:rPr>
                <w:rFonts w:hint="default" w:ascii="Times New Roman" w:hAnsi="Times New Roman" w:eastAsia="宋体" w:cs="Times New Roman"/>
                <w:b/>
                <w:bCs/>
                <w:color w:val="000000" w:themeColor="text1"/>
                <w:kern w:val="2"/>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lang w:val="en-US" w:eastAsia="zh-CN"/>
                <w14:textFill>
                  <w14:solidFill>
                    <w14:schemeClr w14:val="tx1"/>
                  </w14:solidFill>
                </w14:textFill>
              </w:rPr>
              <w:t>本项目水平衡图（单位m</w:t>
            </w:r>
            <w:r>
              <w:rPr>
                <w:rFonts w:hint="default" w:ascii="Times New Roman" w:hAnsi="Times New Roman" w:eastAsia="宋体" w:cs="Times New Roman"/>
                <w:b/>
                <w:bCs/>
                <w:color w:val="000000" w:themeColor="text1"/>
                <w:kern w:val="2"/>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bCs/>
                <w:color w:val="000000" w:themeColor="text1"/>
                <w:kern w:val="2"/>
                <w:sz w:val="24"/>
                <w:szCs w:val="24"/>
                <w:highlight w:val="none"/>
                <w:lang w:val="en-US" w:eastAsia="zh-CN"/>
                <w14:textFill>
                  <w14:solidFill>
                    <w14:schemeClr w14:val="tx1"/>
                  </w14:solidFill>
                </w14:textFill>
              </w:rPr>
              <w:t>/a）</w:t>
            </w:r>
          </w:p>
          <w:p w14:paraId="1CB1406C">
            <w:pPr>
              <w:wordWrap w:val="0"/>
              <w:topLinePunct/>
              <w:spacing w:line="360" w:lineRule="auto"/>
              <w:ind w:firstLine="482" w:firstLineChars="200"/>
              <w:outlineLvl w:val="4"/>
              <w:rPr>
                <w:rFonts w:hint="default" w:eastAsia="宋体"/>
                <w:b/>
                <w:color w:val="000000" w:themeColor="text1"/>
                <w:sz w:val="24"/>
                <w:szCs w:val="24"/>
                <w:highlight w:val="none"/>
                <w:lang w:val="en-US" w:eastAsia="zh-CN"/>
                <w14:textFill>
                  <w14:solidFill>
                    <w14:schemeClr w14:val="tx1"/>
                  </w14:solidFill>
                </w14:textFill>
              </w:rPr>
            </w:pPr>
            <w:r>
              <w:rPr>
                <w:b/>
                <w:color w:val="000000" w:themeColor="text1"/>
                <w:sz w:val="24"/>
                <w:szCs w:val="24"/>
                <w:highlight w:val="none"/>
                <w14:textFill>
                  <w14:solidFill>
                    <w14:schemeClr w14:val="tx1"/>
                  </w14:solidFill>
                </w14:textFill>
              </w:rPr>
              <w:t>（</w:t>
            </w:r>
            <w:r>
              <w:rPr>
                <w:rFonts w:hint="eastAsia"/>
                <w:b/>
                <w:color w:val="000000" w:themeColor="text1"/>
                <w:sz w:val="24"/>
                <w:szCs w:val="24"/>
                <w:highlight w:val="none"/>
                <w:lang w:val="en-US" w:eastAsia="zh-CN"/>
                <w14:textFill>
                  <w14:solidFill>
                    <w14:schemeClr w14:val="tx1"/>
                  </w14:solidFill>
                </w14:textFill>
              </w:rPr>
              <w:t>4</w:t>
            </w:r>
            <w:r>
              <w:rPr>
                <w:b/>
                <w:color w:val="000000" w:themeColor="text1"/>
                <w:sz w:val="24"/>
                <w:szCs w:val="24"/>
                <w:highlight w:val="none"/>
                <w14:textFill>
                  <w14:solidFill>
                    <w14:schemeClr w14:val="tx1"/>
                  </w14:solidFill>
                </w14:textFill>
              </w:rPr>
              <w:t>）</w:t>
            </w:r>
            <w:r>
              <w:rPr>
                <w:rFonts w:hint="eastAsia"/>
                <w:b/>
                <w:color w:val="000000" w:themeColor="text1"/>
                <w:sz w:val="24"/>
                <w:szCs w:val="24"/>
                <w:highlight w:val="none"/>
                <w:lang w:val="en-US" w:eastAsia="zh-CN"/>
                <w14:textFill>
                  <w14:solidFill>
                    <w14:schemeClr w14:val="tx1"/>
                  </w14:solidFill>
                </w14:textFill>
              </w:rPr>
              <w:t>漆用量核算</w:t>
            </w:r>
          </w:p>
          <w:p w14:paraId="5552262A">
            <w:pPr>
              <w:pStyle w:val="22"/>
              <w:ind w:firstLine="480"/>
              <w:rPr>
                <w:rFonts w:hint="eastAsia" w:eastAsia="宋体" w:cs="Times New Roman"/>
                <w:b/>
                <w:bCs/>
                <w:color w:val="000000" w:themeColor="text1"/>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本项目涂料实际用量采用计算公式：涂料实际用量（L）=喷涂面积×干膜厚度/（10×体积固体含量×100×上漆率）。</w:t>
            </w:r>
          </w:p>
          <w:p w14:paraId="4152271E">
            <w:pPr>
              <w:pageBreakBefore w:val="0"/>
              <w:wordWrap w:val="0"/>
              <w:overflowPunct/>
              <w:bidi w:val="0"/>
              <w:spacing w:line="360" w:lineRule="auto"/>
              <w:ind w:firstLine="482" w:firstLineChars="200"/>
              <w:rPr>
                <w:b/>
                <w:color w:val="000000" w:themeColor="text1"/>
                <w:sz w:val="24"/>
                <w:highlight w:val="none"/>
                <w14:textFill>
                  <w14:solidFill>
                    <w14:schemeClr w14:val="tx1"/>
                  </w14:solidFill>
                </w14:textFill>
              </w:rPr>
            </w:pPr>
            <w:r>
              <w:rPr>
                <w:rFonts w:hint="eastAsia"/>
                <w:b/>
                <w:color w:val="000000" w:themeColor="text1"/>
                <w:sz w:val="24"/>
                <w:highlight w:val="none"/>
                <w:lang w:val="en-US" w:eastAsia="zh-CN"/>
                <w14:textFill>
                  <w14:solidFill>
                    <w14:schemeClr w14:val="tx1"/>
                  </w14:solidFill>
                </w14:textFill>
              </w:rPr>
              <w:t>①</w:t>
            </w:r>
            <w:r>
              <w:rPr>
                <w:b/>
                <w:color w:val="000000" w:themeColor="text1"/>
                <w:sz w:val="24"/>
                <w:highlight w:val="none"/>
                <w14:textFill>
                  <w14:solidFill>
                    <w14:schemeClr w14:val="tx1"/>
                  </w14:solidFill>
                </w14:textFill>
              </w:rPr>
              <w:t>调配后各漆料用料核算</w:t>
            </w:r>
          </w:p>
          <w:p w14:paraId="70D3E2E1">
            <w:pPr>
              <w:pageBreakBefore w:val="0"/>
              <w:widowControl w:val="0"/>
              <w:numPr>
                <w:ilvl w:val="0"/>
                <w:numId w:val="10"/>
              </w:numPr>
              <w:wordWrap w:val="0"/>
              <w:overflowPunct/>
              <w:bidi w:val="0"/>
              <w:spacing w:line="240" w:lineRule="auto"/>
              <w:ind w:left="0" w:leftChars="0" w:firstLine="40" w:firstLineChars="0"/>
              <w:jc w:val="center"/>
              <w:rPr>
                <w:b/>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 xml:space="preserve"> </w:t>
            </w:r>
            <w:r>
              <w:rPr>
                <w:b/>
                <w:bCs/>
                <w:color w:val="000000" w:themeColor="text1"/>
                <w:sz w:val="21"/>
                <w:szCs w:val="21"/>
                <w:highlight w:val="none"/>
                <w14:textFill>
                  <w14:solidFill>
                    <w14:schemeClr w14:val="tx1"/>
                  </w14:solidFill>
                </w14:textFill>
              </w:rPr>
              <w:t>调配后各漆料用料一览表</w:t>
            </w:r>
          </w:p>
          <w:tbl>
            <w:tblPr>
              <w:tblStyle w:val="44"/>
              <w:tblW w:w="478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08"/>
              <w:gridCol w:w="1111"/>
              <w:gridCol w:w="1111"/>
              <w:gridCol w:w="1443"/>
              <w:gridCol w:w="1242"/>
              <w:gridCol w:w="1252"/>
              <w:gridCol w:w="1248"/>
            </w:tblGrid>
            <w:tr w14:paraId="6B47E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41B166D6">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lang w:val="en-US"/>
                      <w14:textFill>
                        <w14:solidFill>
                          <w14:schemeClr w14:val="tx1"/>
                        </w14:solidFill>
                      </w14:textFill>
                    </w:rPr>
                  </w:pPr>
                  <w:r>
                    <w:rPr>
                      <w:rStyle w:val="168"/>
                      <w:color w:val="000000" w:themeColor="text1"/>
                      <w:lang w:val="en-US" w:eastAsia="zh-CN" w:bidi="ar"/>
                      <w14:textFill>
                        <w14:solidFill>
                          <w14:schemeClr w14:val="tx1"/>
                        </w14:solidFill>
                      </w14:textFill>
                    </w:rPr>
                    <w:t>原料</w:t>
                  </w:r>
                  <w:r>
                    <w:rPr>
                      <w:rStyle w:val="168"/>
                      <w:rFonts w:hint="eastAsia"/>
                      <w:color w:val="000000" w:themeColor="text1"/>
                      <w:lang w:val="en-US" w:eastAsia="zh-CN" w:bidi="ar"/>
                      <w14:textFill>
                        <w14:solidFill>
                          <w14:schemeClr w14:val="tx1"/>
                        </w14:solidFill>
                      </w14:textFill>
                    </w:rPr>
                    <w:t>种类</w:t>
                  </w:r>
                </w:p>
              </w:tc>
              <w:tc>
                <w:tcPr>
                  <w:tcW w:w="645" w:type="pct"/>
                  <w:tcBorders>
                    <w:top w:val="single" w:color="000000" w:sz="4" w:space="0"/>
                    <w:left w:val="single" w:color="000000" w:sz="4" w:space="0"/>
                    <w:bottom w:val="single" w:color="000000" w:sz="4" w:space="0"/>
                    <w:right w:val="single" w:color="000000" w:sz="4" w:space="0"/>
                  </w:tcBorders>
                  <w:noWrap w:val="0"/>
                  <w:vAlign w:val="center"/>
                </w:tcPr>
                <w:p w14:paraId="42697C65">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Style w:val="168"/>
                      <w:color w:val="000000" w:themeColor="text1"/>
                      <w:lang w:val="en-US" w:eastAsia="zh-CN" w:bidi="ar"/>
                      <w14:textFill>
                        <w14:solidFill>
                          <w14:schemeClr w14:val="tx1"/>
                        </w14:solidFill>
                      </w14:textFill>
                    </w:rPr>
                    <w:t>喷涂面积</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m</w:t>
                  </w:r>
                  <w:r>
                    <w:rPr>
                      <w:rStyle w:val="169"/>
                      <w:rFonts w:eastAsia="宋体"/>
                      <w:color w:val="000000" w:themeColor="text1"/>
                      <w:lang w:val="en-US" w:eastAsia="zh-CN" w:bidi="ar"/>
                      <w14:textFill>
                        <w14:solidFill>
                          <w14:schemeClr w14:val="tx1"/>
                        </w14:solidFill>
                      </w14:textFill>
                    </w:rPr>
                    <w:t>2</w:t>
                  </w:r>
                </w:p>
              </w:tc>
              <w:tc>
                <w:tcPr>
                  <w:tcW w:w="645" w:type="pct"/>
                  <w:tcBorders>
                    <w:top w:val="single" w:color="000000" w:sz="4" w:space="0"/>
                    <w:left w:val="single" w:color="000000" w:sz="4" w:space="0"/>
                    <w:bottom w:val="single" w:color="000000" w:sz="4" w:space="0"/>
                    <w:right w:val="single" w:color="000000" w:sz="4" w:space="0"/>
                  </w:tcBorders>
                  <w:noWrap w:val="0"/>
                  <w:vAlign w:val="center"/>
                </w:tcPr>
                <w:p w14:paraId="3B648725">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Style w:val="168"/>
                      <w:color w:val="000000" w:themeColor="text1"/>
                      <w:lang w:val="en-US" w:eastAsia="zh-CN" w:bidi="ar"/>
                      <w14:textFill>
                        <w14:solidFill>
                          <w14:schemeClr w14:val="tx1"/>
                        </w14:solidFill>
                      </w14:textFill>
                    </w:rPr>
                    <w:t>喷涂厚度</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μm</w:t>
                  </w:r>
                </w:p>
              </w:tc>
              <w:tc>
                <w:tcPr>
                  <w:tcW w:w="863" w:type="pct"/>
                  <w:tcBorders>
                    <w:top w:val="single" w:color="000000" w:sz="4" w:space="0"/>
                    <w:left w:val="single" w:color="000000" w:sz="4" w:space="0"/>
                    <w:bottom w:val="single" w:color="000000" w:sz="4" w:space="0"/>
                    <w:right w:val="single" w:color="000000" w:sz="4" w:space="0"/>
                  </w:tcBorders>
                  <w:noWrap w:val="0"/>
                  <w:vAlign w:val="center"/>
                </w:tcPr>
                <w:p w14:paraId="41AB4CCB">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Style w:val="168"/>
                      <w:rFonts w:hint="eastAsia"/>
                      <w:color w:val="000000" w:themeColor="text1"/>
                      <w:lang w:val="en-US" w:eastAsia="zh-CN" w:bidi="ar"/>
                      <w14:textFill>
                        <w14:solidFill>
                          <w14:schemeClr w14:val="tx1"/>
                        </w14:solidFill>
                      </w14:textFill>
                    </w:rPr>
                    <w:t>干膜</w:t>
                  </w:r>
                  <w:r>
                    <w:rPr>
                      <w:rStyle w:val="168"/>
                      <w:color w:val="000000" w:themeColor="text1"/>
                      <w:lang w:val="en-US" w:eastAsia="zh-CN" w:bidi="ar"/>
                      <w14:textFill>
                        <w14:solidFill>
                          <w14:schemeClr w14:val="tx1"/>
                        </w14:solidFill>
                      </w14:textFill>
                    </w:rPr>
                    <w:t>密度</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g/cm</w:t>
                  </w:r>
                  <w:r>
                    <w:rPr>
                      <w:rStyle w:val="169"/>
                      <w:rFonts w:eastAsia="宋体"/>
                      <w:color w:val="000000" w:themeColor="text1"/>
                      <w:lang w:val="en-US" w:eastAsia="zh-CN" w:bidi="ar"/>
                      <w14:textFill>
                        <w14:solidFill>
                          <w14:schemeClr w14:val="tx1"/>
                        </w14:solidFill>
                      </w14:textFill>
                    </w:rPr>
                    <w:t>3</w:t>
                  </w:r>
                </w:p>
              </w:tc>
              <w:tc>
                <w:tcPr>
                  <w:tcW w:w="731" w:type="pct"/>
                  <w:tcBorders>
                    <w:top w:val="single" w:color="000000" w:sz="4" w:space="0"/>
                    <w:left w:val="single" w:color="000000" w:sz="4" w:space="0"/>
                    <w:bottom w:val="single" w:color="000000" w:sz="4" w:space="0"/>
                    <w:right w:val="single" w:color="000000" w:sz="4" w:space="0"/>
                  </w:tcBorders>
                  <w:noWrap w:val="0"/>
                  <w:vAlign w:val="center"/>
                </w:tcPr>
                <w:p w14:paraId="1EF27023">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Style w:val="168"/>
                      <w:color w:val="000000" w:themeColor="text1"/>
                      <w:lang w:val="en-US" w:eastAsia="zh-CN" w:bidi="ar"/>
                      <w14:textFill>
                        <w14:solidFill>
                          <w14:schemeClr w14:val="tx1"/>
                        </w14:solidFill>
                      </w14:textFill>
                    </w:rPr>
                    <w:t>固含量</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w:t>
                  </w:r>
                </w:p>
              </w:tc>
              <w:tc>
                <w:tcPr>
                  <w:tcW w:w="738" w:type="pct"/>
                  <w:tcBorders>
                    <w:top w:val="single" w:color="000000" w:sz="4" w:space="0"/>
                    <w:left w:val="single" w:color="000000" w:sz="4" w:space="0"/>
                    <w:bottom w:val="single" w:color="000000" w:sz="4" w:space="0"/>
                    <w:right w:val="single" w:color="000000" w:sz="4" w:space="0"/>
                  </w:tcBorders>
                  <w:noWrap w:val="0"/>
                  <w:vAlign w:val="center"/>
                </w:tcPr>
                <w:p w14:paraId="0A1FFE42">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Style w:val="168"/>
                      <w:rFonts w:hint="eastAsia"/>
                      <w:color w:val="000000" w:themeColor="text1"/>
                      <w:lang w:val="en-US" w:eastAsia="zh-CN" w:bidi="ar"/>
                      <w14:textFill>
                        <w14:solidFill>
                          <w14:schemeClr w14:val="tx1"/>
                        </w14:solidFill>
                      </w14:textFill>
                    </w:rPr>
                    <w:t>利用</w:t>
                  </w:r>
                  <w:r>
                    <w:rPr>
                      <w:rStyle w:val="168"/>
                      <w:color w:val="000000" w:themeColor="text1"/>
                      <w:lang w:val="en-US" w:eastAsia="zh-CN" w:bidi="ar"/>
                      <w14:textFill>
                        <w14:solidFill>
                          <w14:schemeClr w14:val="tx1"/>
                        </w14:solidFill>
                      </w14:textFill>
                    </w:rPr>
                    <w:t>率</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w:t>
                  </w:r>
                </w:p>
              </w:tc>
              <w:tc>
                <w:tcPr>
                  <w:tcW w:w="731" w:type="pct"/>
                  <w:tcBorders>
                    <w:top w:val="single" w:color="000000" w:sz="4" w:space="0"/>
                    <w:left w:val="single" w:color="000000" w:sz="4" w:space="0"/>
                    <w:bottom w:val="single" w:color="000000" w:sz="4" w:space="0"/>
                    <w:right w:val="single" w:color="000000" w:sz="4" w:space="0"/>
                  </w:tcBorders>
                  <w:noWrap w:val="0"/>
                  <w:vAlign w:val="center"/>
                </w:tcPr>
                <w:p w14:paraId="374931B9">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Style w:val="168"/>
                      <w:color w:val="000000" w:themeColor="text1"/>
                      <w:lang w:val="en-US" w:eastAsia="zh-CN" w:bidi="ar"/>
                      <w14:textFill>
                        <w14:solidFill>
                          <w14:schemeClr w14:val="tx1"/>
                        </w14:solidFill>
                      </w14:textFill>
                    </w:rPr>
                    <w:t>原料使用量</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t/a</w:t>
                  </w:r>
                </w:p>
              </w:tc>
            </w:tr>
            <w:tr w14:paraId="797A1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107" w:type="dxa"/>
                  <w:tcBorders>
                    <w:top w:val="single" w:color="000000" w:sz="4" w:space="0"/>
                    <w:left w:val="single" w:color="000000" w:sz="4" w:space="0"/>
                    <w:bottom w:val="single" w:color="000000" w:sz="4" w:space="0"/>
                    <w:right w:val="single" w:color="000000" w:sz="4" w:space="0"/>
                  </w:tcBorders>
                  <w:noWrap/>
                  <w:vAlign w:val="center"/>
                </w:tcPr>
                <w:p w14:paraId="591865E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底漆</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6F77F42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30000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2106304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14:paraId="4B193B2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1.4076</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77C846A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69.29 </w:t>
                  </w:r>
                </w:p>
              </w:tc>
              <w:tc>
                <w:tcPr>
                  <w:tcW w:w="1257" w:type="dxa"/>
                  <w:tcBorders>
                    <w:top w:val="single" w:color="000000" w:sz="4" w:space="0"/>
                    <w:left w:val="single" w:color="000000" w:sz="4" w:space="0"/>
                    <w:bottom w:val="single" w:color="000000" w:sz="4" w:space="0"/>
                    <w:right w:val="single" w:color="000000" w:sz="4" w:space="0"/>
                  </w:tcBorders>
                  <w:noWrap w:val="0"/>
                  <w:vAlign w:val="center"/>
                </w:tcPr>
                <w:p w14:paraId="3740851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244" w:type="dxa"/>
                  <w:tcBorders>
                    <w:top w:val="single" w:color="000000" w:sz="4" w:space="0"/>
                    <w:left w:val="single" w:color="000000" w:sz="4" w:space="0"/>
                    <w:bottom w:val="single" w:color="000000" w:sz="4" w:space="0"/>
                    <w:right w:val="single" w:color="000000" w:sz="4" w:space="0"/>
                  </w:tcBorders>
                  <w:noWrap/>
                  <w:vAlign w:val="center"/>
                </w:tcPr>
                <w:p w14:paraId="12800A1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2.539 </w:t>
                  </w:r>
                </w:p>
              </w:tc>
            </w:tr>
            <w:tr w14:paraId="1C2B8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107" w:type="dxa"/>
                  <w:tcBorders>
                    <w:top w:val="single" w:color="000000" w:sz="4" w:space="0"/>
                    <w:left w:val="single" w:color="000000" w:sz="4" w:space="0"/>
                    <w:bottom w:val="single" w:color="000000" w:sz="4" w:space="0"/>
                    <w:right w:val="single" w:color="000000" w:sz="4" w:space="0"/>
                  </w:tcBorders>
                  <w:noWrap/>
                  <w:vAlign w:val="center"/>
                </w:tcPr>
                <w:p w14:paraId="067F38E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面漆</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1B41A23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30000</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74BD5BD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7B0A785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1.2852</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5C2AA12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57.81 </w:t>
                  </w:r>
                </w:p>
              </w:tc>
              <w:tc>
                <w:tcPr>
                  <w:tcW w:w="1257" w:type="dxa"/>
                  <w:tcBorders>
                    <w:top w:val="single" w:color="000000" w:sz="4" w:space="0"/>
                    <w:left w:val="single" w:color="000000" w:sz="4" w:space="0"/>
                    <w:bottom w:val="single" w:color="000000" w:sz="4" w:space="0"/>
                    <w:right w:val="single" w:color="000000" w:sz="4" w:space="0"/>
                  </w:tcBorders>
                  <w:noWrap w:val="0"/>
                  <w:vAlign w:val="center"/>
                </w:tcPr>
                <w:p w14:paraId="77C9E54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244" w:type="dxa"/>
                  <w:tcBorders>
                    <w:top w:val="single" w:color="000000" w:sz="4" w:space="0"/>
                    <w:left w:val="single" w:color="000000" w:sz="4" w:space="0"/>
                    <w:bottom w:val="single" w:color="000000" w:sz="4" w:space="0"/>
                    <w:right w:val="single" w:color="000000" w:sz="4" w:space="0"/>
                  </w:tcBorders>
                  <w:noWrap/>
                  <w:vAlign w:val="center"/>
                </w:tcPr>
                <w:p w14:paraId="3DAC849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3.890 </w:t>
                  </w:r>
                </w:p>
              </w:tc>
            </w:tr>
            <w:tr w14:paraId="32FED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1107" w:type="dxa"/>
                  <w:tcBorders>
                    <w:top w:val="single" w:color="000000" w:sz="4" w:space="0"/>
                    <w:left w:val="single" w:color="000000" w:sz="4" w:space="0"/>
                    <w:bottom w:val="single" w:color="000000" w:sz="4" w:space="0"/>
                    <w:right w:val="single" w:color="000000" w:sz="4" w:space="0"/>
                  </w:tcBorders>
                  <w:noWrap/>
                  <w:vAlign w:val="center"/>
                </w:tcPr>
                <w:p w14:paraId="625B434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清漆</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309BE84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30000</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2D6C667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246997E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1.4076</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1632357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65.61 </w:t>
                  </w:r>
                </w:p>
              </w:tc>
              <w:tc>
                <w:tcPr>
                  <w:tcW w:w="1257" w:type="dxa"/>
                  <w:tcBorders>
                    <w:top w:val="single" w:color="000000" w:sz="4" w:space="0"/>
                    <w:left w:val="single" w:color="000000" w:sz="4" w:space="0"/>
                    <w:bottom w:val="single" w:color="000000" w:sz="4" w:space="0"/>
                    <w:right w:val="single" w:color="000000" w:sz="4" w:space="0"/>
                  </w:tcBorders>
                  <w:noWrap w:val="0"/>
                  <w:vAlign w:val="center"/>
                </w:tcPr>
                <w:p w14:paraId="727EC71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244" w:type="dxa"/>
                  <w:tcBorders>
                    <w:top w:val="single" w:color="000000" w:sz="4" w:space="0"/>
                    <w:left w:val="single" w:color="000000" w:sz="4" w:space="0"/>
                    <w:bottom w:val="single" w:color="000000" w:sz="4" w:space="0"/>
                    <w:right w:val="single" w:color="000000" w:sz="4" w:space="0"/>
                  </w:tcBorders>
                  <w:noWrap/>
                  <w:vAlign w:val="center"/>
                </w:tcPr>
                <w:p w14:paraId="4E58EAF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3.218 </w:t>
                  </w:r>
                </w:p>
              </w:tc>
            </w:tr>
            <w:tr w14:paraId="2F501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7271" w:type="dxa"/>
                  <w:gridSpan w:val="6"/>
                  <w:tcBorders>
                    <w:top w:val="single" w:color="000000" w:sz="4" w:space="0"/>
                    <w:left w:val="single" w:color="000000" w:sz="4" w:space="0"/>
                    <w:bottom w:val="single" w:color="000000" w:sz="4" w:space="0"/>
                    <w:right w:val="single" w:color="000000" w:sz="4" w:space="0"/>
                  </w:tcBorders>
                  <w:noWrap/>
                  <w:vAlign w:val="center"/>
                </w:tcPr>
                <w:p w14:paraId="201701A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合计</w:t>
                  </w:r>
                </w:p>
              </w:tc>
              <w:tc>
                <w:tcPr>
                  <w:tcW w:w="1244" w:type="dxa"/>
                  <w:tcBorders>
                    <w:top w:val="single" w:color="000000" w:sz="4" w:space="0"/>
                    <w:left w:val="single" w:color="000000" w:sz="4" w:space="0"/>
                    <w:bottom w:val="single" w:color="000000" w:sz="4" w:space="0"/>
                    <w:right w:val="single" w:color="000000" w:sz="4" w:space="0"/>
                  </w:tcBorders>
                  <w:noWrap/>
                  <w:vAlign w:val="center"/>
                </w:tcPr>
                <w:p w14:paraId="40540B2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9.648 </w:t>
                  </w:r>
                </w:p>
              </w:tc>
            </w:tr>
            <w:tr w14:paraId="63A9E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4" w:hRule="atLeast"/>
              </w:trPr>
              <w:tc>
                <w:tcPr>
                  <w:tcW w:w="5000" w:type="pct"/>
                  <w:gridSpan w:val="7"/>
                  <w:tcBorders>
                    <w:top w:val="single" w:color="000000" w:sz="4" w:space="0"/>
                    <w:left w:val="single" w:color="000000" w:sz="4" w:space="0"/>
                    <w:bottom w:val="single" w:color="000000" w:sz="4" w:space="0"/>
                    <w:right w:val="single" w:color="000000" w:sz="4" w:space="0"/>
                  </w:tcBorders>
                  <w:noWrap/>
                  <w:vAlign w:val="center"/>
                </w:tcPr>
                <w:p w14:paraId="2B0B0653">
                  <w:pPr>
                    <w:keepNext w:val="0"/>
                    <w:keepLines w:val="0"/>
                    <w:widowControl/>
                    <w:suppressLineNumbers w:val="0"/>
                    <w:spacing w:line="240" w:lineRule="auto"/>
                    <w:jc w:val="left"/>
                    <w:textAlignment w:val="center"/>
                    <w:rPr>
                      <w:rStyle w:val="152"/>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14:textFill>
                        <w14:solidFill>
                          <w14:schemeClr w14:val="tx1"/>
                        </w14:solidFill>
                      </w14:textFill>
                    </w:rPr>
                    <w:t>注：1、</w:t>
                  </w:r>
                  <w:r>
                    <w:rPr>
                      <w:rFonts w:hint="eastAsia" w:cs="Times New Roman"/>
                      <w:i w:val="0"/>
                      <w:iCs w:val="0"/>
                      <w:color w:val="000000" w:themeColor="text1"/>
                      <w:kern w:val="0"/>
                      <w:sz w:val="21"/>
                      <w:szCs w:val="21"/>
                      <w:u w:val="none"/>
                      <w:lang w:val="en-US" w:eastAsia="zh-CN"/>
                      <w14:textFill>
                        <w14:solidFill>
                          <w14:schemeClr w14:val="tx1"/>
                        </w14:solidFill>
                      </w14:textFill>
                    </w:rPr>
                    <w:t>本</w:t>
                  </w:r>
                  <w:r>
                    <w:rPr>
                      <w:rFonts w:hint="default" w:ascii="Times New Roman" w:hAnsi="Times New Roman" w:eastAsia="宋体" w:cs="Times New Roman"/>
                      <w:i w:val="0"/>
                      <w:iCs w:val="0"/>
                      <w:color w:val="000000" w:themeColor="text1"/>
                      <w:kern w:val="0"/>
                      <w:sz w:val="21"/>
                      <w:szCs w:val="21"/>
                      <w:u w:val="none"/>
                      <w:lang w:val="en-US" w:eastAsia="zh-CN"/>
                      <w14:textFill>
                        <w14:solidFill>
                          <w14:schemeClr w14:val="tx1"/>
                        </w14:solidFill>
                      </w14:textFill>
                    </w:rPr>
                    <w:t>项目</w:t>
                  </w:r>
                  <w:r>
                    <w:rPr>
                      <w:rFonts w:hint="eastAsia" w:cs="Times New Roman"/>
                      <w:i w:val="0"/>
                      <w:iCs w:val="0"/>
                      <w:color w:val="000000" w:themeColor="text1"/>
                      <w:kern w:val="0"/>
                      <w:sz w:val="21"/>
                      <w:szCs w:val="21"/>
                      <w:u w:val="none"/>
                      <w:lang w:val="en-US" w:eastAsia="zh-CN"/>
                      <w14:textFill>
                        <w14:solidFill>
                          <w14:schemeClr w14:val="tx1"/>
                        </w14:solidFill>
                      </w14:textFill>
                    </w:rPr>
                    <w:t>以喷粉工艺产品为主，仅接受小部分的喷漆工艺产品订单，年</w:t>
                  </w:r>
                  <w:r>
                    <w:rPr>
                      <w:rFonts w:hint="default" w:ascii="Times New Roman" w:hAnsi="Times New Roman" w:eastAsia="宋体" w:cs="Times New Roman"/>
                      <w:i w:val="0"/>
                      <w:iCs w:val="0"/>
                      <w:color w:val="000000" w:themeColor="text1"/>
                      <w:kern w:val="0"/>
                      <w:sz w:val="21"/>
                      <w:szCs w:val="21"/>
                      <w:u w:val="none"/>
                      <w:lang w:val="en-US" w:eastAsia="zh-CN"/>
                      <w14:textFill>
                        <w14:solidFill>
                          <w14:schemeClr w14:val="tx1"/>
                        </w14:solidFill>
                      </w14:textFill>
                    </w:rPr>
                    <w:t>喷漆产品</w:t>
                  </w:r>
                  <w:r>
                    <w:rPr>
                      <w:rFonts w:hint="eastAsia" w:cs="Times New Roman"/>
                      <w:i w:val="0"/>
                      <w:iCs w:val="0"/>
                      <w:color w:val="000000" w:themeColor="text1"/>
                      <w:kern w:val="0"/>
                      <w:sz w:val="21"/>
                      <w:szCs w:val="21"/>
                      <w:u w:val="none"/>
                      <w:lang w:val="en-US" w:eastAsia="zh-CN"/>
                      <w14:textFill>
                        <w14:solidFill>
                          <w14:schemeClr w14:val="tx1"/>
                        </w14:solidFill>
                      </w14:textFill>
                    </w:rPr>
                    <w:t>约为3</w:t>
                  </w:r>
                  <w:r>
                    <w:rPr>
                      <w:rFonts w:hint="default" w:ascii="Times New Roman" w:hAnsi="Times New Roman" w:eastAsia="宋体" w:cs="Times New Roman"/>
                      <w:i w:val="0"/>
                      <w:iCs w:val="0"/>
                      <w:color w:val="000000" w:themeColor="text1"/>
                      <w:kern w:val="0"/>
                      <w:sz w:val="21"/>
                      <w:szCs w:val="21"/>
                      <w:u w:val="none"/>
                      <w:lang w:val="en-US" w:eastAsia="zh-CN"/>
                      <w14:textFill>
                        <w14:solidFill>
                          <w14:schemeClr w14:val="tx1"/>
                        </w14:solidFill>
                      </w14:textFill>
                    </w:rPr>
                    <w:t>万m</w:t>
                  </w:r>
                  <w:r>
                    <w:rPr>
                      <w:rStyle w:val="152"/>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Style w:val="152"/>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w:t>
                  </w:r>
                </w:p>
                <w:p w14:paraId="0C96C159">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left"/>
                    <w:textAlignment w:val="auto"/>
                    <w:outlineLvl w:val="9"/>
                    <w:rPr>
                      <w:color w:val="000000" w:themeColor="text1"/>
                      <w14:textFill>
                        <w14:solidFill>
                          <w14:schemeClr w14:val="tx1"/>
                        </w14:solidFill>
                      </w14:textFill>
                    </w:rPr>
                  </w:pPr>
                  <w:r>
                    <w:rPr>
                      <w:rStyle w:val="152"/>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2、</w:t>
                  </w:r>
                  <w:r>
                    <w:rPr>
                      <w:rFonts w:hint="default" w:ascii="Times New Roman" w:hAnsi="Times New Roman" w:cs="Times New Roman"/>
                      <w:bCs/>
                      <w:color w:val="000000" w:themeColor="text1"/>
                      <w:sz w:val="21"/>
                      <w:szCs w:val="21"/>
                      <w:highlight w:val="none"/>
                      <w14:textFill>
                        <w14:solidFill>
                          <w14:schemeClr w14:val="tx1"/>
                        </w14:solidFill>
                      </w14:textFill>
                    </w:rPr>
                    <w:t>根据建设单位提供资料，</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本项目喷漆工序</w:t>
                  </w:r>
                  <w:r>
                    <w:rPr>
                      <w:rFonts w:hint="default" w:ascii="Times New Roman" w:hAnsi="Times New Roman" w:cs="Times New Roman"/>
                      <w:bCs/>
                      <w:color w:val="000000" w:themeColor="text1"/>
                      <w:sz w:val="21"/>
                      <w:szCs w:val="21"/>
                      <w:highlight w:val="none"/>
                      <w14:textFill>
                        <w14:solidFill>
                          <w14:schemeClr w14:val="tx1"/>
                        </w14:solidFill>
                      </w14:textFill>
                    </w:rPr>
                    <w:t>采用空气喷涂法，涂料利用率参考《现代涂装手册 化学工业出版社 2010年（第一版）》内容：“第4章 空气喷涂-4.1.2 空气喷涂的特点”，选取为</w:t>
                  </w: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6</w:t>
                  </w:r>
                  <w:r>
                    <w:rPr>
                      <w:rFonts w:hint="default" w:ascii="Times New Roman" w:hAnsi="Times New Roman" w:cs="Times New Roman"/>
                      <w:bCs/>
                      <w:color w:val="000000" w:themeColor="text1"/>
                      <w:sz w:val="21"/>
                      <w:szCs w:val="21"/>
                      <w:highlight w:val="none"/>
                      <w14:textFill>
                        <w14:solidFill>
                          <w14:schemeClr w14:val="tx1"/>
                        </w14:solidFill>
                      </w14:textFill>
                    </w:rPr>
                    <w:t>0%</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p>
                <w:p w14:paraId="3DF10E6A">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left"/>
                    <w:textAlignment w:val="auto"/>
                    <w:outlineLvl w:val="9"/>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3、油粉混合线工作模式为，当油漆工作时，喷粉线不工作，同时只进行其中一种工艺处理。根据订单情况选择工作模式。</w:t>
                  </w:r>
                </w:p>
                <w:p w14:paraId="30A59B36">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left"/>
                    <w:textAlignment w:val="auto"/>
                    <w:outlineLvl w:val="9"/>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olor w:val="000000" w:themeColor="text1"/>
                      <w:lang w:val="en-US" w:eastAsia="zh-CN"/>
                      <w14:textFill>
                        <w14:solidFill>
                          <w14:schemeClr w14:val="tx1"/>
                        </w14:solidFill>
                      </w14:textFill>
                    </w:rPr>
                    <w:t>4、根据建设单位提供信息，本表格为供需双方商定喷涂厚度，喷涂氟碳</w:t>
                  </w:r>
                  <w:r>
                    <w:rPr>
                      <w:rFonts w:hint="eastAsia"/>
                      <w:b w:val="0"/>
                      <w:bCs w:val="0"/>
                      <w:color w:val="000000" w:themeColor="text1"/>
                      <w:lang w:val="en-US" w:eastAsia="zh-CN"/>
                      <w14:textFill>
                        <w14:solidFill>
                          <w14:schemeClr w14:val="tx1"/>
                        </w14:solidFill>
                      </w14:textFill>
                    </w:rPr>
                    <w:t>层厚度＞20</w:t>
                  </w: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μm</w:t>
                  </w: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，满足《建筑装饰用铝单板》（GB/T 23443-2024） 中 6.3 装饰面层厚度要求。</w:t>
                  </w:r>
                </w:p>
                <w:p w14:paraId="6D7CF094">
                  <w:pPr>
                    <w:pStyle w:val="2"/>
                    <w:ind w:firstLine="420" w:firstLineChars="200"/>
                    <w:rPr>
                      <w:rFonts w:hint="default"/>
                      <w:color w:val="000000" w:themeColor="text1"/>
                      <w:lang w:val="en-US" w:eastAsia="zh-CN"/>
                      <w14:textFill>
                        <w14:solidFill>
                          <w14:schemeClr w14:val="tx1"/>
                        </w14:solidFill>
                      </w14:textFill>
                    </w:rPr>
                  </w:pPr>
                  <w:r>
                    <w:rPr>
                      <w:rFonts w:hint="eastAsia" w:asci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5、原料年使用量（吨 / 年）＝（喷涂总面积 × 干膜厚度 × 干漆膜固体密度）÷（涂料质量固含量 × 喷涂原料利用率 × 10⁶）</w:t>
                  </w:r>
                </w:p>
              </w:tc>
            </w:tr>
          </w:tbl>
          <w:p w14:paraId="4F864A2E">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b/>
                <w:color w:val="000000" w:themeColor="text1"/>
                <w:sz w:val="24"/>
                <w:highlight w:val="none"/>
                <w14:textFill>
                  <w14:solidFill>
                    <w14:schemeClr w14:val="tx1"/>
                  </w14:solidFill>
                </w14:textFill>
              </w:rPr>
            </w:pPr>
            <w:r>
              <w:rPr>
                <w:rFonts w:hint="eastAsia"/>
                <w:b/>
                <w:color w:val="000000" w:themeColor="text1"/>
                <w:sz w:val="24"/>
                <w:highlight w:val="none"/>
                <w:lang w:val="en-US" w:eastAsia="zh-CN"/>
                <w14:textFill>
                  <w14:solidFill>
                    <w14:schemeClr w14:val="tx1"/>
                  </w14:solidFill>
                </w14:textFill>
              </w:rPr>
              <w:t>②</w:t>
            </w:r>
            <w:r>
              <w:rPr>
                <w:b/>
                <w:color w:val="000000" w:themeColor="text1"/>
                <w:sz w:val="24"/>
                <w:highlight w:val="none"/>
                <w14:textFill>
                  <w14:solidFill>
                    <w14:schemeClr w14:val="tx1"/>
                  </w14:solidFill>
                </w14:textFill>
              </w:rPr>
              <w:t>原漆料用量核算</w:t>
            </w:r>
          </w:p>
          <w:p w14:paraId="6AB4F2F9">
            <w:pPr>
              <w:pStyle w:val="2"/>
              <w:pageBreakBefore w:val="0"/>
              <w:wordWrap w:val="0"/>
              <w:overflowPunct/>
              <w:bidi w:val="0"/>
              <w:ind w:firstLine="480" w:firstLineChars="200"/>
              <w:rPr>
                <w:rFonts w:ascii="Times New Roman" w:hAnsi="Times New Roman" w:eastAsia="宋体"/>
                <w:color w:val="000000" w:themeColor="text1"/>
                <w:szCs w:val="24"/>
                <w:highlight w:val="none"/>
                <w14:textFill>
                  <w14:solidFill>
                    <w14:schemeClr w14:val="tx1"/>
                  </w14:solidFill>
                </w14:textFill>
              </w:rPr>
            </w:pPr>
            <w:r>
              <w:rPr>
                <w:rFonts w:ascii="Times New Roman" w:hAnsi="Times New Roman" w:eastAsia="宋体"/>
                <w:color w:val="000000" w:themeColor="text1"/>
                <w:szCs w:val="24"/>
                <w:highlight w:val="none"/>
                <w14:textFill>
                  <w14:solidFill>
                    <w14:schemeClr w14:val="tx1"/>
                  </w14:solidFill>
                </w14:textFill>
              </w:rPr>
              <w:t>根据各漆料配比比例，得出原漆料具体成分使用量，详见下表。</w:t>
            </w:r>
          </w:p>
          <w:p w14:paraId="4513CF69">
            <w:pPr>
              <w:pageBreakBefore w:val="0"/>
              <w:widowControl w:val="0"/>
              <w:numPr>
                <w:ilvl w:val="0"/>
                <w:numId w:val="10"/>
              </w:numPr>
              <w:wordWrap w:val="0"/>
              <w:overflowPunct/>
              <w:bidi w:val="0"/>
              <w:spacing w:line="240" w:lineRule="auto"/>
              <w:ind w:left="0" w:leftChars="0" w:firstLine="40" w:firstLineChars="0"/>
              <w:jc w:val="center"/>
              <w:rPr>
                <w:color w:val="000000" w:themeColor="text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各原漆料用料一览表</w:t>
            </w:r>
          </w:p>
          <w:tbl>
            <w:tblPr>
              <w:tblStyle w:val="4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5"/>
              <w:gridCol w:w="1395"/>
              <w:gridCol w:w="1431"/>
              <w:gridCol w:w="4556"/>
            </w:tblGrid>
            <w:tr w14:paraId="7A416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1" w:type="pct"/>
                  <w:noWrap w:val="0"/>
                  <w:vAlign w:val="center"/>
                </w:tcPr>
                <w:p w14:paraId="0A1ECBE9">
                  <w:pPr>
                    <w:pageBreakBefore w:val="0"/>
                    <w:wordWrap w:val="0"/>
                    <w:overflowPunct/>
                    <w:bidi w:val="0"/>
                    <w:spacing w:line="240" w:lineRule="auto"/>
                    <w:jc w:val="center"/>
                    <w:outlineLvl w:val="3"/>
                    <w:rPr>
                      <w:b/>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涂层种类</w:t>
                  </w:r>
                </w:p>
              </w:tc>
              <w:tc>
                <w:tcPr>
                  <w:tcW w:w="820" w:type="pct"/>
                  <w:noWrap w:val="0"/>
                  <w:vAlign w:val="center"/>
                </w:tcPr>
                <w:p w14:paraId="25338233">
                  <w:pPr>
                    <w:pageBreakBefore w:val="0"/>
                    <w:wordWrap w:val="0"/>
                    <w:overflowPunct/>
                    <w:bidi w:val="0"/>
                    <w:spacing w:line="240" w:lineRule="auto"/>
                    <w:jc w:val="center"/>
                    <w:outlineLvl w:val="3"/>
                    <w:rPr>
                      <w:b/>
                      <w:color w:val="000000" w:themeColor="text1"/>
                      <w:sz w:val="21"/>
                      <w:szCs w:val="21"/>
                      <w:highlight w:val="none"/>
                      <w14:textFill>
                        <w14:solidFill>
                          <w14:schemeClr w14:val="tx1"/>
                        </w14:solidFill>
                      </w14:textFill>
                    </w:rPr>
                  </w:pPr>
                  <w:r>
                    <w:rPr>
                      <w:rFonts w:hint="eastAsia"/>
                      <w:b/>
                      <w:color w:val="000000" w:themeColor="text1"/>
                      <w:sz w:val="21"/>
                      <w:szCs w:val="21"/>
                      <w:highlight w:val="none"/>
                      <w:lang w:val="en-US" w:eastAsia="zh-CN"/>
                      <w14:textFill>
                        <w14:solidFill>
                          <w14:schemeClr w14:val="tx1"/>
                        </w14:solidFill>
                      </w14:textFill>
                    </w:rPr>
                    <w:t>漆料</w:t>
                  </w:r>
                  <w:r>
                    <w:rPr>
                      <w:b/>
                      <w:color w:val="000000" w:themeColor="text1"/>
                      <w:sz w:val="21"/>
                      <w:szCs w:val="21"/>
                      <w:highlight w:val="none"/>
                      <w14:textFill>
                        <w14:solidFill>
                          <w14:schemeClr w14:val="tx1"/>
                        </w14:solidFill>
                      </w14:textFill>
                    </w:rPr>
                    <w:t>名称</w:t>
                  </w:r>
                </w:p>
              </w:tc>
              <w:tc>
                <w:tcPr>
                  <w:tcW w:w="841" w:type="pct"/>
                  <w:noWrap w:val="0"/>
                  <w:vAlign w:val="center"/>
                </w:tcPr>
                <w:p w14:paraId="3E1F01F4">
                  <w:pPr>
                    <w:pageBreakBefore w:val="0"/>
                    <w:wordWrap w:val="0"/>
                    <w:overflowPunct/>
                    <w:bidi w:val="0"/>
                    <w:spacing w:line="240" w:lineRule="auto"/>
                    <w:jc w:val="center"/>
                    <w:outlineLvl w:val="3"/>
                    <w:rPr>
                      <w:b/>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原漆料用量（t/a）</w:t>
                  </w:r>
                </w:p>
              </w:tc>
              <w:tc>
                <w:tcPr>
                  <w:tcW w:w="2677" w:type="pct"/>
                  <w:noWrap w:val="0"/>
                  <w:vAlign w:val="center"/>
                </w:tcPr>
                <w:p w14:paraId="1249B3C7">
                  <w:pPr>
                    <w:pageBreakBefore w:val="0"/>
                    <w:wordWrap w:val="0"/>
                    <w:overflowPunct/>
                    <w:bidi w:val="0"/>
                    <w:spacing w:line="240" w:lineRule="auto"/>
                    <w:jc w:val="center"/>
                    <w:outlineLvl w:val="3"/>
                    <w:rPr>
                      <w:b/>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备注</w:t>
                  </w:r>
                </w:p>
              </w:tc>
            </w:tr>
            <w:tr w14:paraId="2FE4A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661" w:type="pct"/>
                  <w:vMerge w:val="restart"/>
                  <w:noWrap w:val="0"/>
                  <w:vAlign w:val="center"/>
                </w:tcPr>
                <w:p w14:paraId="3BEE6967">
                  <w:pPr>
                    <w:pageBreakBefore w:val="0"/>
                    <w:wordWrap w:val="0"/>
                    <w:overflowPunct/>
                    <w:bidi w:val="0"/>
                    <w:spacing w:line="240" w:lineRule="auto"/>
                    <w:jc w:val="center"/>
                    <w:outlineLvl w:val="3"/>
                    <w:rPr>
                      <w:rFonts w:hint="default" w:eastAsia="宋体"/>
                      <w:bCs/>
                      <w:color w:val="000000" w:themeColor="text1"/>
                      <w:sz w:val="21"/>
                      <w:szCs w:val="21"/>
                      <w:highlight w:val="none"/>
                      <w:lang w:val="en-US" w:eastAsia="zh-CN"/>
                      <w14:textFill>
                        <w14:solidFill>
                          <w14:schemeClr w14:val="tx1"/>
                        </w14:solidFill>
                      </w14:textFill>
                    </w:rPr>
                  </w:pPr>
                  <w:r>
                    <w:rPr>
                      <w:rFonts w:hint="eastAsia"/>
                      <w:bCs/>
                      <w:color w:val="000000" w:themeColor="text1"/>
                      <w:sz w:val="21"/>
                      <w:szCs w:val="21"/>
                      <w:highlight w:val="none"/>
                      <w:lang w:val="en-US" w:eastAsia="zh-CN"/>
                      <w14:textFill>
                        <w14:solidFill>
                          <w14:schemeClr w14:val="tx1"/>
                        </w14:solidFill>
                      </w14:textFill>
                    </w:rPr>
                    <w:t>油性漆</w:t>
                  </w:r>
                </w:p>
              </w:tc>
              <w:tc>
                <w:tcPr>
                  <w:tcW w:w="820" w:type="pct"/>
                  <w:noWrap w:val="0"/>
                  <w:vAlign w:val="center"/>
                </w:tcPr>
                <w:p w14:paraId="0B1C6DE2">
                  <w:pPr>
                    <w:keepNext w:val="0"/>
                    <w:keepLines w:val="0"/>
                    <w:widowControl/>
                    <w:suppressLineNumbers w:val="0"/>
                    <w:jc w:val="center"/>
                    <w:textAlignment w:val="center"/>
                    <w:rPr>
                      <w:rFonts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稀释剂</w:t>
                  </w:r>
                </w:p>
              </w:tc>
              <w:tc>
                <w:tcPr>
                  <w:tcW w:w="1431" w:type="dxa"/>
                  <w:noWrap w:val="0"/>
                  <w:vAlign w:val="center"/>
                </w:tcPr>
                <w:p w14:paraId="772C01BF">
                  <w:pPr>
                    <w:keepNext w:val="0"/>
                    <w:keepLines w:val="0"/>
                    <w:widowControl/>
                    <w:suppressLineNumbers w:val="0"/>
                    <w:jc w:val="center"/>
                    <w:textAlignment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1.299 </w:t>
                  </w:r>
                </w:p>
              </w:tc>
              <w:tc>
                <w:tcPr>
                  <w:tcW w:w="2677" w:type="pct"/>
                  <w:noWrap w:val="0"/>
                  <w:vAlign w:val="center"/>
                </w:tcPr>
                <w:p w14:paraId="26C56A19">
                  <w:pPr>
                    <w:pageBreakBefore w:val="0"/>
                    <w:wordWrap w:val="0"/>
                    <w:overflowPunct/>
                    <w:bidi w:val="0"/>
                    <w:spacing w:line="240" w:lineRule="auto"/>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w:t>
                  </w:r>
                </w:p>
              </w:tc>
            </w:tr>
            <w:tr w14:paraId="2FBF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661" w:type="pct"/>
                  <w:vMerge w:val="continue"/>
                  <w:noWrap w:val="0"/>
                  <w:vAlign w:val="center"/>
                </w:tcPr>
                <w:p w14:paraId="69F96C6E">
                  <w:pPr>
                    <w:pageBreakBefore w:val="0"/>
                    <w:wordWrap w:val="0"/>
                    <w:overflowPunct/>
                    <w:bidi w:val="0"/>
                    <w:spacing w:line="240" w:lineRule="auto"/>
                    <w:jc w:val="center"/>
                    <w:rPr>
                      <w:bCs/>
                      <w:color w:val="000000" w:themeColor="text1"/>
                      <w:sz w:val="21"/>
                      <w:szCs w:val="21"/>
                      <w:highlight w:val="none"/>
                      <w14:textFill>
                        <w14:solidFill>
                          <w14:schemeClr w14:val="tx1"/>
                        </w14:solidFill>
                      </w14:textFill>
                    </w:rPr>
                  </w:pPr>
                </w:p>
              </w:tc>
              <w:tc>
                <w:tcPr>
                  <w:tcW w:w="820" w:type="pct"/>
                  <w:noWrap w:val="0"/>
                  <w:vAlign w:val="center"/>
                </w:tcPr>
                <w:p w14:paraId="72510D0E">
                  <w:pPr>
                    <w:keepNext w:val="0"/>
                    <w:keepLines w:val="0"/>
                    <w:widowControl/>
                    <w:suppressLineNumbers w:val="0"/>
                    <w:jc w:val="center"/>
                    <w:textAlignment w:val="center"/>
                    <w:rPr>
                      <w:bCs/>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底漆</w:t>
                  </w:r>
                </w:p>
              </w:tc>
              <w:tc>
                <w:tcPr>
                  <w:tcW w:w="1431" w:type="dxa"/>
                  <w:noWrap w:val="0"/>
                  <w:vAlign w:val="center"/>
                </w:tcPr>
                <w:p w14:paraId="149F6E0E">
                  <w:pPr>
                    <w:keepNext w:val="0"/>
                    <w:keepLines w:val="0"/>
                    <w:widowControl/>
                    <w:suppressLineNumbers w:val="0"/>
                    <w:jc w:val="center"/>
                    <w:textAlignment w:val="cente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2.309 </w:t>
                  </w:r>
                </w:p>
              </w:tc>
              <w:tc>
                <w:tcPr>
                  <w:tcW w:w="2677" w:type="pct"/>
                  <w:noWrap w:val="0"/>
                  <w:vAlign w:val="center"/>
                </w:tcPr>
                <w:p w14:paraId="214A7354">
                  <w:pPr>
                    <w:pageBreakBefore w:val="0"/>
                    <w:wordWrap w:val="0"/>
                    <w:overflowPunct/>
                    <w:bidi w:val="0"/>
                    <w:spacing w:line="240" w:lineRule="auto"/>
                    <w:jc w:val="center"/>
                    <w:outlineLvl w:val="3"/>
                    <w:rPr>
                      <w:rFonts w:hint="default" w:eastAsia="宋体"/>
                      <w:bCs/>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漆:稀释剂=1:0.1</w:t>
                  </w:r>
                </w:p>
              </w:tc>
            </w:tr>
            <w:tr w14:paraId="148A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661" w:type="pct"/>
                  <w:vMerge w:val="continue"/>
                  <w:noWrap w:val="0"/>
                  <w:vAlign w:val="center"/>
                </w:tcPr>
                <w:p w14:paraId="13170FC6">
                  <w:pPr>
                    <w:pageBreakBefore w:val="0"/>
                    <w:wordWrap w:val="0"/>
                    <w:overflowPunct/>
                    <w:bidi w:val="0"/>
                    <w:spacing w:line="240" w:lineRule="auto"/>
                    <w:jc w:val="center"/>
                    <w:rPr>
                      <w:bCs/>
                      <w:color w:val="000000" w:themeColor="text1"/>
                      <w:sz w:val="21"/>
                      <w:szCs w:val="21"/>
                      <w:highlight w:val="none"/>
                      <w14:textFill>
                        <w14:solidFill>
                          <w14:schemeClr w14:val="tx1"/>
                        </w14:solidFill>
                      </w14:textFill>
                    </w:rPr>
                  </w:pPr>
                </w:p>
              </w:tc>
              <w:tc>
                <w:tcPr>
                  <w:tcW w:w="820" w:type="pct"/>
                  <w:noWrap w:val="0"/>
                  <w:vAlign w:val="center"/>
                </w:tcPr>
                <w:p w14:paraId="0692919B">
                  <w:pPr>
                    <w:keepNext w:val="0"/>
                    <w:keepLines w:val="0"/>
                    <w:widowControl/>
                    <w:suppressLineNumbers w:val="0"/>
                    <w:jc w:val="center"/>
                    <w:textAlignment w:val="center"/>
                    <w:rPr>
                      <w:bCs/>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面漆</w:t>
                  </w:r>
                </w:p>
              </w:tc>
              <w:tc>
                <w:tcPr>
                  <w:tcW w:w="1431" w:type="dxa"/>
                  <w:noWrap w:val="0"/>
                  <w:vAlign w:val="center"/>
                </w:tcPr>
                <w:p w14:paraId="0CFE9C1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3.242 </w:t>
                  </w:r>
                </w:p>
              </w:tc>
              <w:tc>
                <w:tcPr>
                  <w:tcW w:w="2677" w:type="pct"/>
                  <w:noWrap w:val="0"/>
                  <w:vAlign w:val="center"/>
                </w:tcPr>
                <w:p w14:paraId="5DA62D6C">
                  <w:pPr>
                    <w:pageBreakBefore w:val="0"/>
                    <w:wordWrap w:val="0"/>
                    <w:overflowPunct/>
                    <w:bidi w:val="0"/>
                    <w:spacing w:line="240" w:lineRule="auto"/>
                    <w:jc w:val="center"/>
                    <w:outlineLvl w:val="3"/>
                    <w:rPr>
                      <w:rFonts w:hint="default"/>
                      <w:bCs/>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漆:稀释剂=1:0.2</w:t>
                  </w:r>
                </w:p>
              </w:tc>
            </w:tr>
            <w:tr w14:paraId="3332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1" w:type="pct"/>
                  <w:vMerge w:val="continue"/>
                  <w:noWrap w:val="0"/>
                  <w:vAlign w:val="center"/>
                </w:tcPr>
                <w:p w14:paraId="08FE8B55">
                  <w:pPr>
                    <w:pageBreakBefore w:val="0"/>
                    <w:wordWrap w:val="0"/>
                    <w:overflowPunct/>
                    <w:bidi w:val="0"/>
                    <w:spacing w:line="240" w:lineRule="auto"/>
                    <w:jc w:val="center"/>
                    <w:rPr>
                      <w:bCs/>
                      <w:color w:val="000000" w:themeColor="text1"/>
                      <w:sz w:val="21"/>
                      <w:szCs w:val="21"/>
                      <w:highlight w:val="none"/>
                      <w14:textFill>
                        <w14:solidFill>
                          <w14:schemeClr w14:val="tx1"/>
                        </w14:solidFill>
                      </w14:textFill>
                    </w:rPr>
                  </w:pPr>
                </w:p>
              </w:tc>
              <w:tc>
                <w:tcPr>
                  <w:tcW w:w="820" w:type="pct"/>
                  <w:noWrap w:val="0"/>
                  <w:vAlign w:val="center"/>
                </w:tcPr>
                <w:p w14:paraId="36FD9B60">
                  <w:pPr>
                    <w:keepNext w:val="0"/>
                    <w:keepLines w:val="0"/>
                    <w:widowControl/>
                    <w:suppressLineNumbers w:val="0"/>
                    <w:jc w:val="center"/>
                    <w:textAlignment w:val="center"/>
                    <w:rPr>
                      <w:bCs/>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清漆</w:t>
                  </w:r>
                </w:p>
              </w:tc>
              <w:tc>
                <w:tcPr>
                  <w:tcW w:w="1431" w:type="dxa"/>
                  <w:noWrap w:val="0"/>
                  <w:vAlign w:val="center"/>
                </w:tcPr>
                <w:p w14:paraId="041E6F46">
                  <w:pPr>
                    <w:keepNext w:val="0"/>
                    <w:keepLines w:val="0"/>
                    <w:widowControl/>
                    <w:suppressLineNumbers w:val="0"/>
                    <w:jc w:val="center"/>
                    <w:textAlignment w:val="center"/>
                    <w:rPr>
                      <w:rFonts w:hint="default" w:eastAsia="宋体"/>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2.798 </w:t>
                  </w:r>
                </w:p>
              </w:tc>
              <w:tc>
                <w:tcPr>
                  <w:tcW w:w="2677" w:type="pct"/>
                  <w:noWrap w:val="0"/>
                  <w:vAlign w:val="center"/>
                </w:tcPr>
                <w:p w14:paraId="0443B0AC">
                  <w:pPr>
                    <w:pageBreakBefore w:val="0"/>
                    <w:wordWrap w:val="0"/>
                    <w:overflowPunct/>
                    <w:bidi w:val="0"/>
                    <w:spacing w:line="240" w:lineRule="auto"/>
                    <w:jc w:val="center"/>
                    <w:outlineLvl w:val="3"/>
                    <w:rPr>
                      <w:rFonts w:hint="default" w:eastAsia="宋体"/>
                      <w:bCs/>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漆:稀释剂=1:0.15</w:t>
                  </w:r>
                </w:p>
              </w:tc>
            </w:tr>
            <w:tr w14:paraId="07F79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4"/>
                  <w:noWrap w:val="0"/>
                  <w:vAlign w:val="center"/>
                </w:tcPr>
                <w:p w14:paraId="6181E9ED">
                  <w:pPr>
                    <w:pStyle w:val="19"/>
                    <w:spacing w:line="360" w:lineRule="auto"/>
                    <w:ind w:left="0" w:leftChars="0" w:firstLine="0" w:firstLineChars="0"/>
                    <w:rPr>
                      <w:rFonts w:hint="eastAsia"/>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注：</w:t>
                  </w:r>
                  <w:r>
                    <w:rPr>
                      <w:rFonts w:hint="default" w:ascii="Times New Roman" w:hAnsi="Times New Roman" w:cs="Times New Roman"/>
                      <w:color w:val="000000" w:themeColor="text1"/>
                      <w:sz w:val="21"/>
                      <w:szCs w:val="21"/>
                      <w:highlight w:val="none"/>
                      <w14:textFill>
                        <w14:solidFill>
                          <w14:schemeClr w14:val="tx1"/>
                        </w14:solidFill>
                      </w14:textFill>
                    </w:rPr>
                    <w:t>油性漆不可替代说明：油性漆相对硬度较高，具有很好的耐污性、易清洁性且耐磨抗刮，这使得</w:t>
                  </w:r>
                  <w:r>
                    <w:rPr>
                      <w:rFonts w:hint="eastAsia" w:cs="Times New Roman"/>
                      <w:color w:val="000000" w:themeColor="text1"/>
                      <w:sz w:val="21"/>
                      <w:szCs w:val="21"/>
                      <w:highlight w:val="none"/>
                      <w:lang w:val="en-US" w:eastAsia="zh-CN"/>
                      <w14:textFill>
                        <w14:solidFill>
                          <w14:schemeClr w14:val="tx1"/>
                        </w14:solidFill>
                      </w14:textFill>
                    </w:rPr>
                    <w:t>产品</w:t>
                  </w:r>
                  <w:r>
                    <w:rPr>
                      <w:rFonts w:hint="default" w:ascii="Times New Roman" w:hAnsi="Times New Roman" w:cs="Times New Roman"/>
                      <w:color w:val="000000" w:themeColor="text1"/>
                      <w:sz w:val="21"/>
                      <w:szCs w:val="21"/>
                      <w:highlight w:val="none"/>
                      <w14:textFill>
                        <w14:solidFill>
                          <w14:schemeClr w14:val="tx1"/>
                        </w14:solidFill>
                      </w14:textFill>
                    </w:rPr>
                    <w:t>即使在频繁使用后也能保持干净整洁。油性漆表面光滑，可以轻易擦去污渍，无需特殊清洁剂即可保持清洁。油性漆在产品生产过程中有机成分全部挥发，产品表面残留物均为安全成分。因此，根据客户要求，本项目目前对少部分耐磨性要求高的产品仍需采用油性漆进行生产。</w:t>
                  </w:r>
                </w:p>
              </w:tc>
            </w:tr>
          </w:tbl>
          <w:p w14:paraId="74DF286A">
            <w:pPr>
              <w:pageBreakBefore w:val="0"/>
              <w:widowControl w:val="0"/>
              <w:numPr>
                <w:ilvl w:val="0"/>
                <w:numId w:val="10"/>
              </w:numPr>
              <w:wordWrap w:val="0"/>
              <w:overflowPunct/>
              <w:bidi w:val="0"/>
              <w:spacing w:line="240" w:lineRule="auto"/>
              <w:ind w:left="0" w:leftChars="0" w:firstLine="40" w:firstLineChars="0"/>
              <w:jc w:val="center"/>
              <w:rPr>
                <w:rFonts w:hint="eastAsia" w:asci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 xml:space="preserve"> </w:t>
            </w:r>
            <w:r>
              <w:rPr>
                <w:rFonts w:hint="eastAsia" w:ascii="Times New Roman" w:cs="Times New Roman"/>
                <w:b/>
                <w:bCs/>
                <w:color w:val="000000" w:themeColor="text1"/>
                <w:sz w:val="21"/>
                <w:szCs w:val="21"/>
                <w:highlight w:val="none"/>
                <w14:textFill>
                  <w14:solidFill>
                    <w14:schemeClr w14:val="tx1"/>
                  </w14:solidFill>
                </w14:textFill>
              </w:rPr>
              <w:t>项目涉VOCs原辅材料VOCs含量情况一览表</w:t>
            </w:r>
          </w:p>
          <w:tbl>
            <w:tblPr>
              <w:tblStyle w:val="44"/>
              <w:tblW w:w="852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44"/>
              <w:gridCol w:w="1110"/>
              <w:gridCol w:w="1110"/>
              <w:gridCol w:w="1542"/>
              <w:gridCol w:w="1342"/>
              <w:gridCol w:w="1342"/>
              <w:gridCol w:w="1030"/>
            </w:tblGrid>
            <w:tr w14:paraId="19869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B802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漆种类</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DB2FE">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底漆</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967CA">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面漆</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FE706">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清漆</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85F73">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配漆稀释剂</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8ADD0">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喷枪清洗剂</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B993D">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粉末涂料</w:t>
                  </w:r>
                </w:p>
              </w:tc>
            </w:tr>
            <w:tr w14:paraId="71715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35DA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用量</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t/a</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F665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2.309 </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2065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3.242 </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939E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2.798 </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C716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1.299 </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58BA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0.084 </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1673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109.755 </w:t>
                  </w:r>
                </w:p>
              </w:tc>
            </w:tr>
            <w:tr w14:paraId="14783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806E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密度</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g/cm</w:t>
                  </w:r>
                  <w:r>
                    <w:rPr>
                      <w:rFonts w:hint="default" w:ascii="Times New Roman" w:hAnsi="Times New Roman" w:eastAsia="宋体" w:cs="Times New Roman"/>
                      <w:i w:val="0"/>
                      <w:iCs w:val="0"/>
                      <w:color w:val="000000" w:themeColor="text1"/>
                      <w:kern w:val="0"/>
                      <w:sz w:val="21"/>
                      <w:szCs w:val="21"/>
                      <w:u w:val="none"/>
                      <w:vertAlign w:val="superscript"/>
                      <w:lang w:val="en-US" w:eastAsia="zh-CN" w:bidi="ar"/>
                      <w14:textFill>
                        <w14:solidFill>
                          <w14:schemeClr w14:val="tx1"/>
                        </w14:solidFill>
                      </w14:textFill>
                    </w:rPr>
                    <w:t>3</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4D1E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1.173</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99AC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1.071</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DFA9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1.173</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B6A4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0.892</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689C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0.828 </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365C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39CCB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CAFB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（调漆前）</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VOCs</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含量</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0886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23.7852%</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9668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30.6256%</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4592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24.5524%</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2C1D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7918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A656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1.2kg/t</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粉末涂料</w:t>
                  </w:r>
                </w:p>
              </w:tc>
            </w:tr>
            <w:tr w14:paraId="23C4F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DBEB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VOCs</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产生量</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t/a</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F6D6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0.5491 </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03BB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0.9929 </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64E0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0.6871 </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B761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1.2990 </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E6AE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0.0419 </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C43A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0.1317 </w:t>
                  </w:r>
                </w:p>
              </w:tc>
            </w:tr>
            <w:tr w14:paraId="727E9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D864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（调漆后）</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施工状态下VOC含量</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4095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350.2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CB26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437.2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BF32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387.5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1C26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6E04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B087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6DBE6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59B56">
                  <w:pPr>
                    <w:keepNext w:val="0"/>
                    <w:keepLines w:val="0"/>
                    <w:widowControl/>
                    <w:numPr>
                      <w:ilvl w:val="0"/>
                      <w:numId w:val="12"/>
                    </w:numPr>
                    <w:suppressLineNumbers w:val="0"/>
                    <w:jc w:val="left"/>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喷枪清洗</w:t>
                  </w:r>
                  <w:r>
                    <w:rPr>
                      <w:rFonts w:hint="eastAsia" w:cs="Times New Roman"/>
                      <w:i w:val="0"/>
                      <w:iCs w:val="0"/>
                      <w:color w:val="000000" w:themeColor="text1"/>
                      <w:kern w:val="0"/>
                      <w:sz w:val="21"/>
                      <w:szCs w:val="21"/>
                      <w:u w:val="none"/>
                      <w:lang w:val="en-US" w:eastAsia="zh-CN" w:bidi="ar"/>
                      <w14:textFill>
                        <w14:solidFill>
                          <w14:schemeClr w14:val="tx1"/>
                        </w14:solidFill>
                      </w14:textFill>
                    </w:rPr>
                    <w:t>过程在密闭塑料桶内，仅在塑料桶开关盖时有少量清洗剂的挥发，本项目保守以</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r>
                    <w:rPr>
                      <w:rFonts w:hint="eastAsia" w:cs="Times New Roman"/>
                      <w:i w:val="0"/>
                      <w:iCs w:val="0"/>
                      <w:color w:val="000000" w:themeColor="text1"/>
                      <w:kern w:val="0"/>
                      <w:sz w:val="21"/>
                      <w:szCs w:val="21"/>
                      <w:u w:val="none"/>
                      <w:lang w:val="en-US" w:eastAsia="zh-CN" w:bidi="ar"/>
                      <w14:textFill>
                        <w14:solidFill>
                          <w14:schemeClr w14:val="tx1"/>
                        </w14:solidFill>
                      </w14:textFill>
                    </w:rPr>
                    <w:t>的</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挥发</w:t>
                  </w:r>
                  <w:r>
                    <w:rPr>
                      <w:rFonts w:hint="eastAsia" w:cs="Times New Roman"/>
                      <w:i w:val="0"/>
                      <w:iCs w:val="0"/>
                      <w:color w:val="000000" w:themeColor="text1"/>
                      <w:kern w:val="0"/>
                      <w:sz w:val="21"/>
                      <w:szCs w:val="21"/>
                      <w:u w:val="none"/>
                      <w:lang w:val="en-US" w:eastAsia="zh-CN" w:bidi="ar"/>
                      <w14:textFill>
                        <w14:solidFill>
                          <w14:schemeClr w14:val="tx1"/>
                        </w14:solidFill>
                      </w14:textFill>
                    </w:rPr>
                    <w:t>占比</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计，其余50%进入危险废物。</w:t>
                  </w:r>
                </w:p>
                <w:p w14:paraId="4AFAC97D">
                  <w:pPr>
                    <w:pStyle w:val="2"/>
                    <w:numPr>
                      <w:ilvl w:val="0"/>
                      <w:numId w:val="12"/>
                    </w:num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溶剂型涂料-工业防护涂料-金属基层防腐涂料-单组分：≤500g/L，本项目使用底漆、面漆、清漆符合</w:t>
                  </w:r>
                  <w:r>
                    <w:rPr>
                      <w:rFonts w:hint="default" w:ascii="Times New Roman" w:hAnsi="Times New Roman" w:cs="Times New Roman"/>
                      <w:bCs/>
                      <w:color w:val="000000" w:themeColor="text1"/>
                      <w:kern w:val="2"/>
                      <w:sz w:val="21"/>
                      <w:szCs w:val="21"/>
                      <w:highlight w:val="none"/>
                      <w14:textFill>
                        <w14:solidFill>
                          <w14:schemeClr w14:val="tx1"/>
                        </w14:solidFill>
                      </w14:textFill>
                    </w:rPr>
                    <w:t>《低挥发性有机化合物含量涂料产品技术要求》（GB/T38597-2020）</w:t>
                  </w:r>
                  <w:r>
                    <w:rPr>
                      <w:rFonts w:hint="default" w:ascii="Times New Roman" w:hAnsi="Times New Roman" w:cs="Times New Roman"/>
                      <w:color w:val="000000" w:themeColor="text1"/>
                      <w:sz w:val="21"/>
                      <w:szCs w:val="21"/>
                      <w14:textFill>
                        <w14:solidFill>
                          <w14:schemeClr w14:val="tx1"/>
                        </w14:solidFill>
                      </w14:textFill>
                    </w:rPr>
                    <w:t>要求</w:t>
                  </w:r>
                  <w:r>
                    <w:rPr>
                      <w:rFonts w:hint="default" w:ascii="Times New Roman" w:hAnsi="Times New Roman" w:cs="Times New Roman"/>
                      <w:color w:val="000000" w:themeColor="text1"/>
                      <w:sz w:val="21"/>
                      <w:szCs w:val="21"/>
                      <w:lang w:eastAsia="zh-CN"/>
                      <w14:textFill>
                        <w14:solidFill>
                          <w14:schemeClr w14:val="tx1"/>
                        </w14:solidFill>
                      </w14:textFill>
                    </w:rPr>
                    <w:t>。</w:t>
                  </w:r>
                </w:p>
                <w:p w14:paraId="687C4562">
                  <w:pPr>
                    <w:pStyle w:val="2"/>
                    <w:numPr>
                      <w:ilvl w:val="0"/>
                      <w:numId w:val="12"/>
                    </w:numPr>
                    <w:rPr>
                      <w:rFonts w:hint="eastAsia" w:eastAsia="宋体"/>
                      <w:color w:val="000000" w:themeColor="text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喷枪清洗剂，满足</w:t>
                  </w:r>
                  <w:r>
                    <w:rPr>
                      <w:rFonts w:hint="default" w:ascii="Times New Roman" w:hAnsi="Times New Roman" w:cs="Times New Roman"/>
                      <w:color w:val="000000" w:themeColor="text1"/>
                      <w:sz w:val="21"/>
                      <w:szCs w:val="21"/>
                      <w14:textFill>
                        <w14:solidFill>
                          <w14:schemeClr w14:val="tx1"/>
                        </w14:solidFill>
                      </w14:textFill>
                    </w:rPr>
                    <w:t>有机溶剂清洗剂 《清洗剂挥发性有机化合物含量限值》（GB38508-2020）VOC 含量限值（≤ 900g/L）</w:t>
                  </w:r>
                  <w:r>
                    <w:rPr>
                      <w:rFonts w:hint="default" w:ascii="Times New Roman" w:hAnsi="Times New Roman" w:cs="Times New Roman"/>
                      <w:color w:val="000000" w:themeColor="text1"/>
                      <w:sz w:val="21"/>
                      <w:szCs w:val="21"/>
                      <w:lang w:val="en-US" w:eastAsia="zh-CN"/>
                      <w14:textFill>
                        <w14:solidFill>
                          <w14:schemeClr w14:val="tx1"/>
                        </w14:solidFill>
                      </w14:textFill>
                    </w:rPr>
                    <w:t>要求</w:t>
                  </w:r>
                  <w:r>
                    <w:rPr>
                      <w:rFonts w:hint="default" w:ascii="Times New Roman" w:hAnsi="Times New Roman" w:cs="Times New Roman"/>
                      <w:color w:val="000000" w:themeColor="text1"/>
                      <w:lang w:val="en-US" w:eastAsia="zh-CN"/>
                      <w14:textFill>
                        <w14:solidFill>
                          <w14:schemeClr w14:val="tx1"/>
                        </w14:solidFill>
                      </w14:textFill>
                    </w:rPr>
                    <w:t>。</w:t>
                  </w:r>
                </w:p>
              </w:tc>
            </w:tr>
          </w:tbl>
          <w:p w14:paraId="5065625D">
            <w:pPr>
              <w:pageBreakBefore w:val="0"/>
              <w:widowControl w:val="0"/>
              <w:wordWrap w:val="0"/>
              <w:overflowPunct/>
              <w:bidi w:val="0"/>
              <w:spacing w:line="360" w:lineRule="auto"/>
              <w:ind w:firstLine="482" w:firstLineChars="200"/>
              <w:jc w:val="both"/>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pPr>
            <w:r>
              <w:rPr>
                <w:rFonts w:hint="eastAsia" w:cs="Times New Roman"/>
                <w:b/>
                <w:bCs/>
                <w:color w:val="000000" w:themeColor="text1"/>
                <w:kern w:val="2"/>
                <w:sz w:val="24"/>
                <w:szCs w:val="24"/>
                <w:highlight w:val="none"/>
                <w:lang w:val="en-US" w:eastAsia="zh-CN" w:bidi="ar-SA"/>
                <w14:textFill>
                  <w14:solidFill>
                    <w14:schemeClr w14:val="tx1"/>
                  </w14:solidFill>
                </w14:textFill>
              </w:rPr>
              <w:t>③</w:t>
            </w: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粉末涂料用量核算</w:t>
            </w:r>
          </w:p>
          <w:p w14:paraId="4989FA6E">
            <w:pPr>
              <w:widowControl/>
              <w:wordWrap w:val="0"/>
              <w:topLinePunct/>
              <w:spacing w:line="360" w:lineRule="auto"/>
              <w:ind w:firstLine="480" w:firstLineChars="200"/>
              <w:rPr>
                <w:rFonts w:hint="default" w:ascii="Times New Roman" w:hAnsi="Times New Roman" w:eastAsia="宋体" w:cs="Times New Roman"/>
                <w:color w:val="000000" w:themeColor="text1"/>
                <w:sz w:val="24"/>
                <w:szCs w:val="24"/>
                <w:highlight w:val="none"/>
                <w:lang w:bidi="ar"/>
                <w14:textFill>
                  <w14:solidFill>
                    <w14:schemeClr w14:val="tx1"/>
                  </w14:solidFill>
                </w14:textFill>
              </w:rPr>
            </w:pPr>
            <w:r>
              <w:rPr>
                <w:rFonts w:hint="default" w:ascii="Times New Roman" w:hAnsi="Times New Roman" w:eastAsia="宋体" w:cs="Times New Roman"/>
                <w:color w:val="000000" w:themeColor="text1"/>
                <w:sz w:val="24"/>
                <w:szCs w:val="24"/>
                <w:highlight w:val="none"/>
                <w:lang w:bidi="ar"/>
                <w14:textFill>
                  <w14:solidFill>
                    <w14:schemeClr w14:val="tx1"/>
                  </w14:solidFill>
                </w14:textFill>
              </w:rPr>
              <w:t>根据《现代涂装手册 化学工业出版社 2010年（第一版）》内容：“第13章粉末涂装 表13-1粉末涂料和液体涂料的涂装性能比较”可知，静电喷粉涂料喷涂损失率小于10%，综合考虑本项目设备性能及粉末喷粉厚度，静电喷粉附在工件表面的附着率取70%，无法吸附在工件上的喷粉材料约占30%。</w:t>
            </w:r>
          </w:p>
          <w:p w14:paraId="22DD6152">
            <w:pPr>
              <w:pageBreakBefore w:val="0"/>
              <w:widowControl w:val="0"/>
              <w:numPr>
                <w:ilvl w:val="0"/>
                <w:numId w:val="10"/>
              </w:numPr>
              <w:wordWrap w:val="0"/>
              <w:overflowPunct/>
              <w:bidi w:val="0"/>
              <w:spacing w:line="240" w:lineRule="auto"/>
              <w:ind w:left="0" w:leftChars="0" w:firstLine="40" w:firstLineChars="0"/>
              <w:jc w:val="center"/>
              <w:rPr>
                <w:rFonts w:hint="eastAsia"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粉末使用量计算一览表</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3"/>
              <w:gridCol w:w="1595"/>
              <w:gridCol w:w="1078"/>
              <w:gridCol w:w="1351"/>
              <w:gridCol w:w="1351"/>
              <w:gridCol w:w="1382"/>
            </w:tblGrid>
            <w:tr w14:paraId="2F13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atLeast"/>
                <w:jc w:val="center"/>
              </w:trPr>
              <w:tc>
                <w:tcPr>
                  <w:tcW w:w="0" w:type="auto"/>
                  <w:vAlign w:val="center"/>
                </w:tcPr>
                <w:p w14:paraId="67542575">
                  <w:pPr>
                    <w:keepNext w:val="0"/>
                    <w:keepLines w:val="0"/>
                    <w:widowControl/>
                    <w:suppressLineNumbers w:val="0"/>
                    <w:wordWrap w:val="0"/>
                    <w:topLinePunct/>
                    <w:spacing w:before="0" w:beforeAutospacing="0" w:after="0" w:afterAutospacing="0" w:line="240" w:lineRule="auto"/>
                    <w:ind w:left="0" w:right="0"/>
                    <w:jc w:val="center"/>
                    <w:rPr>
                      <w:rFonts w:hint="default" w:ascii="Times New Roman" w:hAnsi="Times New Roman" w:eastAsia="宋体" w:cs="Times New Roman"/>
                      <w:b/>
                      <w:bCs/>
                      <w:color w:val="000000" w:themeColor="text1"/>
                      <w:kern w:val="2"/>
                      <w:sz w:val="21"/>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bidi="ar"/>
                      <w14:textFill>
                        <w14:solidFill>
                          <w14:schemeClr w14:val="tx1"/>
                        </w14:solidFill>
                      </w14:textFill>
                    </w:rPr>
                    <w:t>产品喷粉总面积/m</w:t>
                  </w:r>
                  <w:r>
                    <w:rPr>
                      <w:rFonts w:hint="default" w:ascii="Times New Roman" w:hAnsi="Times New Roman" w:eastAsia="宋体" w:cs="Times New Roman"/>
                      <w:b/>
                      <w:bCs/>
                      <w:color w:val="000000" w:themeColor="text1"/>
                      <w:kern w:val="2"/>
                      <w:sz w:val="21"/>
                      <w:szCs w:val="21"/>
                      <w:highlight w:val="none"/>
                      <w:vertAlign w:val="superscript"/>
                      <w:lang w:bidi="ar"/>
                      <w14:textFill>
                        <w14:solidFill>
                          <w14:schemeClr w14:val="tx1"/>
                        </w14:solidFill>
                      </w14:textFill>
                    </w:rPr>
                    <w:t>2</w:t>
                  </w:r>
                </w:p>
              </w:tc>
              <w:tc>
                <w:tcPr>
                  <w:tcW w:w="0" w:type="auto"/>
                  <w:vAlign w:val="center"/>
                </w:tcPr>
                <w:p w14:paraId="1B09B61E">
                  <w:pPr>
                    <w:keepNext w:val="0"/>
                    <w:keepLines w:val="0"/>
                    <w:widowControl/>
                    <w:suppressLineNumbers w:val="0"/>
                    <w:wordWrap w:val="0"/>
                    <w:topLinePunct/>
                    <w:spacing w:before="0" w:beforeAutospacing="0" w:after="0" w:afterAutospacing="0" w:line="240" w:lineRule="auto"/>
                    <w:ind w:left="0" w:right="0"/>
                    <w:jc w:val="center"/>
                    <w:rPr>
                      <w:rFonts w:hint="default" w:ascii="Times New Roman" w:hAnsi="Times New Roman" w:eastAsia="宋体" w:cs="Times New Roman"/>
                      <w:b/>
                      <w:bCs/>
                      <w:color w:val="000000" w:themeColor="text1"/>
                      <w:kern w:val="2"/>
                      <w:sz w:val="21"/>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bidi="ar"/>
                      <w14:textFill>
                        <w14:solidFill>
                          <w14:schemeClr w14:val="tx1"/>
                        </w14:solidFill>
                      </w14:textFill>
                    </w:rPr>
                    <w:t>喷粉厚度（</w:t>
                  </w:r>
                  <w:r>
                    <w:rPr>
                      <w:rFonts w:hint="default" w:ascii="Times New Roman" w:hAnsi="Times New Roman" w:eastAsia="宋体" w:cs="Times New Roman"/>
                      <w:b/>
                      <w:bCs/>
                      <w:color w:val="000000" w:themeColor="text1"/>
                      <w:kern w:val="2"/>
                      <w:sz w:val="21"/>
                      <w:szCs w:val="21"/>
                      <w:highlight w:val="none"/>
                      <w14:textFill>
                        <w14:solidFill>
                          <w14:schemeClr w14:val="tx1"/>
                        </w14:solidFill>
                      </w14:textFill>
                    </w:rPr>
                    <w:t>μm）</w:t>
                  </w:r>
                </w:p>
              </w:tc>
              <w:tc>
                <w:tcPr>
                  <w:tcW w:w="0" w:type="auto"/>
                  <w:vAlign w:val="center"/>
                </w:tcPr>
                <w:p w14:paraId="3FBCEF15">
                  <w:pPr>
                    <w:keepNext w:val="0"/>
                    <w:keepLines w:val="0"/>
                    <w:widowControl/>
                    <w:suppressLineNumbers w:val="0"/>
                    <w:wordWrap w:val="0"/>
                    <w:topLinePunct/>
                    <w:spacing w:before="0" w:beforeAutospacing="0" w:after="0" w:afterAutospacing="0" w:line="240" w:lineRule="auto"/>
                    <w:ind w:left="0" w:right="0"/>
                    <w:jc w:val="center"/>
                    <w:rPr>
                      <w:rFonts w:hint="default" w:ascii="Times New Roman" w:hAnsi="Times New Roman" w:eastAsia="宋体" w:cs="Times New Roman"/>
                      <w:b/>
                      <w:bCs/>
                      <w:color w:val="000000" w:themeColor="text1"/>
                      <w:kern w:val="2"/>
                      <w:sz w:val="21"/>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bidi="ar"/>
                      <w14:textFill>
                        <w14:solidFill>
                          <w14:schemeClr w14:val="tx1"/>
                        </w14:solidFill>
                      </w14:textFill>
                    </w:rPr>
                    <w:t>密度/g/cm</w:t>
                  </w:r>
                  <w:r>
                    <w:rPr>
                      <w:rFonts w:hint="default" w:ascii="Times New Roman" w:hAnsi="Times New Roman" w:eastAsia="宋体" w:cs="Times New Roman"/>
                      <w:b/>
                      <w:bCs/>
                      <w:color w:val="000000" w:themeColor="text1"/>
                      <w:kern w:val="2"/>
                      <w:sz w:val="21"/>
                      <w:szCs w:val="21"/>
                      <w:highlight w:val="none"/>
                      <w:vertAlign w:val="superscript"/>
                      <w:lang w:bidi="ar"/>
                      <w14:textFill>
                        <w14:solidFill>
                          <w14:schemeClr w14:val="tx1"/>
                        </w14:solidFill>
                      </w14:textFill>
                    </w:rPr>
                    <w:t>3</w:t>
                  </w:r>
                </w:p>
              </w:tc>
              <w:tc>
                <w:tcPr>
                  <w:tcW w:w="0" w:type="auto"/>
                  <w:vAlign w:val="center"/>
                </w:tcPr>
                <w:p w14:paraId="52F4F790">
                  <w:pPr>
                    <w:keepNext w:val="0"/>
                    <w:keepLines w:val="0"/>
                    <w:widowControl/>
                    <w:suppressLineNumbers w:val="0"/>
                    <w:wordWrap w:val="0"/>
                    <w:topLinePunct/>
                    <w:spacing w:before="0" w:beforeAutospacing="0" w:after="0" w:afterAutospacing="0" w:line="240" w:lineRule="auto"/>
                    <w:ind w:left="0" w:right="0"/>
                    <w:jc w:val="center"/>
                    <w:rPr>
                      <w:rFonts w:hint="default" w:ascii="Times New Roman" w:hAnsi="Times New Roman" w:eastAsia="宋体" w:cs="Times New Roman"/>
                      <w:b/>
                      <w:bCs/>
                      <w:color w:val="000000" w:themeColor="text1"/>
                      <w:kern w:val="2"/>
                      <w:sz w:val="21"/>
                      <w:szCs w:val="21"/>
                      <w:highlight w:val="none"/>
                      <w:lang w:bidi="ar"/>
                      <w14:textFill>
                        <w14:solidFill>
                          <w14:schemeClr w14:val="tx1"/>
                        </w14:solidFill>
                      </w14:textFill>
                    </w:rPr>
                  </w:pPr>
                  <w:r>
                    <w:rPr>
                      <w:rFonts w:hint="eastAsia" w:ascii="Times New Roman" w:hAnsi="Times New Roman" w:eastAsia="宋体" w:cs="Times New Roman"/>
                      <w:b/>
                      <w:bCs/>
                      <w:color w:val="000000" w:themeColor="text1"/>
                      <w:kern w:val="2"/>
                      <w:sz w:val="21"/>
                      <w:szCs w:val="21"/>
                      <w:highlight w:val="none"/>
                      <w:lang w:bidi="ar"/>
                      <w14:textFill>
                        <w14:solidFill>
                          <w14:schemeClr w14:val="tx1"/>
                        </w14:solidFill>
                      </w14:textFill>
                    </w:rPr>
                    <w:t>一次</w:t>
                  </w:r>
                  <w:r>
                    <w:rPr>
                      <w:rFonts w:hint="default" w:ascii="Times New Roman" w:hAnsi="Times New Roman" w:eastAsia="宋体" w:cs="Times New Roman"/>
                      <w:b/>
                      <w:bCs/>
                      <w:color w:val="000000" w:themeColor="text1"/>
                      <w:kern w:val="2"/>
                      <w:sz w:val="21"/>
                      <w:szCs w:val="21"/>
                      <w:highlight w:val="none"/>
                      <w:lang w:bidi="ar"/>
                      <w14:textFill>
                        <w14:solidFill>
                          <w14:schemeClr w14:val="tx1"/>
                        </w14:solidFill>
                      </w14:textFill>
                    </w:rPr>
                    <w:t>附着率%</w:t>
                  </w:r>
                </w:p>
              </w:tc>
              <w:tc>
                <w:tcPr>
                  <w:tcW w:w="0" w:type="auto"/>
                  <w:vAlign w:val="center"/>
                </w:tcPr>
                <w:p w14:paraId="213F153A">
                  <w:pPr>
                    <w:keepNext w:val="0"/>
                    <w:keepLines w:val="0"/>
                    <w:widowControl/>
                    <w:suppressLineNumbers w:val="0"/>
                    <w:wordWrap w:val="0"/>
                    <w:topLinePunct/>
                    <w:spacing w:before="0" w:beforeAutospacing="0" w:after="0" w:afterAutospacing="0" w:line="240" w:lineRule="auto"/>
                    <w:ind w:left="0" w:right="0"/>
                    <w:jc w:val="center"/>
                    <w:rPr>
                      <w:rFonts w:hint="default" w:ascii="Times New Roman" w:hAnsi="Times New Roman" w:eastAsia="宋体" w:cs="Times New Roman"/>
                      <w:b/>
                      <w:bCs/>
                      <w:color w:val="000000" w:themeColor="text1"/>
                      <w:kern w:val="2"/>
                      <w:sz w:val="21"/>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bidi="ar"/>
                      <w14:textFill>
                        <w14:solidFill>
                          <w14:schemeClr w14:val="tx1"/>
                        </w14:solidFill>
                      </w14:textFill>
                    </w:rPr>
                    <w:t>综合利用率%</w:t>
                  </w:r>
                </w:p>
              </w:tc>
              <w:tc>
                <w:tcPr>
                  <w:tcW w:w="0" w:type="auto"/>
                  <w:vAlign w:val="center"/>
                </w:tcPr>
                <w:p w14:paraId="79F0E606">
                  <w:pPr>
                    <w:keepNext w:val="0"/>
                    <w:keepLines w:val="0"/>
                    <w:widowControl/>
                    <w:suppressLineNumbers w:val="0"/>
                    <w:wordWrap w:val="0"/>
                    <w:topLinePunct/>
                    <w:spacing w:before="0" w:beforeAutospacing="0" w:after="0" w:afterAutospacing="0" w:line="240" w:lineRule="auto"/>
                    <w:ind w:left="0" w:right="0"/>
                    <w:jc w:val="center"/>
                    <w:rPr>
                      <w:rFonts w:hint="default" w:ascii="Times New Roman" w:hAnsi="Times New Roman" w:eastAsia="宋体" w:cs="Times New Roman"/>
                      <w:b/>
                      <w:bCs/>
                      <w:color w:val="000000" w:themeColor="text1"/>
                      <w:kern w:val="2"/>
                      <w:sz w:val="21"/>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bidi="ar"/>
                      <w14:textFill>
                        <w14:solidFill>
                          <w14:schemeClr w14:val="tx1"/>
                        </w14:solidFill>
                      </w14:textFill>
                    </w:rPr>
                    <w:t>粉末使用量t/a</w:t>
                  </w:r>
                </w:p>
              </w:tc>
            </w:tr>
            <w:tr w14:paraId="78C9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753" w:type="dxa"/>
                  <w:vAlign w:val="center"/>
                </w:tcPr>
                <w:p w14:paraId="205C6CD0">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1070000</w:t>
                  </w:r>
                </w:p>
              </w:tc>
              <w:tc>
                <w:tcPr>
                  <w:tcW w:w="1595" w:type="dxa"/>
                  <w:vAlign w:val="center"/>
                </w:tcPr>
                <w:p w14:paraId="02D6199B">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w:t>
                  </w:r>
                </w:p>
              </w:tc>
              <w:tc>
                <w:tcPr>
                  <w:tcW w:w="1078" w:type="dxa"/>
                  <w:vAlign w:val="center"/>
                </w:tcPr>
                <w:p w14:paraId="7436BDF3">
                  <w:pPr>
                    <w:keepNext w:val="0"/>
                    <w:keepLines w:val="0"/>
                    <w:widowControl/>
                    <w:suppressLineNumbers w:val="0"/>
                    <w:jc w:val="center"/>
                    <w:textAlignment w:val="center"/>
                    <w:rPr>
                      <w:rFonts w:hint="eastAsia" w:ascii="Times New Roman" w:hAnsi="Times New Roman" w:eastAsia="宋体" w:cs="Times New Roman"/>
                      <w:color w:val="000000" w:themeColor="text1"/>
                      <w:kern w:val="2"/>
                      <w:sz w:val="21"/>
                      <w:szCs w:val="21"/>
                      <w:highlight w:val="none"/>
                      <w:lang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w:t>
                  </w:r>
                </w:p>
              </w:tc>
              <w:tc>
                <w:tcPr>
                  <w:tcW w:w="1351" w:type="dxa"/>
                  <w:vAlign w:val="center"/>
                </w:tcPr>
                <w:p w14:paraId="4922E4ED">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w:t>
                  </w:r>
                </w:p>
              </w:tc>
              <w:tc>
                <w:tcPr>
                  <w:tcW w:w="1351" w:type="dxa"/>
                  <w:vAlign w:val="center"/>
                </w:tcPr>
                <w:p w14:paraId="30B51A55">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95.54%</w:t>
                  </w:r>
                </w:p>
              </w:tc>
              <w:tc>
                <w:tcPr>
                  <w:tcW w:w="1382" w:type="dxa"/>
                  <w:vAlign w:val="center"/>
                </w:tcPr>
                <w:p w14:paraId="545FD5B1">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109.755 </w:t>
                  </w:r>
                </w:p>
              </w:tc>
            </w:tr>
            <w:tr w14:paraId="10A0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510" w:type="dxa"/>
                  <w:gridSpan w:val="6"/>
                  <w:vAlign w:val="center"/>
                </w:tcPr>
                <w:p w14:paraId="346DF2ED">
                  <w:pPr>
                    <w:keepNext w:val="0"/>
                    <w:keepLines w:val="0"/>
                    <w:widowControl/>
                    <w:suppressLineNumbers w:val="0"/>
                    <w:wordWrap w:val="0"/>
                    <w:topLinePunct/>
                    <w:spacing w:before="0" w:beforeAutospacing="0" w:after="0" w:afterAutospacing="0" w:line="240" w:lineRule="auto"/>
                    <w:ind w:left="0" w:right="0"/>
                    <w:rPr>
                      <w:rFonts w:hint="default"/>
                      <w:color w:val="000000" w:themeColor="text1"/>
                      <w:kern w:val="2"/>
                      <w:sz w:val="21"/>
                      <w:szCs w:val="21"/>
                      <w:highlight w:val="none"/>
                      <w:lang w:bidi="ar"/>
                      <w14:textFill>
                        <w14:solidFill>
                          <w14:schemeClr w14:val="tx1"/>
                        </w14:solidFill>
                      </w14:textFill>
                    </w:rPr>
                  </w:pPr>
                  <w:r>
                    <w:rPr>
                      <w:rFonts w:hint="default"/>
                      <w:color w:val="000000" w:themeColor="text1"/>
                      <w:kern w:val="2"/>
                      <w:sz w:val="21"/>
                      <w:szCs w:val="21"/>
                      <w:highlight w:val="none"/>
                      <w:lang w:bidi="ar"/>
                      <w14:textFill>
                        <w14:solidFill>
                          <w14:schemeClr w14:val="tx1"/>
                        </w14:solidFill>
                      </w14:textFill>
                    </w:rPr>
                    <w:t>注：①根据粉末涂料MSDS报告可知，该物质的密度为1.</w:t>
                  </w:r>
                  <w:r>
                    <w:rPr>
                      <w:rFonts w:hint="eastAsia"/>
                      <w:color w:val="000000" w:themeColor="text1"/>
                      <w:kern w:val="2"/>
                      <w:sz w:val="21"/>
                      <w:szCs w:val="21"/>
                      <w:highlight w:val="none"/>
                      <w:lang w:val="en-US" w:eastAsia="zh-CN" w:bidi="ar"/>
                      <w14:textFill>
                        <w14:solidFill>
                          <w14:schemeClr w14:val="tx1"/>
                        </w14:solidFill>
                      </w14:textFill>
                    </w:rPr>
                    <w:t>3</w:t>
                  </w:r>
                  <w:r>
                    <w:rPr>
                      <w:rFonts w:hint="default"/>
                      <w:color w:val="000000" w:themeColor="text1"/>
                      <w:kern w:val="2"/>
                      <w:sz w:val="21"/>
                      <w:szCs w:val="21"/>
                      <w:highlight w:val="none"/>
                      <w:lang w:bidi="ar"/>
                      <w14:textFill>
                        <w14:solidFill>
                          <w14:schemeClr w14:val="tx1"/>
                        </w14:solidFill>
                      </w14:textFill>
                    </w:rPr>
                    <w:t>～1.</w:t>
                  </w:r>
                  <w:r>
                    <w:rPr>
                      <w:rFonts w:hint="eastAsia"/>
                      <w:color w:val="000000" w:themeColor="text1"/>
                      <w:kern w:val="2"/>
                      <w:sz w:val="21"/>
                      <w:szCs w:val="21"/>
                      <w:highlight w:val="none"/>
                      <w:lang w:val="en-US" w:eastAsia="zh-CN" w:bidi="ar"/>
                      <w14:textFill>
                        <w14:solidFill>
                          <w14:schemeClr w14:val="tx1"/>
                        </w14:solidFill>
                      </w14:textFill>
                    </w:rPr>
                    <w:t>4</w:t>
                  </w:r>
                  <w:r>
                    <w:rPr>
                      <w:rFonts w:hint="default"/>
                      <w:color w:val="000000" w:themeColor="text1"/>
                      <w:kern w:val="2"/>
                      <w:sz w:val="21"/>
                      <w:szCs w:val="21"/>
                      <w:highlight w:val="none"/>
                      <w:lang w:bidi="ar"/>
                      <w14:textFill>
                        <w14:solidFill>
                          <w14:schemeClr w14:val="tx1"/>
                        </w14:solidFill>
                      </w14:textFill>
                    </w:rPr>
                    <w:t>g/cm</w:t>
                  </w:r>
                  <w:r>
                    <w:rPr>
                      <w:rFonts w:hint="default"/>
                      <w:color w:val="000000" w:themeColor="text1"/>
                      <w:kern w:val="2"/>
                      <w:sz w:val="21"/>
                      <w:szCs w:val="21"/>
                      <w:highlight w:val="none"/>
                      <w:vertAlign w:val="superscript"/>
                      <w:lang w:bidi="ar"/>
                      <w14:textFill>
                        <w14:solidFill>
                          <w14:schemeClr w14:val="tx1"/>
                        </w14:solidFill>
                      </w14:textFill>
                    </w:rPr>
                    <w:t>3</w:t>
                  </w:r>
                  <w:r>
                    <w:rPr>
                      <w:rFonts w:hint="default"/>
                      <w:color w:val="000000" w:themeColor="text1"/>
                      <w:kern w:val="2"/>
                      <w:sz w:val="21"/>
                      <w:szCs w:val="21"/>
                      <w:highlight w:val="none"/>
                      <w:lang w:bidi="ar"/>
                      <w14:textFill>
                        <w14:solidFill>
                          <w14:schemeClr w14:val="tx1"/>
                        </w14:solidFill>
                      </w14:textFill>
                    </w:rPr>
                    <w:t>，本评价取值1.</w:t>
                  </w:r>
                  <w:r>
                    <w:rPr>
                      <w:rFonts w:hint="eastAsia"/>
                      <w:color w:val="000000" w:themeColor="text1"/>
                      <w:kern w:val="2"/>
                      <w:sz w:val="21"/>
                      <w:szCs w:val="21"/>
                      <w:highlight w:val="none"/>
                      <w:lang w:val="en-US" w:eastAsia="zh-CN" w:bidi="ar"/>
                      <w14:textFill>
                        <w14:solidFill>
                          <w14:schemeClr w14:val="tx1"/>
                        </w14:solidFill>
                      </w14:textFill>
                    </w:rPr>
                    <w:t>4</w:t>
                  </w:r>
                  <w:r>
                    <w:rPr>
                      <w:rFonts w:hint="default"/>
                      <w:color w:val="000000" w:themeColor="text1"/>
                      <w:kern w:val="2"/>
                      <w:sz w:val="21"/>
                      <w:szCs w:val="21"/>
                      <w:highlight w:val="none"/>
                      <w:lang w:bidi="ar"/>
                      <w14:textFill>
                        <w14:solidFill>
                          <w14:schemeClr w14:val="tx1"/>
                        </w14:solidFill>
                      </w14:textFill>
                    </w:rPr>
                    <w:t>g/cm</w:t>
                  </w:r>
                  <w:r>
                    <w:rPr>
                      <w:rFonts w:hint="default"/>
                      <w:color w:val="000000" w:themeColor="text1"/>
                      <w:kern w:val="2"/>
                      <w:sz w:val="21"/>
                      <w:szCs w:val="21"/>
                      <w:highlight w:val="none"/>
                      <w:vertAlign w:val="superscript"/>
                      <w:lang w:bidi="ar"/>
                      <w14:textFill>
                        <w14:solidFill>
                          <w14:schemeClr w14:val="tx1"/>
                        </w14:solidFill>
                      </w14:textFill>
                    </w:rPr>
                    <w:t>3</w:t>
                  </w:r>
                  <w:r>
                    <w:rPr>
                      <w:rFonts w:hint="default"/>
                      <w:color w:val="000000" w:themeColor="text1"/>
                      <w:kern w:val="2"/>
                      <w:sz w:val="21"/>
                      <w:szCs w:val="21"/>
                      <w:highlight w:val="none"/>
                      <w:lang w:bidi="ar"/>
                      <w14:textFill>
                        <w14:solidFill>
                          <w14:schemeClr w14:val="tx1"/>
                        </w14:solidFill>
                      </w14:textFill>
                    </w:rPr>
                    <w:t>；</w:t>
                  </w:r>
                </w:p>
                <w:p w14:paraId="745D8917">
                  <w:pPr>
                    <w:keepNext w:val="0"/>
                    <w:keepLines w:val="0"/>
                    <w:widowControl/>
                    <w:suppressLineNumbers w:val="0"/>
                    <w:wordWrap w:val="0"/>
                    <w:topLinePunct/>
                    <w:spacing w:before="0" w:beforeAutospacing="0" w:after="0" w:afterAutospacing="0" w:line="240" w:lineRule="auto"/>
                    <w:ind w:left="0" w:right="0"/>
                    <w:rPr>
                      <w:rFonts w:hint="default"/>
                      <w:color w:val="000000" w:themeColor="text1"/>
                      <w:kern w:val="2"/>
                      <w:sz w:val="21"/>
                      <w:szCs w:val="21"/>
                      <w:highlight w:val="none"/>
                      <w:lang w:bidi="ar"/>
                      <w14:textFill>
                        <w14:solidFill>
                          <w14:schemeClr w14:val="tx1"/>
                        </w14:solidFill>
                      </w14:textFill>
                    </w:rPr>
                  </w:pPr>
                  <w:r>
                    <w:rPr>
                      <w:rFonts w:hint="default"/>
                      <w:color w:val="000000" w:themeColor="text1"/>
                      <w:kern w:val="2"/>
                      <w:sz w:val="21"/>
                      <w:szCs w:val="21"/>
                      <w:highlight w:val="none"/>
                      <w:lang w:bidi="ar"/>
                      <w14:textFill>
                        <w14:solidFill>
                          <w14:schemeClr w14:val="tx1"/>
                        </w14:solidFill>
                      </w14:textFill>
                    </w:rPr>
                    <w:t>②本项目喷粉粉末</w:t>
                  </w:r>
                  <w:r>
                    <w:rPr>
                      <w:rFonts w:hint="eastAsia"/>
                      <w:color w:val="000000" w:themeColor="text1"/>
                      <w:kern w:val="2"/>
                      <w:sz w:val="21"/>
                      <w:szCs w:val="21"/>
                      <w:highlight w:val="none"/>
                      <w:lang w:bidi="ar"/>
                      <w14:textFill>
                        <w14:solidFill>
                          <w14:schemeClr w14:val="tx1"/>
                        </w14:solidFill>
                      </w14:textFill>
                    </w:rPr>
                    <w:t>一次</w:t>
                  </w:r>
                  <w:r>
                    <w:rPr>
                      <w:rFonts w:hint="default"/>
                      <w:color w:val="000000" w:themeColor="text1"/>
                      <w:kern w:val="2"/>
                      <w:sz w:val="21"/>
                      <w:szCs w:val="21"/>
                      <w:highlight w:val="none"/>
                      <w:lang w:bidi="ar"/>
                      <w14:textFill>
                        <w14:solidFill>
                          <w14:schemeClr w14:val="tx1"/>
                        </w14:solidFill>
                      </w14:textFill>
                    </w:rPr>
                    <w:t>附着率为70%，粉末收集效率为90%，回用率为99%，未收集部分粉尘沉降率为80%。因本项目回用粉末一直参与回用，其粉末综合利用率为0.7+（0.3×0.9×0.99）×0.7+（0.3×0.9×0.99）</w:t>
                  </w:r>
                  <w:r>
                    <w:rPr>
                      <w:rFonts w:hint="default"/>
                      <w:color w:val="000000" w:themeColor="text1"/>
                      <w:kern w:val="2"/>
                      <w:sz w:val="21"/>
                      <w:szCs w:val="21"/>
                      <w:highlight w:val="none"/>
                      <w:vertAlign w:val="superscript"/>
                      <w:lang w:bidi="ar"/>
                      <w14:textFill>
                        <w14:solidFill>
                          <w14:schemeClr w14:val="tx1"/>
                        </w14:solidFill>
                      </w14:textFill>
                    </w:rPr>
                    <w:t>2</w:t>
                  </w:r>
                  <w:r>
                    <w:rPr>
                      <w:rFonts w:hint="default"/>
                      <w:color w:val="000000" w:themeColor="text1"/>
                      <w:kern w:val="2"/>
                      <w:sz w:val="21"/>
                      <w:szCs w:val="21"/>
                      <w:highlight w:val="none"/>
                      <w:lang w:bidi="ar"/>
                      <w14:textFill>
                        <w14:solidFill>
                          <w14:schemeClr w14:val="tx1"/>
                        </w14:solidFill>
                      </w14:textFill>
                    </w:rPr>
                    <w:t>×0.7....=0.7×(1-0.2673</w:t>
                  </w:r>
                  <w:r>
                    <w:rPr>
                      <w:rFonts w:hint="default"/>
                      <w:color w:val="000000" w:themeColor="text1"/>
                      <w:kern w:val="2"/>
                      <w:sz w:val="21"/>
                      <w:szCs w:val="21"/>
                      <w:highlight w:val="none"/>
                      <w:vertAlign w:val="superscript"/>
                      <w14:textFill>
                        <w14:solidFill>
                          <w14:schemeClr w14:val="tx1"/>
                        </w14:solidFill>
                      </w14:textFill>
                    </w:rPr>
                    <w:t>n</w:t>
                  </w:r>
                  <w:r>
                    <w:rPr>
                      <w:rFonts w:hint="default"/>
                      <w:color w:val="000000" w:themeColor="text1"/>
                      <w:kern w:val="2"/>
                      <w:sz w:val="21"/>
                      <w:szCs w:val="21"/>
                      <w:highlight w:val="none"/>
                      <w:lang w:bidi="ar"/>
                      <w14:textFill>
                        <w14:solidFill>
                          <w14:schemeClr w14:val="tx1"/>
                        </w14:solidFill>
                      </w14:textFill>
                    </w:rPr>
                    <w:t>)/（1-0.2673）=0.7（1-0）/（1-0.2673）=95.54%；</w:t>
                  </w:r>
                </w:p>
                <w:p w14:paraId="67C507A4">
                  <w:pPr>
                    <w:keepNext w:val="0"/>
                    <w:keepLines w:val="0"/>
                    <w:widowControl/>
                    <w:suppressLineNumbers w:val="0"/>
                    <w:spacing w:line="240" w:lineRule="auto"/>
                    <w:jc w:val="both"/>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color w:val="000000" w:themeColor="text1"/>
                      <w:kern w:val="2"/>
                      <w:sz w:val="21"/>
                      <w:szCs w:val="21"/>
                      <w:highlight w:val="none"/>
                      <w:lang w:bidi="ar"/>
                      <w14:textFill>
                        <w14:solidFill>
                          <w14:schemeClr w14:val="tx1"/>
                        </w14:solidFill>
                      </w14:textFill>
                    </w:rPr>
                    <w:t>③</w:t>
                  </w:r>
                  <w:r>
                    <w:rPr>
                      <w:rFonts w:hint="default"/>
                      <w:color w:val="000000" w:themeColor="text1"/>
                      <w:kern w:val="2"/>
                      <w:sz w:val="21"/>
                      <w:szCs w:val="21"/>
                      <w:highlight w:val="none"/>
                      <w14:textFill>
                        <w14:solidFill>
                          <w14:schemeClr w14:val="tx1"/>
                        </w14:solidFill>
                      </w14:textFill>
                    </w:rPr>
                    <w:t>粉末使用量（t）=喷涂面积×厚度×密度/综合利用率×100%（固体分）。</w:t>
                  </w:r>
                </w:p>
              </w:tc>
            </w:tr>
          </w:tbl>
          <w:p w14:paraId="5A16ECAD">
            <w:pPr>
              <w:pageBreakBefore w:val="0"/>
              <w:widowControl w:val="0"/>
              <w:wordWrap w:val="0"/>
              <w:overflowPunct/>
              <w:bidi w:val="0"/>
              <w:spacing w:line="360" w:lineRule="auto"/>
              <w:ind w:firstLine="482" w:firstLineChars="200"/>
              <w:jc w:val="both"/>
              <w:rPr>
                <w:rFonts w:ascii="Times New Roman" w:hAnsi="Times New Roman" w:eastAsia="宋体" w:cs="Times New Roman"/>
                <w:b/>
                <w:color w:val="000000" w:themeColor="text1"/>
                <w:kern w:val="2"/>
                <w:sz w:val="24"/>
                <w:szCs w:val="24"/>
                <w:highlight w:val="none"/>
                <w:lang w:val="en-US" w:eastAsia="zh-CN" w:bidi="ar-SA"/>
                <w14:textFill>
                  <w14:solidFill>
                    <w14:schemeClr w14:val="tx1"/>
                  </w14:solidFill>
                </w14:textFill>
              </w:rPr>
            </w:pPr>
            <w:r>
              <w:rPr>
                <w:rFonts w:hint="eastAsia" w:cs="Times New Roman"/>
                <w:b/>
                <w:color w:val="000000" w:themeColor="text1"/>
                <w:kern w:val="2"/>
                <w:sz w:val="24"/>
                <w:szCs w:val="24"/>
                <w:highlight w:val="none"/>
                <w:lang w:val="en-US" w:eastAsia="zh-CN" w:bidi="ar-SA"/>
                <w14:textFill>
                  <w14:solidFill>
                    <w14:schemeClr w14:val="tx1"/>
                  </w14:solidFill>
                </w14:textFill>
              </w:rPr>
              <w:t>④</w:t>
            </w:r>
            <w:r>
              <w:rPr>
                <w:rFonts w:ascii="Times New Roman" w:hAnsi="Times New Roman" w:eastAsia="宋体" w:cs="Times New Roman"/>
                <w:b/>
                <w:color w:val="000000" w:themeColor="text1"/>
                <w:kern w:val="2"/>
                <w:sz w:val="24"/>
                <w:szCs w:val="24"/>
                <w:highlight w:val="none"/>
                <w:lang w:val="en-US" w:eastAsia="zh-CN" w:bidi="ar-SA"/>
                <w14:textFill>
                  <w14:solidFill>
                    <w14:schemeClr w14:val="tx1"/>
                  </w14:solidFill>
                </w14:textFill>
              </w:rPr>
              <w:t>喷枪产能核算：</w:t>
            </w:r>
          </w:p>
          <w:p w14:paraId="73DE4E0C">
            <w:pPr>
              <w:pageBreakBefore w:val="0"/>
              <w:widowControl w:val="0"/>
              <w:numPr>
                <w:ilvl w:val="0"/>
                <w:numId w:val="10"/>
              </w:numPr>
              <w:wordWrap w:val="0"/>
              <w:overflowPunct/>
              <w:bidi w:val="0"/>
              <w:spacing w:line="240" w:lineRule="auto"/>
              <w:ind w:left="0" w:leftChars="0" w:firstLine="40" w:firstLineChars="0"/>
              <w:jc w:val="center"/>
              <w:rPr>
                <w:rFonts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 xml:space="preserve"> 喷枪产能核算一览表</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18"/>
              <w:gridCol w:w="1217"/>
              <w:gridCol w:w="813"/>
              <w:gridCol w:w="1465"/>
              <w:gridCol w:w="1078"/>
              <w:gridCol w:w="1494"/>
              <w:gridCol w:w="1425"/>
            </w:tblGrid>
            <w:tr w14:paraId="470FE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018" w:type="dxa"/>
                  <w:vAlign w:val="center"/>
                </w:tcPr>
                <w:p w14:paraId="2E7B45E3">
                  <w:pPr>
                    <w:keepNext w:val="0"/>
                    <w:keepLines w:val="0"/>
                    <w:widowControl/>
                    <w:suppressLineNumbers w:val="0"/>
                    <w:spacing w:line="240" w:lineRule="auto"/>
                    <w:jc w:val="center"/>
                    <w:textAlignment w:val="center"/>
                    <w:rPr>
                      <w:rFonts w:hint="eastAsia"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14:textFill>
                        <w14:solidFill>
                          <w14:schemeClr w14:val="tx1"/>
                        </w14:solidFill>
                      </w14:textFill>
                    </w:rPr>
                    <w:t>物料名称</w:t>
                  </w:r>
                </w:p>
              </w:tc>
              <w:tc>
                <w:tcPr>
                  <w:tcW w:w="1217" w:type="dxa"/>
                  <w:vAlign w:val="center"/>
                </w:tcPr>
                <w:p w14:paraId="1DFF6F90">
                  <w:pPr>
                    <w:keepNext w:val="0"/>
                    <w:keepLines w:val="0"/>
                    <w:widowControl/>
                    <w:suppressLineNumbers w:val="0"/>
                    <w:spacing w:line="240" w:lineRule="auto"/>
                    <w:jc w:val="center"/>
                    <w:textAlignment w:val="center"/>
                    <w:rPr>
                      <w:rFonts w:ascii="Times New Roman" w:hAnsi="Times New Roman" w:eastAsia="宋体" w:cs="Times New Roman"/>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14:textFill>
                        <w14:solidFill>
                          <w14:schemeClr w14:val="tx1"/>
                        </w14:solidFill>
                      </w14:textFill>
                    </w:rPr>
                    <w:t>设备名称</w:t>
                  </w:r>
                </w:p>
              </w:tc>
              <w:tc>
                <w:tcPr>
                  <w:tcW w:w="813" w:type="dxa"/>
                  <w:vAlign w:val="center"/>
                </w:tcPr>
                <w:p w14:paraId="24488A82">
                  <w:pPr>
                    <w:keepNext w:val="0"/>
                    <w:keepLines w:val="0"/>
                    <w:widowControl/>
                    <w:suppressLineNumbers w:val="0"/>
                    <w:spacing w:line="240" w:lineRule="auto"/>
                    <w:jc w:val="center"/>
                    <w:textAlignment w:val="center"/>
                    <w:rPr>
                      <w:rFonts w:ascii="Times New Roman" w:hAnsi="Times New Roman" w:eastAsia="宋体" w:cs="Times New Roman"/>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14:textFill>
                        <w14:solidFill>
                          <w14:schemeClr w14:val="tx1"/>
                        </w14:solidFill>
                      </w14:textFill>
                    </w:rPr>
                    <w:t>数量（支）</w:t>
                  </w:r>
                </w:p>
              </w:tc>
              <w:tc>
                <w:tcPr>
                  <w:tcW w:w="1465" w:type="dxa"/>
                  <w:vAlign w:val="center"/>
                </w:tcPr>
                <w:p w14:paraId="6EFF2198">
                  <w:pPr>
                    <w:keepNext w:val="0"/>
                    <w:keepLines w:val="0"/>
                    <w:widowControl/>
                    <w:suppressLineNumbers w:val="0"/>
                    <w:spacing w:line="240" w:lineRule="auto"/>
                    <w:jc w:val="center"/>
                    <w:textAlignment w:val="center"/>
                    <w:rPr>
                      <w:rFonts w:ascii="Times New Roman" w:hAnsi="Times New Roman" w:eastAsia="宋体" w:cs="Times New Roman"/>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14:textFill>
                        <w14:solidFill>
                          <w14:schemeClr w14:val="tx1"/>
                        </w14:solidFill>
                      </w14:textFill>
                    </w:rPr>
                    <w:t>设计喷枪流量（</w:t>
                  </w:r>
                  <w:r>
                    <w:rPr>
                      <w:rFonts w:hint="default" w:ascii="Times New Roman" w:hAnsi="Times New Roman" w:eastAsia="宋体" w:cs="Times New Roman"/>
                      <w:b/>
                      <w:bCs/>
                      <w:i w:val="0"/>
                      <w:iCs w:val="0"/>
                      <w:color w:val="000000" w:themeColor="text1"/>
                      <w:kern w:val="0"/>
                      <w:sz w:val="21"/>
                      <w:szCs w:val="21"/>
                      <w:u w:val="none"/>
                      <w:lang w:val="en-US" w:eastAsia="zh-CN"/>
                      <w14:textFill>
                        <w14:solidFill>
                          <w14:schemeClr w14:val="tx1"/>
                        </w14:solidFill>
                      </w14:textFill>
                    </w:rPr>
                    <w:t>kg/h</w:t>
                  </w:r>
                  <w:r>
                    <w:rPr>
                      <w:rFonts w:hint="eastAsia" w:ascii="宋体" w:hAnsi="宋体" w:eastAsia="宋体" w:cs="宋体"/>
                      <w:b/>
                      <w:bCs/>
                      <w:i w:val="0"/>
                      <w:iCs w:val="0"/>
                      <w:color w:val="000000" w:themeColor="text1"/>
                      <w:kern w:val="0"/>
                      <w:sz w:val="21"/>
                      <w:szCs w:val="21"/>
                      <w:u w:val="none"/>
                      <w:lang w:val="en-US" w:eastAsia="zh-CN"/>
                      <w14:textFill>
                        <w14:solidFill>
                          <w14:schemeClr w14:val="tx1"/>
                        </w14:solidFill>
                      </w14:textFill>
                    </w:rPr>
                    <w:t>）</w:t>
                  </w:r>
                </w:p>
              </w:tc>
              <w:tc>
                <w:tcPr>
                  <w:tcW w:w="1078" w:type="dxa"/>
                  <w:vAlign w:val="center"/>
                </w:tcPr>
                <w:p w14:paraId="66CB5F0D">
                  <w:pPr>
                    <w:keepNext w:val="0"/>
                    <w:keepLines w:val="0"/>
                    <w:widowControl/>
                    <w:suppressLineNumbers w:val="0"/>
                    <w:spacing w:line="240" w:lineRule="auto"/>
                    <w:jc w:val="center"/>
                    <w:textAlignment w:val="center"/>
                    <w:rPr>
                      <w:rFonts w:ascii="Times New Roman" w:hAnsi="Times New Roman" w:eastAsia="宋体" w:cs="Times New Roman"/>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14:textFill>
                        <w14:solidFill>
                          <w14:schemeClr w14:val="tx1"/>
                        </w14:solidFill>
                      </w14:textFill>
                    </w:rPr>
                    <w:t>工作时间（</w:t>
                  </w:r>
                  <w:r>
                    <w:rPr>
                      <w:rFonts w:hint="default" w:ascii="Times New Roman" w:hAnsi="Times New Roman" w:eastAsia="宋体" w:cs="Times New Roman"/>
                      <w:b/>
                      <w:bCs/>
                      <w:i w:val="0"/>
                      <w:iCs w:val="0"/>
                      <w:color w:val="000000" w:themeColor="text1"/>
                      <w:kern w:val="0"/>
                      <w:sz w:val="21"/>
                      <w:szCs w:val="21"/>
                      <w:u w:val="none"/>
                      <w:lang w:val="en-US" w:eastAsia="zh-CN"/>
                      <w14:textFill>
                        <w14:solidFill>
                          <w14:schemeClr w14:val="tx1"/>
                        </w14:solidFill>
                      </w14:textFill>
                    </w:rPr>
                    <w:t>h</w:t>
                  </w:r>
                  <w:r>
                    <w:rPr>
                      <w:rFonts w:hint="eastAsia" w:ascii="宋体" w:hAnsi="宋体" w:eastAsia="宋体" w:cs="宋体"/>
                      <w:b/>
                      <w:bCs/>
                      <w:i w:val="0"/>
                      <w:iCs w:val="0"/>
                      <w:color w:val="000000" w:themeColor="text1"/>
                      <w:kern w:val="0"/>
                      <w:sz w:val="21"/>
                      <w:szCs w:val="21"/>
                      <w:u w:val="none"/>
                      <w:lang w:val="en-US" w:eastAsia="zh-CN"/>
                      <w14:textFill>
                        <w14:solidFill>
                          <w14:schemeClr w14:val="tx1"/>
                        </w14:solidFill>
                      </w14:textFill>
                    </w:rPr>
                    <w:t>）</w:t>
                  </w:r>
                </w:p>
              </w:tc>
              <w:tc>
                <w:tcPr>
                  <w:tcW w:w="1494" w:type="dxa"/>
                  <w:vAlign w:val="center"/>
                </w:tcPr>
                <w:p w14:paraId="3C6DACF2">
                  <w:pPr>
                    <w:keepNext w:val="0"/>
                    <w:keepLines w:val="0"/>
                    <w:widowControl/>
                    <w:suppressLineNumbers w:val="0"/>
                    <w:spacing w:line="240" w:lineRule="auto"/>
                    <w:jc w:val="center"/>
                    <w:textAlignment w:val="center"/>
                    <w:rPr>
                      <w:rFonts w:ascii="Times New Roman" w:hAnsi="Times New Roman" w:eastAsia="宋体" w:cs="Times New Roman"/>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14:textFill>
                        <w14:solidFill>
                          <w14:schemeClr w14:val="tx1"/>
                        </w14:solidFill>
                      </w14:textFill>
                    </w:rPr>
                    <w:t>设计年喷涂量（</w:t>
                  </w:r>
                  <w:r>
                    <w:rPr>
                      <w:rFonts w:hint="default" w:ascii="Times New Roman" w:hAnsi="Times New Roman" w:eastAsia="宋体" w:cs="Times New Roman"/>
                      <w:b/>
                      <w:bCs/>
                      <w:i w:val="0"/>
                      <w:iCs w:val="0"/>
                      <w:color w:val="000000" w:themeColor="text1"/>
                      <w:kern w:val="0"/>
                      <w:sz w:val="21"/>
                      <w:szCs w:val="21"/>
                      <w:u w:val="none"/>
                      <w:lang w:val="en-US" w:eastAsia="zh-CN"/>
                      <w14:textFill>
                        <w14:solidFill>
                          <w14:schemeClr w14:val="tx1"/>
                        </w14:solidFill>
                      </w14:textFill>
                    </w:rPr>
                    <w:t>t/a</w:t>
                  </w:r>
                  <w:r>
                    <w:rPr>
                      <w:rFonts w:hint="eastAsia" w:ascii="宋体" w:hAnsi="宋体" w:eastAsia="宋体" w:cs="宋体"/>
                      <w:b/>
                      <w:bCs/>
                      <w:i w:val="0"/>
                      <w:iCs w:val="0"/>
                      <w:color w:val="000000" w:themeColor="text1"/>
                      <w:kern w:val="0"/>
                      <w:sz w:val="21"/>
                      <w:szCs w:val="21"/>
                      <w:u w:val="none"/>
                      <w:lang w:val="en-US" w:eastAsia="zh-CN"/>
                      <w14:textFill>
                        <w14:solidFill>
                          <w14:schemeClr w14:val="tx1"/>
                        </w14:solidFill>
                      </w14:textFill>
                    </w:rPr>
                    <w:t>）</w:t>
                  </w:r>
                </w:p>
              </w:tc>
              <w:tc>
                <w:tcPr>
                  <w:tcW w:w="1425" w:type="dxa"/>
                  <w:vAlign w:val="center"/>
                </w:tcPr>
                <w:p w14:paraId="72C3548A">
                  <w:pPr>
                    <w:keepNext w:val="0"/>
                    <w:keepLines w:val="0"/>
                    <w:widowControl/>
                    <w:suppressLineNumbers w:val="0"/>
                    <w:spacing w:line="240" w:lineRule="auto"/>
                    <w:jc w:val="center"/>
                    <w:textAlignment w:val="center"/>
                    <w:rPr>
                      <w:rFonts w:ascii="Times New Roman" w:hAnsi="Times New Roman" w:eastAsia="宋体" w:cs="Times New Roman"/>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14:textFill>
                        <w14:solidFill>
                          <w14:schemeClr w14:val="tx1"/>
                        </w14:solidFill>
                      </w14:textFill>
                    </w:rPr>
                    <w:t>项目实际年喷涂量（</w:t>
                  </w:r>
                  <w:r>
                    <w:rPr>
                      <w:rFonts w:hint="default" w:ascii="Times New Roman" w:hAnsi="Times New Roman" w:eastAsia="宋体" w:cs="Times New Roman"/>
                      <w:b/>
                      <w:bCs/>
                      <w:i w:val="0"/>
                      <w:iCs w:val="0"/>
                      <w:color w:val="000000" w:themeColor="text1"/>
                      <w:kern w:val="0"/>
                      <w:sz w:val="21"/>
                      <w:szCs w:val="21"/>
                      <w:u w:val="none"/>
                      <w:lang w:val="en-US" w:eastAsia="zh-CN"/>
                      <w14:textFill>
                        <w14:solidFill>
                          <w14:schemeClr w14:val="tx1"/>
                        </w14:solidFill>
                      </w14:textFill>
                    </w:rPr>
                    <w:t>t/a</w:t>
                  </w:r>
                  <w:r>
                    <w:rPr>
                      <w:rFonts w:hint="eastAsia" w:ascii="宋体" w:hAnsi="宋体" w:eastAsia="宋体" w:cs="宋体"/>
                      <w:b/>
                      <w:bCs/>
                      <w:i w:val="0"/>
                      <w:iCs w:val="0"/>
                      <w:color w:val="000000" w:themeColor="text1"/>
                      <w:kern w:val="0"/>
                      <w:sz w:val="21"/>
                      <w:szCs w:val="21"/>
                      <w:u w:val="none"/>
                      <w:lang w:val="en-US" w:eastAsia="zh-CN"/>
                      <w14:textFill>
                        <w14:solidFill>
                          <w14:schemeClr w14:val="tx1"/>
                        </w14:solidFill>
                      </w14:textFill>
                    </w:rPr>
                    <w:t>）</w:t>
                  </w:r>
                </w:p>
              </w:tc>
            </w:tr>
            <w:tr w14:paraId="7B673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018" w:type="dxa"/>
                  <w:vAlign w:val="center"/>
                </w:tcPr>
                <w:p w14:paraId="5CA0E55E">
                  <w:pPr>
                    <w:keepNext w:val="0"/>
                    <w:keepLines w:val="0"/>
                    <w:widowControl/>
                    <w:suppressLineNumbers w:val="0"/>
                    <w:jc w:val="center"/>
                    <w:textAlignment w:val="cente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油性漆</w:t>
                  </w:r>
                </w:p>
              </w:tc>
              <w:tc>
                <w:tcPr>
                  <w:tcW w:w="1217" w:type="dxa"/>
                  <w:vAlign w:val="center"/>
                </w:tcPr>
                <w:p w14:paraId="5248F223">
                  <w:pPr>
                    <w:keepNext w:val="0"/>
                    <w:keepLines w:val="0"/>
                    <w:widowControl/>
                    <w:suppressLineNumbers w:val="0"/>
                    <w:jc w:val="center"/>
                    <w:textAlignment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1.2mm</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口径喷枪</w:t>
                  </w:r>
                </w:p>
              </w:tc>
              <w:tc>
                <w:tcPr>
                  <w:tcW w:w="813" w:type="dxa"/>
                  <w:vAlign w:val="center"/>
                </w:tcPr>
                <w:p w14:paraId="5380CEF0">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p>
              </w:tc>
              <w:tc>
                <w:tcPr>
                  <w:tcW w:w="1465" w:type="dxa"/>
                  <w:vAlign w:val="center"/>
                </w:tcPr>
                <w:p w14:paraId="644C212C">
                  <w:pPr>
                    <w:keepNext w:val="0"/>
                    <w:keepLines w:val="0"/>
                    <w:widowControl/>
                    <w:suppressLineNumbers w:val="0"/>
                    <w:jc w:val="center"/>
                    <w:textAlignment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078" w:type="dxa"/>
                  <w:vAlign w:val="center"/>
                </w:tcPr>
                <w:p w14:paraId="5B2EF576">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1928</w:t>
                  </w:r>
                </w:p>
              </w:tc>
              <w:tc>
                <w:tcPr>
                  <w:tcW w:w="1494" w:type="dxa"/>
                  <w:vAlign w:val="center"/>
                </w:tcPr>
                <w:p w14:paraId="02748EC9">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11.568</w:t>
                  </w:r>
                </w:p>
              </w:tc>
              <w:tc>
                <w:tcPr>
                  <w:tcW w:w="1425" w:type="dxa"/>
                  <w:vAlign w:val="center"/>
                </w:tcPr>
                <w:p w14:paraId="449CE8C4">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9.648</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r w14:paraId="773C3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510" w:type="dxa"/>
                  <w:gridSpan w:val="7"/>
                  <w:vAlign w:val="center"/>
                </w:tcPr>
                <w:p w14:paraId="003BDAD8">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注：</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①单支喷枪流量为5~50ml/min，本项目取10ml/min，即约为1kg/h；</w:t>
                  </w:r>
                </w:p>
                <w:p w14:paraId="3FCC352D">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themeColor="text1"/>
                      <w:kern w:val="2"/>
                      <w:sz w:val="24"/>
                      <w:szCs w:val="2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②</w:t>
                  </w:r>
                  <w:r>
                    <w:rPr>
                      <w:rFonts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喷枪设计喷涂总量</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分别</w:t>
                  </w:r>
                  <w:r>
                    <w:rPr>
                      <w:rFonts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为</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11.568t/a</w:t>
                  </w:r>
                  <w:r>
                    <w:rPr>
                      <w:rFonts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，项目油漆实际总用量为</w:t>
                  </w:r>
                  <w:r>
                    <w:rPr>
                      <w:rFonts w:hint="eastAsia" w:cs="Times New Roman"/>
                      <w:color w:val="000000" w:themeColor="text1"/>
                      <w:kern w:val="2"/>
                      <w:sz w:val="21"/>
                      <w:szCs w:val="21"/>
                      <w:highlight w:val="none"/>
                      <w:lang w:val="en-US" w:eastAsia="zh-CN" w:bidi="ar-SA"/>
                      <w14:textFill>
                        <w14:solidFill>
                          <w14:schemeClr w14:val="tx1"/>
                        </w14:solidFill>
                      </w14:textFill>
                    </w:rPr>
                    <w:t>9.648</w:t>
                  </w:r>
                  <w:r>
                    <w:rPr>
                      <w:rFonts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t/a，约占喷枪设计产能的</w:t>
                  </w:r>
                  <w:r>
                    <w:rPr>
                      <w:rFonts w:hint="eastAsia" w:cs="Times New Roman"/>
                      <w:color w:val="000000" w:themeColor="text1"/>
                      <w:kern w:val="2"/>
                      <w:sz w:val="21"/>
                      <w:szCs w:val="21"/>
                      <w:highlight w:val="none"/>
                      <w:lang w:val="en-US" w:eastAsia="zh-CN" w:bidi="ar-SA"/>
                      <w14:textFill>
                        <w14:solidFill>
                          <w14:schemeClr w14:val="tx1"/>
                        </w14:solidFill>
                      </w14:textFill>
                    </w:rPr>
                    <w:t>83.4</w:t>
                  </w:r>
                  <w:r>
                    <w:rPr>
                      <w:rFonts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%，与喷枪的产能相匹配。因此，生产设备的产能和原料用量相匹配、合理。</w:t>
                  </w:r>
                </w:p>
              </w:tc>
            </w:tr>
          </w:tbl>
          <w:p w14:paraId="1C5E516C">
            <w:pPr>
              <w:pageBreakBefore w:val="0"/>
              <w:widowControl w:val="0"/>
              <w:wordWrap w:val="0"/>
              <w:overflowPunct/>
              <w:bidi w:val="0"/>
              <w:spacing w:line="360" w:lineRule="auto"/>
              <w:ind w:firstLine="482" w:firstLineChars="200"/>
              <w:jc w:val="both"/>
              <w:rPr>
                <w:rFonts w:ascii="Times New Roman" w:hAnsi="Times New Roman" w:eastAsia="宋体" w:cs="Times New Roman"/>
                <w:b/>
                <w:color w:val="000000" w:themeColor="text1"/>
                <w:kern w:val="2"/>
                <w:sz w:val="24"/>
                <w:szCs w:val="24"/>
                <w:highlight w:val="none"/>
                <w:lang w:val="en-US" w:eastAsia="zh-CN" w:bidi="ar-SA"/>
                <w14:textFill>
                  <w14:solidFill>
                    <w14:schemeClr w14:val="tx1"/>
                  </w14:solidFill>
                </w14:textFill>
              </w:rPr>
            </w:pPr>
            <w:r>
              <w:rPr>
                <w:rFonts w:hint="eastAsia" w:cs="Times New Roman"/>
                <w:b/>
                <w:color w:val="000000" w:themeColor="text1"/>
                <w:kern w:val="2"/>
                <w:sz w:val="24"/>
                <w:szCs w:val="24"/>
                <w:highlight w:val="none"/>
                <w:lang w:val="en-US" w:eastAsia="zh-CN" w:bidi="ar-SA"/>
                <w14:textFill>
                  <w14:solidFill>
                    <w14:schemeClr w14:val="tx1"/>
                  </w14:solidFill>
                </w14:textFill>
              </w:rPr>
              <w:t>⑤</w:t>
            </w:r>
            <w:r>
              <w:rPr>
                <w:rFonts w:ascii="Times New Roman" w:hAnsi="Times New Roman" w:eastAsia="宋体" w:cs="Times New Roman"/>
                <w:b/>
                <w:color w:val="000000" w:themeColor="text1"/>
                <w:kern w:val="2"/>
                <w:sz w:val="24"/>
                <w:szCs w:val="24"/>
                <w:highlight w:val="none"/>
                <w:lang w:val="en-US" w:eastAsia="zh-CN" w:bidi="ar-SA"/>
                <w14:textFill>
                  <w14:solidFill>
                    <w14:schemeClr w14:val="tx1"/>
                  </w14:solidFill>
                </w14:textFill>
              </w:rPr>
              <w:t>喷枪</w:t>
            </w:r>
            <w:r>
              <w:rPr>
                <w:rFonts w:hint="eastAsia" w:ascii="Times New Roman" w:hAnsi="Times New Roman" w:eastAsia="宋体" w:cs="Times New Roman"/>
                <w:b/>
                <w:color w:val="000000" w:themeColor="text1"/>
                <w:kern w:val="2"/>
                <w:sz w:val="24"/>
                <w:szCs w:val="24"/>
                <w:highlight w:val="none"/>
                <w:lang w:val="en-US" w:eastAsia="zh-CN" w:bidi="ar-SA"/>
                <w14:textFill>
                  <w14:solidFill>
                    <w14:schemeClr w14:val="tx1"/>
                  </w14:solidFill>
                </w14:textFill>
              </w:rPr>
              <w:t>清洗剂用量</w:t>
            </w:r>
            <w:r>
              <w:rPr>
                <w:rFonts w:ascii="Times New Roman" w:hAnsi="Times New Roman" w:eastAsia="宋体" w:cs="Times New Roman"/>
                <w:b/>
                <w:color w:val="000000" w:themeColor="text1"/>
                <w:kern w:val="2"/>
                <w:sz w:val="24"/>
                <w:szCs w:val="24"/>
                <w:highlight w:val="none"/>
                <w:lang w:val="en-US" w:eastAsia="zh-CN" w:bidi="ar-SA"/>
                <w14:textFill>
                  <w14:solidFill>
                    <w14:schemeClr w14:val="tx1"/>
                  </w14:solidFill>
                </w14:textFill>
              </w:rPr>
              <w:t>核算：</w:t>
            </w:r>
          </w:p>
          <w:p w14:paraId="109C17E4">
            <w:pPr>
              <w:pageBreakBefore w:val="0"/>
              <w:widowControl w:val="0"/>
              <w:numPr>
                <w:ilvl w:val="0"/>
                <w:numId w:val="10"/>
              </w:numPr>
              <w:wordWrap w:val="0"/>
              <w:overflowPunct/>
              <w:bidi w:val="0"/>
              <w:spacing w:line="240" w:lineRule="auto"/>
              <w:ind w:left="0" w:leftChars="0" w:firstLine="40" w:firstLineChars="0"/>
              <w:jc w:val="center"/>
              <w:rPr>
                <w:rFonts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 xml:space="preserve"> 喷枪产能</w:t>
            </w:r>
            <w:r>
              <w:rPr>
                <w:rFonts w:hint="eastAsia"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清洗剂用量</w:t>
            </w:r>
            <w:r>
              <w:rPr>
                <w:rFonts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核算一览表</w:t>
            </w:r>
          </w:p>
          <w:tbl>
            <w:tblPr>
              <w:tblStyle w:val="44"/>
              <w:tblW w:w="496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2"/>
              <w:gridCol w:w="2198"/>
              <w:gridCol w:w="1041"/>
              <w:gridCol w:w="1729"/>
              <w:gridCol w:w="2375"/>
            </w:tblGrid>
            <w:tr w14:paraId="20247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2B978">
                  <w:pPr>
                    <w:keepNext w:val="0"/>
                    <w:keepLines w:val="0"/>
                    <w:widowControl/>
                    <w:suppressLineNumbers w:val="0"/>
                    <w:spacing w:line="360" w:lineRule="auto"/>
                    <w:jc w:val="center"/>
                    <w:textAlignment w:val="center"/>
                    <w:rPr>
                      <w:rFonts w:hint="default" w:ascii="Times New Roman" w:hAnsi="Times New Roman" w:eastAsia="宋体" w:cs="Times New Roman"/>
                      <w:b/>
                      <w:bCs/>
                      <w:i w:val="0"/>
                      <w:iCs w:val="0"/>
                      <w:color w:val="000000" w:themeColor="text1"/>
                      <w:sz w:val="21"/>
                      <w:szCs w:val="21"/>
                      <w:u w:val="none"/>
                      <w:lang w:val="en-US"/>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用量t/a</w:t>
                  </w: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442FC">
                  <w:pPr>
                    <w:keepNext w:val="0"/>
                    <w:keepLines w:val="0"/>
                    <w:widowControl/>
                    <w:suppressLineNumbers w:val="0"/>
                    <w:spacing w:line="360" w:lineRule="auto"/>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每次每把</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ml</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50998">
                  <w:pPr>
                    <w:keepNext w:val="0"/>
                    <w:keepLines w:val="0"/>
                    <w:widowControl/>
                    <w:suppressLineNumbers w:val="0"/>
                    <w:spacing w:line="360" w:lineRule="auto"/>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把数</w:t>
                  </w:r>
                </w:p>
              </w:tc>
              <w:tc>
                <w:tcPr>
                  <w:tcW w:w="10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0EC52">
                  <w:pPr>
                    <w:keepNext w:val="0"/>
                    <w:keepLines w:val="0"/>
                    <w:widowControl/>
                    <w:suppressLineNumbers w:val="0"/>
                    <w:spacing w:line="360" w:lineRule="auto"/>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清洗次数</w:t>
                  </w:r>
                </w:p>
              </w:tc>
              <w:tc>
                <w:tcPr>
                  <w:tcW w:w="1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FED4C">
                  <w:pPr>
                    <w:keepNext w:val="0"/>
                    <w:keepLines w:val="0"/>
                    <w:widowControl/>
                    <w:suppressLineNumbers w:val="0"/>
                    <w:spacing w:line="360" w:lineRule="auto"/>
                    <w:jc w:val="center"/>
                    <w:textAlignment w:val="center"/>
                    <w:rPr>
                      <w:rFonts w:hint="default" w:ascii="宋体" w:hAnsi="宋体" w:eastAsia="宋体" w:cs="宋体"/>
                      <w:b/>
                      <w:bCs/>
                      <w:i w:val="0"/>
                      <w:iCs w:val="0"/>
                      <w:color w:val="000000" w:themeColor="text1"/>
                      <w:sz w:val="21"/>
                      <w:szCs w:val="21"/>
                      <w:u w:val="none"/>
                      <w:vertAlign w:val="superscript"/>
                      <w:lang w:val="en-US"/>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密度g/cm</w:t>
                  </w:r>
                  <w:r>
                    <w:rPr>
                      <w:rFonts w:hint="eastAsia" w:ascii="宋体" w:hAnsi="宋体" w:eastAsia="宋体" w:cs="宋体"/>
                      <w:b/>
                      <w:bCs/>
                      <w:i w:val="0"/>
                      <w:iCs w:val="0"/>
                      <w:color w:val="000000" w:themeColor="text1"/>
                      <w:kern w:val="0"/>
                      <w:sz w:val="21"/>
                      <w:szCs w:val="21"/>
                      <w:u w:val="none"/>
                      <w:vertAlign w:val="superscript"/>
                      <w:lang w:val="en-US" w:eastAsia="zh-CN" w:bidi="ar"/>
                      <w14:textFill>
                        <w14:solidFill>
                          <w14:schemeClr w14:val="tx1"/>
                        </w14:solidFill>
                      </w14:textFill>
                    </w:rPr>
                    <w:t>3</w:t>
                  </w:r>
                </w:p>
              </w:tc>
            </w:tr>
            <w:tr w14:paraId="3FCB5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5E8B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0.084 </w:t>
                  </w:r>
                </w:p>
              </w:tc>
              <w:tc>
                <w:tcPr>
                  <w:tcW w:w="2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64A7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9249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14E8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241</w:t>
                  </w:r>
                </w:p>
              </w:tc>
              <w:tc>
                <w:tcPr>
                  <w:tcW w:w="2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B7C1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0.828</w:t>
                  </w:r>
                </w:p>
              </w:tc>
            </w:tr>
            <w:tr w14:paraId="10FB1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81E89">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注：油漆喷枪需每日清洗一次，每次每把清洗时使用清洗剂约70ml。</w:t>
                  </w:r>
                </w:p>
              </w:tc>
            </w:tr>
          </w:tbl>
          <w:p w14:paraId="32191887">
            <w:pPr>
              <w:wordWrap w:val="0"/>
              <w:topLinePunct/>
              <w:spacing w:line="360" w:lineRule="auto"/>
              <w:ind w:firstLine="482" w:firstLineChars="200"/>
              <w:outlineLvl w:val="4"/>
              <w:rPr>
                <w:b/>
                <w:color w:val="000000" w:themeColor="text1"/>
                <w:sz w:val="24"/>
                <w:szCs w:val="24"/>
                <w:highlight w:val="none"/>
                <w14:textFill>
                  <w14:solidFill>
                    <w14:schemeClr w14:val="tx1"/>
                  </w14:solidFill>
                </w14:textFill>
              </w:rPr>
            </w:pPr>
            <w:r>
              <w:rPr>
                <w:rFonts w:hint="eastAsia"/>
                <w:b/>
                <w:color w:val="000000" w:themeColor="text1"/>
                <w:sz w:val="24"/>
                <w:szCs w:val="24"/>
                <w:highlight w:val="none"/>
                <w:lang w:eastAsia="zh-CN"/>
                <w14:textFill>
                  <w14:solidFill>
                    <w14:schemeClr w14:val="tx1"/>
                  </w14:solidFill>
                </w14:textFill>
              </w:rPr>
              <w:t>（</w:t>
            </w:r>
            <w:r>
              <w:rPr>
                <w:rFonts w:hint="eastAsia"/>
                <w:b/>
                <w:color w:val="000000" w:themeColor="text1"/>
                <w:sz w:val="24"/>
                <w:szCs w:val="24"/>
                <w:highlight w:val="none"/>
                <w:lang w:val="en-US" w:eastAsia="zh-CN"/>
                <w14:textFill>
                  <w14:solidFill>
                    <w14:schemeClr w14:val="tx1"/>
                  </w14:solidFill>
                </w14:textFill>
              </w:rPr>
              <w:t>5</w:t>
            </w:r>
            <w:r>
              <w:rPr>
                <w:rFonts w:hint="eastAsia"/>
                <w:b/>
                <w:color w:val="000000" w:themeColor="text1"/>
                <w:sz w:val="24"/>
                <w:szCs w:val="24"/>
                <w:highlight w:val="none"/>
                <w:lang w:eastAsia="zh-CN"/>
                <w14:textFill>
                  <w14:solidFill>
                    <w14:schemeClr w14:val="tx1"/>
                  </w14:solidFill>
                </w14:textFill>
              </w:rPr>
              <w:t>）</w:t>
            </w:r>
            <w:r>
              <w:rPr>
                <w:rFonts w:hint="eastAsia"/>
                <w:b/>
                <w:color w:val="000000" w:themeColor="text1"/>
                <w:sz w:val="24"/>
                <w:szCs w:val="24"/>
                <w:highlight w:val="none"/>
                <w:lang w:val="en-US" w:eastAsia="zh-CN"/>
                <w14:textFill>
                  <w14:solidFill>
                    <w14:schemeClr w14:val="tx1"/>
                  </w14:solidFill>
                </w14:textFill>
              </w:rPr>
              <w:t>物料</w:t>
            </w:r>
            <w:r>
              <w:rPr>
                <w:b/>
                <w:color w:val="000000" w:themeColor="text1"/>
                <w:sz w:val="24"/>
                <w:szCs w:val="24"/>
                <w:highlight w:val="none"/>
                <w14:textFill>
                  <w14:solidFill>
                    <w14:schemeClr w14:val="tx1"/>
                  </w14:solidFill>
                </w14:textFill>
              </w:rPr>
              <w:t>平衡</w:t>
            </w:r>
          </w:p>
          <w:p w14:paraId="2166EA0B">
            <w:pPr>
              <w:wordWrap w:val="0"/>
              <w:topLinePunct/>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szCs w:val="24"/>
                <w:highlight w:val="none"/>
                <w14:textFill>
                  <w14:solidFill>
                    <w14:schemeClr w14:val="tx1"/>
                  </w14:solidFill>
                </w14:textFill>
              </w:rPr>
              <w:t>本项目</w:t>
            </w:r>
            <w:r>
              <w:rPr>
                <w:rFonts w:hint="eastAsia"/>
                <w:color w:val="000000" w:themeColor="text1"/>
                <w:sz w:val="24"/>
                <w:szCs w:val="24"/>
                <w:highlight w:val="none"/>
                <w:lang w:val="en-US" w:eastAsia="zh-CN"/>
                <w14:textFill>
                  <w14:solidFill>
                    <w14:schemeClr w14:val="tx1"/>
                  </w14:solidFill>
                </w14:textFill>
              </w:rPr>
              <w:t>涉VOCs物料</w:t>
            </w:r>
            <w:r>
              <w:rPr>
                <w:color w:val="000000" w:themeColor="text1"/>
                <w:sz w:val="24"/>
                <w:highlight w:val="none"/>
                <w14:textFill>
                  <w14:solidFill>
                    <w14:schemeClr w14:val="tx1"/>
                  </w14:solidFill>
                </w14:textFill>
              </w:rPr>
              <w:t>平衡见下表及下图。</w:t>
            </w:r>
          </w:p>
          <w:p w14:paraId="7D71ED4D">
            <w:pPr>
              <w:pageBreakBefore w:val="0"/>
              <w:widowControl w:val="0"/>
              <w:numPr>
                <w:ilvl w:val="0"/>
                <w:numId w:val="10"/>
              </w:numPr>
              <w:wordWrap w:val="0"/>
              <w:overflowPunct/>
              <w:bidi w:val="0"/>
              <w:spacing w:line="240" w:lineRule="auto"/>
              <w:ind w:left="0" w:leftChars="0" w:firstLine="40" w:firstLineChars="0"/>
              <w:jc w:val="center"/>
              <w:rPr>
                <w:bCs/>
                <w:color w:val="000000" w:themeColor="text1"/>
                <w:sz w:val="21"/>
                <w:szCs w:val="21"/>
                <w:highlight w:val="none"/>
                <w14:textFill>
                  <w14:solidFill>
                    <w14:schemeClr w14:val="tx1"/>
                  </w14:solidFill>
                </w14:textFill>
              </w:rPr>
            </w:pPr>
            <w:r>
              <w:rPr>
                <w:b/>
                <w:bCs w:val="0"/>
                <w:color w:val="000000" w:themeColor="text1"/>
                <w:sz w:val="21"/>
                <w:szCs w:val="21"/>
                <w:highlight w:val="none"/>
                <w14:textFill>
                  <w14:solidFill>
                    <w14:schemeClr w14:val="tx1"/>
                  </w14:solidFill>
                </w14:textFill>
              </w:rPr>
              <w:t>项目</w:t>
            </w:r>
            <w:r>
              <w:rPr>
                <w:rFonts w:hint="eastAsia"/>
                <w:b/>
                <w:bCs w:val="0"/>
                <w:color w:val="000000" w:themeColor="text1"/>
                <w:sz w:val="21"/>
                <w:szCs w:val="21"/>
                <w:highlight w:val="none"/>
                <w:lang w:val="en-US" w:eastAsia="zh-CN"/>
                <w14:textFill>
                  <w14:solidFill>
                    <w14:schemeClr w14:val="tx1"/>
                  </w14:solidFill>
                </w14:textFill>
              </w:rPr>
              <w:t>涉VOCs物料</w:t>
            </w:r>
            <w:r>
              <w:rPr>
                <w:b/>
                <w:bCs w:val="0"/>
                <w:color w:val="000000" w:themeColor="text1"/>
                <w:sz w:val="21"/>
                <w:szCs w:val="21"/>
                <w:highlight w:val="none"/>
                <w14:textFill>
                  <w14:solidFill>
                    <w14:schemeClr w14:val="tx1"/>
                  </w14:solidFill>
                </w14:textFill>
              </w:rPr>
              <w:t>平衡表    单位t/a</w:t>
            </w:r>
          </w:p>
          <w:tbl>
            <w:tblPr>
              <w:tblStyle w:val="44"/>
              <w:tblW w:w="4832"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12"/>
              <w:gridCol w:w="1851"/>
              <w:gridCol w:w="1292"/>
              <w:gridCol w:w="1728"/>
              <w:gridCol w:w="1851"/>
            </w:tblGrid>
            <w:tr w14:paraId="12FCA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3" w:hRule="atLeast"/>
              </w:trPr>
              <w:tc>
                <w:tcPr>
                  <w:tcW w:w="1512" w:type="dxa"/>
                  <w:tcBorders>
                    <w:top w:val="single" w:color="auto" w:sz="4" w:space="0"/>
                    <w:left w:val="single" w:color="000000" w:sz="4" w:space="0"/>
                    <w:bottom w:val="single" w:color="auto" w:sz="4" w:space="0"/>
                    <w:right w:val="single" w:color="auto" w:sz="4" w:space="0"/>
                  </w:tcBorders>
                  <w:noWrap w:val="0"/>
                  <w:vAlign w:val="center"/>
                </w:tcPr>
                <w:p w14:paraId="00136400">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输入</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3ADE7973">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重量（</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t/a</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p>
              </w:tc>
              <w:tc>
                <w:tcPr>
                  <w:tcW w:w="3020" w:type="dxa"/>
                  <w:gridSpan w:val="2"/>
                  <w:tcBorders>
                    <w:top w:val="single" w:color="auto" w:sz="4" w:space="0"/>
                    <w:left w:val="single" w:color="auto" w:sz="4" w:space="0"/>
                    <w:bottom w:val="single" w:color="auto" w:sz="4" w:space="0"/>
                    <w:right w:val="single" w:color="auto" w:sz="4" w:space="0"/>
                  </w:tcBorders>
                  <w:noWrap w:val="0"/>
                  <w:vAlign w:val="center"/>
                </w:tcPr>
                <w:p w14:paraId="78F3457D">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输出</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240BC777">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重量（</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t/a</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p>
              </w:tc>
            </w:tr>
            <w:tr w14:paraId="2DFF4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noWrap w:val="0"/>
                  <w:vAlign w:val="center"/>
                </w:tcPr>
                <w:p w14:paraId="7667712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稀释剂</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4DB0B4C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1.299 </w:t>
                  </w:r>
                </w:p>
              </w:tc>
              <w:tc>
                <w:tcPr>
                  <w:tcW w:w="3020" w:type="dxa"/>
                  <w:gridSpan w:val="2"/>
                  <w:tcBorders>
                    <w:top w:val="single" w:color="auto" w:sz="4" w:space="0"/>
                    <w:left w:val="single" w:color="auto" w:sz="4" w:space="0"/>
                    <w:bottom w:val="single" w:color="auto" w:sz="4" w:space="0"/>
                    <w:right w:val="single" w:color="auto" w:sz="4" w:space="0"/>
                  </w:tcBorders>
                  <w:noWrap w:val="0"/>
                  <w:vAlign w:val="center"/>
                </w:tcPr>
                <w:p w14:paraId="761EDFA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进入产品</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1C45CB7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108.621 </w:t>
                  </w:r>
                </w:p>
              </w:tc>
            </w:tr>
            <w:tr w14:paraId="1DDF4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512" w:type="dxa"/>
                  <w:tcBorders>
                    <w:top w:val="single" w:color="auto" w:sz="4" w:space="0"/>
                    <w:left w:val="single" w:color="auto" w:sz="4" w:space="0"/>
                    <w:bottom w:val="single" w:color="auto" w:sz="4" w:space="0"/>
                    <w:right w:val="single" w:color="auto" w:sz="4" w:space="0"/>
                  </w:tcBorders>
                  <w:noWrap w:val="0"/>
                  <w:vAlign w:val="center"/>
                </w:tcPr>
                <w:p w14:paraId="36A08F5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底漆</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08D85E1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2.309 </w:t>
                  </w:r>
                </w:p>
              </w:tc>
              <w:tc>
                <w:tcPr>
                  <w:tcW w:w="3020" w:type="dxa"/>
                  <w:gridSpan w:val="2"/>
                  <w:tcBorders>
                    <w:top w:val="single" w:color="auto" w:sz="4" w:space="0"/>
                    <w:left w:val="single" w:color="auto" w:sz="4" w:space="0"/>
                    <w:bottom w:val="single" w:color="auto" w:sz="4" w:space="0"/>
                    <w:right w:val="single" w:color="auto" w:sz="4" w:space="0"/>
                  </w:tcBorders>
                  <w:noWrap w:val="0"/>
                  <w:vAlign w:val="center"/>
                </w:tcPr>
                <w:p w14:paraId="2AD1ABB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VOCs削减量</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444E382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2.679 </w:t>
                  </w:r>
                </w:p>
              </w:tc>
            </w:tr>
            <w:tr w14:paraId="3FBE3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1512" w:type="dxa"/>
                  <w:tcBorders>
                    <w:top w:val="single" w:color="auto" w:sz="4" w:space="0"/>
                    <w:left w:val="single" w:color="auto" w:sz="4" w:space="0"/>
                    <w:bottom w:val="single" w:color="auto" w:sz="4" w:space="0"/>
                    <w:right w:val="single" w:color="auto" w:sz="4" w:space="0"/>
                  </w:tcBorders>
                  <w:noWrap w:val="0"/>
                  <w:vAlign w:val="center"/>
                </w:tcPr>
                <w:p w14:paraId="07F0ADC9">
                  <w:pPr>
                    <w:keepNext w:val="0"/>
                    <w:keepLines w:val="0"/>
                    <w:widowControl/>
                    <w:suppressLineNumbers w:val="0"/>
                    <w:jc w:val="center"/>
                    <w:textAlignment w:val="center"/>
                    <w:rPr>
                      <w:rFonts w:hint="default"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面漆</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3584E44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3.242 </w:t>
                  </w:r>
                </w:p>
              </w:tc>
              <w:tc>
                <w:tcPr>
                  <w:tcW w:w="1292" w:type="dxa"/>
                  <w:vMerge w:val="restart"/>
                  <w:tcBorders>
                    <w:top w:val="single" w:color="auto" w:sz="4" w:space="0"/>
                    <w:left w:val="single" w:color="auto" w:sz="4" w:space="0"/>
                    <w:bottom w:val="single" w:color="auto" w:sz="4" w:space="0"/>
                    <w:right w:val="single" w:color="auto" w:sz="4" w:space="0"/>
                  </w:tcBorders>
                  <w:noWrap w:val="0"/>
                  <w:vAlign w:val="center"/>
                </w:tcPr>
                <w:p w14:paraId="06DA58A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VOCs</w:t>
                  </w:r>
                </w:p>
              </w:tc>
              <w:tc>
                <w:tcPr>
                  <w:tcW w:w="1728" w:type="dxa"/>
                  <w:tcBorders>
                    <w:top w:val="single" w:color="auto" w:sz="4" w:space="0"/>
                    <w:left w:val="single" w:color="auto" w:sz="4" w:space="0"/>
                    <w:bottom w:val="single" w:color="auto" w:sz="4" w:space="0"/>
                    <w:right w:val="single" w:color="auto" w:sz="4" w:space="0"/>
                  </w:tcBorders>
                  <w:noWrap w:val="0"/>
                  <w:vAlign w:val="center"/>
                </w:tcPr>
                <w:p w14:paraId="44978F5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有组织排放</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3C1AA6F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0.670 </w:t>
                  </w:r>
                </w:p>
              </w:tc>
            </w:tr>
            <w:tr w14:paraId="391A7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1512" w:type="dxa"/>
                  <w:tcBorders>
                    <w:top w:val="single" w:color="auto" w:sz="4" w:space="0"/>
                    <w:left w:val="single" w:color="auto" w:sz="4" w:space="0"/>
                    <w:bottom w:val="single" w:color="auto" w:sz="4" w:space="0"/>
                    <w:right w:val="single" w:color="auto" w:sz="4" w:space="0"/>
                  </w:tcBorders>
                  <w:noWrap w:val="0"/>
                  <w:vAlign w:val="center"/>
                </w:tcPr>
                <w:p w14:paraId="602713D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清漆</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32D81C9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2.798 </w:t>
                  </w:r>
                </w:p>
              </w:tc>
              <w:tc>
                <w:tcPr>
                  <w:tcW w:w="1292" w:type="dxa"/>
                  <w:vMerge w:val="continue"/>
                  <w:tcBorders>
                    <w:top w:val="single" w:color="auto" w:sz="4" w:space="0"/>
                    <w:left w:val="single" w:color="auto" w:sz="4" w:space="0"/>
                    <w:bottom w:val="single" w:color="auto" w:sz="4" w:space="0"/>
                    <w:right w:val="single" w:color="auto" w:sz="4" w:space="0"/>
                  </w:tcBorders>
                  <w:noWrap w:val="0"/>
                  <w:vAlign w:val="center"/>
                </w:tcPr>
                <w:p w14:paraId="6A8648BF">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14:paraId="18D3F6C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无组织排放</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0498A10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0.352 </w:t>
                  </w:r>
                </w:p>
              </w:tc>
            </w:tr>
            <w:tr w14:paraId="528E8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1512" w:type="dxa"/>
                  <w:tcBorders>
                    <w:top w:val="single" w:color="auto" w:sz="4" w:space="0"/>
                    <w:left w:val="single" w:color="auto" w:sz="4" w:space="0"/>
                    <w:bottom w:val="single" w:color="auto" w:sz="4" w:space="0"/>
                    <w:right w:val="single" w:color="auto" w:sz="4" w:space="0"/>
                  </w:tcBorders>
                  <w:noWrap w:val="0"/>
                  <w:vAlign w:val="center"/>
                </w:tcPr>
                <w:p w14:paraId="3FB4605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粉末涂料</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1E38C10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109.755 </w:t>
                  </w:r>
                </w:p>
              </w:tc>
              <w:tc>
                <w:tcPr>
                  <w:tcW w:w="1292" w:type="dxa"/>
                  <w:vMerge w:val="restart"/>
                  <w:tcBorders>
                    <w:top w:val="single" w:color="auto" w:sz="4" w:space="0"/>
                    <w:left w:val="single" w:color="auto" w:sz="4" w:space="0"/>
                    <w:bottom w:val="single" w:color="auto" w:sz="4" w:space="0"/>
                    <w:right w:val="single" w:color="auto" w:sz="4" w:space="0"/>
                  </w:tcBorders>
                  <w:noWrap w:val="0"/>
                  <w:vAlign w:val="center"/>
                </w:tcPr>
                <w:p w14:paraId="2C84321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漆雾</w:t>
                  </w:r>
                </w:p>
              </w:tc>
              <w:tc>
                <w:tcPr>
                  <w:tcW w:w="1728" w:type="dxa"/>
                  <w:tcBorders>
                    <w:top w:val="single" w:color="auto" w:sz="4" w:space="0"/>
                    <w:left w:val="single" w:color="auto" w:sz="4" w:space="0"/>
                    <w:bottom w:val="single" w:color="auto" w:sz="4" w:space="0"/>
                    <w:right w:val="single" w:color="auto" w:sz="4" w:space="0"/>
                  </w:tcBorders>
                  <w:noWrap w:val="0"/>
                  <w:vAlign w:val="center"/>
                </w:tcPr>
                <w:p w14:paraId="1F457E2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有组织排放</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0B6C7D7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0.022 </w:t>
                  </w:r>
                </w:p>
              </w:tc>
            </w:tr>
            <w:tr w14:paraId="04B87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1512" w:type="dxa"/>
                  <w:tcBorders>
                    <w:top w:val="single" w:color="auto" w:sz="4" w:space="0"/>
                    <w:left w:val="single" w:color="auto" w:sz="4" w:space="0"/>
                    <w:bottom w:val="single" w:color="auto" w:sz="4" w:space="0"/>
                    <w:right w:val="single" w:color="auto" w:sz="4" w:space="0"/>
                  </w:tcBorders>
                  <w:noWrap w:val="0"/>
                  <w:vAlign w:val="center"/>
                </w:tcPr>
                <w:p w14:paraId="048384B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清洗剂</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5DC4513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0.08</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1292" w:type="dxa"/>
                  <w:vMerge w:val="continue"/>
                  <w:tcBorders>
                    <w:top w:val="single" w:color="auto" w:sz="4" w:space="0"/>
                    <w:left w:val="single" w:color="auto" w:sz="4" w:space="0"/>
                    <w:bottom w:val="single" w:color="auto" w:sz="4" w:space="0"/>
                    <w:right w:val="single" w:color="auto" w:sz="4" w:space="0"/>
                  </w:tcBorders>
                  <w:noWrap w:val="0"/>
                  <w:vAlign w:val="center"/>
                </w:tcPr>
                <w:p w14:paraId="04DC8623">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14:paraId="4CA9DAE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无组织排放</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2770F0A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0.024 </w:t>
                  </w:r>
                </w:p>
              </w:tc>
            </w:tr>
            <w:tr w14:paraId="4268A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1512" w:type="dxa"/>
                  <w:tcBorders>
                    <w:top w:val="single" w:color="auto" w:sz="4" w:space="0"/>
                    <w:left w:val="single" w:color="auto" w:sz="4" w:space="0"/>
                    <w:bottom w:val="single" w:color="auto" w:sz="4" w:space="0"/>
                    <w:right w:val="single" w:color="auto" w:sz="4" w:space="0"/>
                  </w:tcBorders>
                  <w:noWrap w:val="0"/>
                  <w:vAlign w:val="center"/>
                </w:tcPr>
                <w:p w14:paraId="0F785C5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796BE4F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020" w:type="dxa"/>
                  <w:gridSpan w:val="2"/>
                  <w:tcBorders>
                    <w:top w:val="single" w:color="auto" w:sz="4" w:space="0"/>
                    <w:left w:val="single" w:color="auto" w:sz="4" w:space="0"/>
                    <w:bottom w:val="single" w:color="auto" w:sz="4" w:space="0"/>
                    <w:right w:val="single" w:color="auto" w:sz="4" w:space="0"/>
                  </w:tcBorders>
                  <w:noWrap w:val="0"/>
                  <w:vAlign w:val="center"/>
                </w:tcPr>
                <w:p w14:paraId="2701F94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漆渣</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1B958B1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2.181 </w:t>
                  </w:r>
                </w:p>
              </w:tc>
            </w:tr>
            <w:tr w14:paraId="6E150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1512" w:type="dxa"/>
                  <w:tcBorders>
                    <w:top w:val="single" w:color="auto" w:sz="4" w:space="0"/>
                    <w:left w:val="single" w:color="auto" w:sz="4" w:space="0"/>
                    <w:bottom w:val="single" w:color="auto" w:sz="4" w:space="0"/>
                    <w:right w:val="single" w:color="auto" w:sz="4" w:space="0"/>
                  </w:tcBorders>
                  <w:noWrap w:val="0"/>
                  <w:vAlign w:val="center"/>
                </w:tcPr>
                <w:p w14:paraId="749E0F1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44C66D5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020" w:type="dxa"/>
                  <w:gridSpan w:val="2"/>
                  <w:tcBorders>
                    <w:top w:val="single" w:color="auto" w:sz="4" w:space="0"/>
                    <w:left w:val="single" w:color="auto" w:sz="4" w:space="0"/>
                    <w:bottom w:val="single" w:color="auto" w:sz="4" w:space="0"/>
                    <w:right w:val="single" w:color="auto" w:sz="4" w:space="0"/>
                  </w:tcBorders>
                  <w:noWrap w:val="0"/>
                  <w:vAlign w:val="center"/>
                </w:tcPr>
                <w:p w14:paraId="0AAF48E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喷枪清洗废液</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132C44E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0.042 </w:t>
                  </w:r>
                </w:p>
              </w:tc>
            </w:tr>
            <w:tr w14:paraId="10308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1512" w:type="dxa"/>
                  <w:tcBorders>
                    <w:top w:val="single" w:color="auto" w:sz="4" w:space="0"/>
                    <w:left w:val="single" w:color="auto" w:sz="4" w:space="0"/>
                    <w:bottom w:val="single" w:color="auto" w:sz="4" w:space="0"/>
                    <w:right w:val="single" w:color="auto" w:sz="4" w:space="0"/>
                  </w:tcBorders>
                  <w:noWrap w:val="0"/>
                  <w:vAlign w:val="center"/>
                </w:tcPr>
                <w:p w14:paraId="3BCECCA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5E2C23A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020" w:type="dxa"/>
                  <w:gridSpan w:val="2"/>
                  <w:tcBorders>
                    <w:top w:val="single" w:color="auto" w:sz="4" w:space="0"/>
                    <w:left w:val="single" w:color="auto" w:sz="4" w:space="0"/>
                    <w:bottom w:val="single" w:color="auto" w:sz="4" w:space="0"/>
                    <w:right w:val="single" w:color="auto" w:sz="4" w:space="0"/>
                  </w:tcBorders>
                  <w:noWrap w:val="0"/>
                  <w:vAlign w:val="center"/>
                </w:tcPr>
                <w:p w14:paraId="16D4F2F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废粉末涂料</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628B967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3.593 </w:t>
                  </w:r>
                </w:p>
              </w:tc>
            </w:tr>
            <w:tr w14:paraId="2D651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1512" w:type="dxa"/>
                  <w:tcBorders>
                    <w:top w:val="single" w:color="auto" w:sz="4" w:space="0"/>
                    <w:left w:val="single" w:color="auto" w:sz="4" w:space="0"/>
                    <w:bottom w:val="single" w:color="auto" w:sz="4" w:space="0"/>
                    <w:right w:val="single" w:color="auto" w:sz="4" w:space="0"/>
                  </w:tcBorders>
                  <w:noWrap w:val="0"/>
                  <w:vAlign w:val="center"/>
                </w:tcPr>
                <w:p w14:paraId="37296CC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416AF12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020" w:type="dxa"/>
                  <w:gridSpan w:val="2"/>
                  <w:tcBorders>
                    <w:top w:val="single" w:color="auto" w:sz="4" w:space="0"/>
                    <w:left w:val="single" w:color="auto" w:sz="4" w:space="0"/>
                    <w:bottom w:val="single" w:color="auto" w:sz="4" w:space="0"/>
                    <w:right w:val="single" w:color="auto" w:sz="4" w:space="0"/>
                  </w:tcBorders>
                  <w:noWrap w:val="0"/>
                  <w:vAlign w:val="center"/>
                </w:tcPr>
                <w:p w14:paraId="7D67E85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粉末涂料无组织粉尘排放量</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7B26075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1.3024 </w:t>
                  </w:r>
                </w:p>
              </w:tc>
            </w:tr>
            <w:tr w14:paraId="39AEC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2" w:type="dxa"/>
                  <w:tcBorders>
                    <w:top w:val="single" w:color="auto" w:sz="4" w:space="0"/>
                    <w:left w:val="single" w:color="auto" w:sz="4" w:space="0"/>
                    <w:bottom w:val="single" w:color="auto" w:sz="4" w:space="0"/>
                    <w:right w:val="single" w:color="auto" w:sz="4" w:space="0"/>
                  </w:tcBorders>
                  <w:noWrap w:val="0"/>
                  <w:vAlign w:val="center"/>
                </w:tcPr>
                <w:p w14:paraId="4E9F0C2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合计</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759C2D1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119.487 </w:t>
                  </w:r>
                </w:p>
              </w:tc>
              <w:tc>
                <w:tcPr>
                  <w:tcW w:w="3020" w:type="dxa"/>
                  <w:gridSpan w:val="2"/>
                  <w:tcBorders>
                    <w:top w:val="single" w:color="auto" w:sz="4" w:space="0"/>
                    <w:left w:val="single" w:color="auto" w:sz="4" w:space="0"/>
                    <w:bottom w:val="single" w:color="auto" w:sz="4" w:space="0"/>
                    <w:right w:val="single" w:color="auto" w:sz="4" w:space="0"/>
                  </w:tcBorders>
                  <w:noWrap w:val="0"/>
                  <w:vAlign w:val="center"/>
                </w:tcPr>
                <w:p w14:paraId="54F9241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合计</w:t>
                  </w:r>
                </w:p>
              </w:tc>
              <w:tc>
                <w:tcPr>
                  <w:tcW w:w="1851" w:type="dxa"/>
                  <w:tcBorders>
                    <w:top w:val="single" w:color="auto" w:sz="4" w:space="0"/>
                    <w:left w:val="single" w:color="auto" w:sz="4" w:space="0"/>
                    <w:bottom w:val="single" w:color="auto" w:sz="4" w:space="0"/>
                    <w:right w:val="single" w:color="auto" w:sz="4" w:space="0"/>
                  </w:tcBorders>
                  <w:noWrap w:val="0"/>
                  <w:vAlign w:val="center"/>
                </w:tcPr>
                <w:p w14:paraId="70113C7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119.487 </w:t>
                  </w:r>
                </w:p>
              </w:tc>
            </w:tr>
          </w:tbl>
          <w:p w14:paraId="51A694B9">
            <w:pPr>
              <w:widowControl/>
              <w:kinsoku/>
              <w:autoSpaceDE/>
              <w:autoSpaceDN/>
              <w:adjustRightInd/>
              <w:snapToGrid/>
              <w:spacing w:line="360" w:lineRule="auto"/>
              <w:ind w:firstLine="478" w:firstLineChars="200"/>
              <w:jc w:val="left"/>
              <w:textAlignment w:val="auto"/>
              <w:rPr>
                <w:rFonts w:hint="default" w:ascii="Times New Roman" w:hAnsi="Times New Roman" w:eastAsia="宋体" w:cs="Times New Roman"/>
                <w:b/>
                <w:bCs/>
                <w:color w:val="000000" w:themeColor="text1"/>
                <w:spacing w:val="-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pacing w:val="-1"/>
                <w:sz w:val="24"/>
                <w:szCs w:val="24"/>
                <w:highlight w:val="none"/>
                <w14:textFill>
                  <w14:solidFill>
                    <w14:schemeClr w14:val="tx1"/>
                  </w14:solidFill>
                </w14:textFill>
              </w:rPr>
              <w:t>（</w:t>
            </w:r>
            <w:r>
              <w:rPr>
                <w:rFonts w:hint="eastAsia" w:ascii="Times New Roman" w:hAnsi="Times New Roman" w:eastAsia="宋体" w:cs="Times New Roman"/>
                <w:b/>
                <w:bCs/>
                <w:color w:val="000000" w:themeColor="text1"/>
                <w:spacing w:val="-1"/>
                <w:sz w:val="24"/>
                <w:szCs w:val="24"/>
                <w:highlight w:val="none"/>
                <w:lang w:val="en-US" w:eastAsia="zh-CN"/>
                <w14:textFill>
                  <w14:solidFill>
                    <w14:schemeClr w14:val="tx1"/>
                  </w14:solidFill>
                </w14:textFill>
              </w:rPr>
              <w:t>6</w:t>
            </w:r>
            <w:r>
              <w:rPr>
                <w:rFonts w:hint="default" w:ascii="Times New Roman" w:hAnsi="Times New Roman" w:eastAsia="宋体" w:cs="Times New Roman"/>
                <w:b/>
                <w:bCs/>
                <w:color w:val="000000" w:themeColor="text1"/>
                <w:spacing w:val="-1"/>
                <w:sz w:val="24"/>
                <w:szCs w:val="24"/>
                <w:highlight w:val="none"/>
                <w14:textFill>
                  <w14:solidFill>
                    <w14:schemeClr w14:val="tx1"/>
                  </w14:solidFill>
                </w14:textFill>
              </w:rPr>
              <w:t>）通风系统</w:t>
            </w:r>
          </w:p>
          <w:p w14:paraId="149DFEA2">
            <w:pPr>
              <w:widowControl/>
              <w:kinsoku/>
              <w:autoSpaceDE/>
              <w:autoSpaceDN/>
              <w:adjustRightInd/>
              <w:snapToGrid/>
              <w:spacing w:line="360" w:lineRule="auto"/>
              <w:ind w:firstLine="476" w:firstLineChars="200"/>
              <w:jc w:val="left"/>
              <w:textAlignment w:val="auto"/>
              <w:rPr>
                <w:rFonts w:hint="default" w:ascii="Times New Roman" w:hAnsi="Times New Roman" w:eastAsia="宋体" w:cs="Times New Roman"/>
                <w:color w:val="000000" w:themeColor="text1"/>
                <w:spacing w:val="-1"/>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本项目主要采用自然通风或设置抽排风机进行通风，不设中央空调。</w:t>
            </w:r>
          </w:p>
          <w:p w14:paraId="69215F80">
            <w:pPr>
              <w:widowControl/>
              <w:kinsoku/>
              <w:autoSpaceDE/>
              <w:autoSpaceDN/>
              <w:adjustRightInd/>
              <w:snapToGrid/>
              <w:spacing w:line="360" w:lineRule="auto"/>
              <w:ind w:firstLine="478" w:firstLineChars="200"/>
              <w:jc w:val="left"/>
              <w:textAlignment w:val="auto"/>
              <w:rPr>
                <w:rFonts w:hint="default" w:ascii="Times New Roman" w:hAnsi="Times New Roman" w:eastAsia="宋体" w:cs="Times New Roman"/>
                <w:b/>
                <w:bCs/>
                <w:color w:val="000000" w:themeColor="text1"/>
                <w:spacing w:val="-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1"/>
                <w:sz w:val="24"/>
                <w:szCs w:val="24"/>
                <w:highlight w:val="none"/>
                <w:lang w:val="en-US" w:eastAsia="zh-CN"/>
                <w14:textFill>
                  <w14:solidFill>
                    <w14:schemeClr w14:val="tx1"/>
                  </w14:solidFill>
                </w14:textFill>
              </w:rPr>
              <w:t>7、环保投资</w:t>
            </w:r>
          </w:p>
          <w:p w14:paraId="4E00FAE0">
            <w:pPr>
              <w:widowControl/>
              <w:kinsoku/>
              <w:autoSpaceDE/>
              <w:autoSpaceDN/>
              <w:adjustRightInd/>
              <w:snapToGrid/>
              <w:spacing w:line="360" w:lineRule="auto"/>
              <w:ind w:firstLine="476" w:firstLineChars="200"/>
              <w:jc w:val="left"/>
              <w:textAlignment w:val="auto"/>
              <w:rPr>
                <w:rFonts w:hint="default"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本项目所需落实的污染防治措施的投资估算如下表所示。</w:t>
            </w:r>
          </w:p>
          <w:p w14:paraId="65C57433">
            <w:pPr>
              <w:pageBreakBefore w:val="0"/>
              <w:widowControl w:val="0"/>
              <w:numPr>
                <w:ilvl w:val="0"/>
                <w:numId w:val="10"/>
              </w:numPr>
              <w:wordWrap w:val="0"/>
              <w:overflowPunct/>
              <w:bidi w:val="0"/>
              <w:spacing w:line="240" w:lineRule="auto"/>
              <w:ind w:left="0" w:leftChars="0" w:firstLine="40" w:firstLineChars="0"/>
              <w:jc w:val="center"/>
              <w:rPr>
                <w:rFonts w:hint="default" w:ascii="Times New Roman" w:hAnsi="Times New Roman" w:cs="Times New Roman"/>
                <w:b w:val="0"/>
                <w:bCs w:val="0"/>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环保投资估算一览表</w:t>
            </w:r>
          </w:p>
          <w:tbl>
            <w:tblPr>
              <w:tblStyle w:val="4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542"/>
              <w:gridCol w:w="4476"/>
              <w:gridCol w:w="1755"/>
            </w:tblGrid>
            <w:tr w14:paraId="56DA8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2" w:type="pct"/>
                  <w:noWrap w:val="0"/>
                  <w:vAlign w:val="center"/>
                </w:tcPr>
                <w:p w14:paraId="26F85B19">
                  <w:pPr>
                    <w:widowControl w:val="0"/>
                    <w:kinsoku/>
                    <w:autoSpaceDE w:val="0"/>
                    <w:autoSpaceDN w:val="0"/>
                    <w:adjustRightInd w:val="0"/>
                    <w:snapToGrid/>
                    <w:spacing w:line="240" w:lineRule="auto"/>
                    <w:jc w:val="center"/>
                    <w:textAlignment w:val="auto"/>
                    <w:rPr>
                      <w:rFonts w:hint="default" w:ascii="Times New Roman" w:hAnsi="Times New Roman" w:cs="Times New Roman"/>
                      <w:b/>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vertAlign w:val="baseline"/>
                      <w:lang w:val="en-US" w:eastAsia="zh-CN"/>
                      <w14:textFill>
                        <w14:solidFill>
                          <w14:schemeClr w14:val="tx1"/>
                        </w14:solidFill>
                      </w14:textFill>
                    </w:rPr>
                    <w:t>序号</w:t>
                  </w:r>
                </w:p>
              </w:tc>
              <w:tc>
                <w:tcPr>
                  <w:tcW w:w="906" w:type="pct"/>
                  <w:noWrap w:val="0"/>
                  <w:vAlign w:val="center"/>
                </w:tcPr>
                <w:p w14:paraId="1BADF5EC">
                  <w:pPr>
                    <w:widowControl w:val="0"/>
                    <w:kinsoku/>
                    <w:autoSpaceDE w:val="0"/>
                    <w:autoSpaceDN w:val="0"/>
                    <w:adjustRightInd w:val="0"/>
                    <w:snapToGrid/>
                    <w:spacing w:line="240" w:lineRule="auto"/>
                    <w:jc w:val="center"/>
                    <w:textAlignment w:val="auto"/>
                    <w:rPr>
                      <w:rFonts w:hint="default" w:ascii="Times New Roman" w:hAnsi="Times New Roman" w:cs="Times New Roman"/>
                      <w:b/>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vertAlign w:val="baseline"/>
                      <w:lang w:val="en-US" w:eastAsia="zh-CN"/>
                      <w14:textFill>
                        <w14:solidFill>
                          <w14:schemeClr w14:val="tx1"/>
                        </w14:solidFill>
                      </w14:textFill>
                    </w:rPr>
                    <w:t>环保项目</w:t>
                  </w:r>
                </w:p>
              </w:tc>
              <w:tc>
                <w:tcPr>
                  <w:tcW w:w="2629" w:type="pct"/>
                  <w:noWrap w:val="0"/>
                  <w:vAlign w:val="center"/>
                </w:tcPr>
                <w:p w14:paraId="3A593812">
                  <w:pPr>
                    <w:widowControl w:val="0"/>
                    <w:kinsoku/>
                    <w:autoSpaceDE w:val="0"/>
                    <w:autoSpaceDN w:val="0"/>
                    <w:adjustRightInd w:val="0"/>
                    <w:snapToGrid/>
                    <w:spacing w:line="240" w:lineRule="auto"/>
                    <w:jc w:val="center"/>
                    <w:textAlignment w:val="auto"/>
                    <w:rPr>
                      <w:rFonts w:hint="default" w:ascii="Times New Roman" w:hAnsi="Times New Roman" w:cs="Times New Roman"/>
                      <w:b/>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vertAlign w:val="baseline"/>
                      <w:lang w:val="en-US" w:eastAsia="zh-CN"/>
                      <w14:textFill>
                        <w14:solidFill>
                          <w14:schemeClr w14:val="tx1"/>
                        </w14:solidFill>
                      </w14:textFill>
                    </w:rPr>
                    <w:t>主要内容</w:t>
                  </w:r>
                </w:p>
              </w:tc>
              <w:tc>
                <w:tcPr>
                  <w:tcW w:w="1031" w:type="pct"/>
                  <w:noWrap w:val="0"/>
                  <w:vAlign w:val="center"/>
                </w:tcPr>
                <w:p w14:paraId="5ECE915C">
                  <w:pPr>
                    <w:widowControl w:val="0"/>
                    <w:kinsoku/>
                    <w:autoSpaceDE w:val="0"/>
                    <w:autoSpaceDN w:val="0"/>
                    <w:adjustRightInd w:val="0"/>
                    <w:snapToGrid/>
                    <w:spacing w:line="240" w:lineRule="auto"/>
                    <w:jc w:val="center"/>
                    <w:textAlignment w:val="auto"/>
                    <w:rPr>
                      <w:rFonts w:hint="default" w:ascii="Times New Roman" w:hAnsi="Times New Roman" w:cs="Times New Roman"/>
                      <w:b/>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vertAlign w:val="baseline"/>
                      <w:lang w:val="en-US" w:eastAsia="zh-CN"/>
                      <w14:textFill>
                        <w14:solidFill>
                          <w14:schemeClr w14:val="tx1"/>
                        </w14:solidFill>
                      </w14:textFill>
                    </w:rPr>
                    <w:t>投资额（万元）</w:t>
                  </w:r>
                </w:p>
              </w:tc>
            </w:tr>
            <w:tr w14:paraId="3654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2" w:type="pct"/>
                  <w:noWrap w:val="0"/>
                  <w:vAlign w:val="center"/>
                </w:tcPr>
                <w:p w14:paraId="21BD5E42">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1</w:t>
                  </w:r>
                </w:p>
              </w:tc>
              <w:tc>
                <w:tcPr>
                  <w:tcW w:w="906" w:type="pct"/>
                  <w:noWrap w:val="0"/>
                  <w:vAlign w:val="center"/>
                </w:tcPr>
                <w:p w14:paraId="3F1AD00C">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废气治理</w:t>
                  </w:r>
                </w:p>
              </w:tc>
              <w:tc>
                <w:tcPr>
                  <w:tcW w:w="2629" w:type="pct"/>
                  <w:noWrap w:val="0"/>
                  <w:vAlign w:val="center"/>
                </w:tcPr>
                <w:p w14:paraId="51F4C7CD">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配套废气收集设施</w:t>
                  </w:r>
                  <w:r>
                    <w:rPr>
                      <w:rFonts w:hint="eastAsia"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和排气筒等</w:t>
                  </w:r>
                  <w:r>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w:t>
                  </w:r>
                </w:p>
              </w:tc>
              <w:tc>
                <w:tcPr>
                  <w:tcW w:w="1031" w:type="pct"/>
                  <w:noWrap w:val="0"/>
                  <w:vAlign w:val="center"/>
                </w:tcPr>
                <w:p w14:paraId="13C759AA">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pPr>
                  <w:r>
                    <w:rPr>
                      <w:rFonts w:hint="eastAsia" w:cs="Times New Roman"/>
                      <w:snapToGrid/>
                      <w:color w:val="000000" w:themeColor="text1"/>
                      <w:kern w:val="0"/>
                      <w:sz w:val="21"/>
                      <w:szCs w:val="21"/>
                      <w:highlight w:val="none"/>
                      <w:lang w:val="en-US" w:eastAsia="zh-CN"/>
                      <w14:textFill>
                        <w14:solidFill>
                          <w14:schemeClr w14:val="tx1"/>
                        </w14:solidFill>
                      </w14:textFill>
                    </w:rPr>
                    <w:t>2</w:t>
                  </w:r>
                  <w:r>
                    <w:rPr>
                      <w:rFonts w:hint="eastAsia"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0</w:t>
                  </w:r>
                  <w:r>
                    <w:rPr>
                      <w:rFonts w:hint="eastAsia" w:cs="Times New Roman"/>
                      <w:snapToGrid/>
                      <w:color w:val="000000" w:themeColor="text1"/>
                      <w:kern w:val="0"/>
                      <w:sz w:val="21"/>
                      <w:szCs w:val="21"/>
                      <w:highlight w:val="none"/>
                      <w:lang w:val="en-US" w:eastAsia="zh-CN"/>
                      <w14:textFill>
                        <w14:solidFill>
                          <w14:schemeClr w14:val="tx1"/>
                        </w14:solidFill>
                      </w14:textFill>
                    </w:rPr>
                    <w:t>5</w:t>
                  </w:r>
                </w:p>
              </w:tc>
            </w:tr>
            <w:tr w14:paraId="0A217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2" w:type="pct"/>
                  <w:noWrap w:val="0"/>
                  <w:vAlign w:val="center"/>
                </w:tcPr>
                <w:p w14:paraId="36F76C4C">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2</w:t>
                  </w:r>
                </w:p>
              </w:tc>
              <w:tc>
                <w:tcPr>
                  <w:tcW w:w="906" w:type="pct"/>
                  <w:noWrap w:val="0"/>
                  <w:vAlign w:val="center"/>
                </w:tcPr>
                <w:p w14:paraId="0907172C">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废水治理</w:t>
                  </w:r>
                </w:p>
              </w:tc>
              <w:tc>
                <w:tcPr>
                  <w:tcW w:w="2629" w:type="pct"/>
                  <w:noWrap w:val="0"/>
                  <w:vAlign w:val="center"/>
                </w:tcPr>
                <w:p w14:paraId="635ABAEB">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铺设污水接驳管道</w:t>
                  </w:r>
                  <w:r>
                    <w:rPr>
                      <w:rFonts w:hint="eastAsia"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、废水处理设施</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（三级化粪池+隔油隔渣池</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自建污水处理站</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工艺为“</w:t>
                  </w:r>
                  <w:r>
                    <w:rPr>
                      <w:rFonts w:hint="eastAsia" w:cs="Times New Roman"/>
                      <w:color w:val="000000" w:themeColor="text1"/>
                      <w:kern w:val="2"/>
                      <w:sz w:val="21"/>
                      <w:szCs w:val="21"/>
                      <w:highlight w:val="none"/>
                      <w:lang w:val="en-US" w:eastAsia="zh-CN" w:bidi="ar-SA"/>
                      <w14:textFill>
                        <w14:solidFill>
                          <w14:schemeClr w14:val="tx1"/>
                        </w14:solidFill>
                      </w14:textFill>
                    </w:rPr>
                    <w:t>中和调节+混凝沉淀+气浮+化学除氟</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w:t>
                  </w:r>
                  <w:r>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w:t>
                  </w:r>
                </w:p>
              </w:tc>
              <w:tc>
                <w:tcPr>
                  <w:tcW w:w="1031" w:type="pct"/>
                  <w:noWrap w:val="0"/>
                  <w:vAlign w:val="center"/>
                </w:tcPr>
                <w:p w14:paraId="09ECCCB7">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60</w:t>
                  </w:r>
                </w:p>
              </w:tc>
            </w:tr>
            <w:tr w14:paraId="21FA3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2" w:type="pct"/>
                  <w:noWrap w:val="0"/>
                  <w:vAlign w:val="center"/>
                </w:tcPr>
                <w:p w14:paraId="1A4596DC">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3</w:t>
                  </w:r>
                </w:p>
              </w:tc>
              <w:tc>
                <w:tcPr>
                  <w:tcW w:w="906" w:type="pct"/>
                  <w:noWrap w:val="0"/>
                  <w:vAlign w:val="center"/>
                </w:tcPr>
                <w:p w14:paraId="084E13D9">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噪声治理</w:t>
                  </w:r>
                </w:p>
              </w:tc>
              <w:tc>
                <w:tcPr>
                  <w:tcW w:w="2629" w:type="pct"/>
                  <w:noWrap w:val="0"/>
                  <w:vAlign w:val="center"/>
                </w:tcPr>
                <w:p w14:paraId="7C6BD15C">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高噪声设备配套减振、隔音、消声装置。</w:t>
                  </w:r>
                </w:p>
              </w:tc>
              <w:tc>
                <w:tcPr>
                  <w:tcW w:w="1031" w:type="pct"/>
                  <w:noWrap w:val="0"/>
                  <w:vAlign w:val="center"/>
                </w:tcPr>
                <w:p w14:paraId="0B84E92A">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10</w:t>
                  </w:r>
                </w:p>
              </w:tc>
            </w:tr>
            <w:tr w14:paraId="3FB6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2" w:type="pct"/>
                  <w:noWrap w:val="0"/>
                  <w:vAlign w:val="center"/>
                </w:tcPr>
                <w:p w14:paraId="20B18155">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4</w:t>
                  </w:r>
                </w:p>
              </w:tc>
              <w:tc>
                <w:tcPr>
                  <w:tcW w:w="906" w:type="pct"/>
                  <w:noWrap w:val="0"/>
                  <w:vAlign w:val="center"/>
                </w:tcPr>
                <w:p w14:paraId="4F449E87">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固体废物处理</w:t>
                  </w:r>
                </w:p>
              </w:tc>
              <w:tc>
                <w:tcPr>
                  <w:tcW w:w="2629" w:type="pct"/>
                  <w:noWrap w:val="0"/>
                  <w:vAlign w:val="center"/>
                </w:tcPr>
                <w:p w14:paraId="11B26660">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建设一般工业固体废物、危险废物贮存间</w:t>
                  </w:r>
                  <w:r>
                    <w:rPr>
                      <w:rFonts w:hint="eastAsia"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和处置费</w:t>
                  </w:r>
                  <w:r>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w:t>
                  </w:r>
                </w:p>
              </w:tc>
              <w:tc>
                <w:tcPr>
                  <w:tcW w:w="1031" w:type="pct"/>
                  <w:noWrap w:val="0"/>
                  <w:vAlign w:val="center"/>
                </w:tcPr>
                <w:p w14:paraId="4E6ABA7D">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20</w:t>
                  </w:r>
                </w:p>
              </w:tc>
            </w:tr>
            <w:tr w14:paraId="3CE29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2" w:type="pct"/>
                  <w:noWrap w:val="0"/>
                  <w:vAlign w:val="center"/>
                </w:tcPr>
                <w:p w14:paraId="042AC3AB">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pPr>
                  <w:r>
                    <w:rPr>
                      <w:rFonts w:hint="eastAsia" w:cs="Times New Roman"/>
                      <w:snapToGrid/>
                      <w:color w:val="000000" w:themeColor="text1"/>
                      <w:kern w:val="0"/>
                      <w:sz w:val="21"/>
                      <w:szCs w:val="21"/>
                      <w:highlight w:val="none"/>
                      <w:lang w:val="en-US" w:eastAsia="zh-CN"/>
                      <w14:textFill>
                        <w14:solidFill>
                          <w14:schemeClr w14:val="tx1"/>
                        </w14:solidFill>
                      </w14:textFill>
                    </w:rPr>
                    <w:t>5</w:t>
                  </w:r>
                </w:p>
              </w:tc>
              <w:tc>
                <w:tcPr>
                  <w:tcW w:w="906" w:type="pct"/>
                  <w:noWrap w:val="0"/>
                  <w:vAlign w:val="center"/>
                </w:tcPr>
                <w:p w14:paraId="16AE37BB">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pPr>
                  <w:r>
                    <w:rPr>
                      <w:rFonts w:hint="eastAsia" w:cs="Times New Roman"/>
                      <w:snapToGrid/>
                      <w:color w:val="000000" w:themeColor="text1"/>
                      <w:kern w:val="0"/>
                      <w:sz w:val="21"/>
                      <w:szCs w:val="21"/>
                      <w:highlight w:val="none"/>
                      <w:lang w:val="en-US" w:eastAsia="zh-CN"/>
                      <w14:textFill>
                        <w14:solidFill>
                          <w14:schemeClr w14:val="tx1"/>
                        </w14:solidFill>
                      </w14:textFill>
                    </w:rPr>
                    <w:t>环境风险</w:t>
                  </w:r>
                </w:p>
              </w:tc>
              <w:tc>
                <w:tcPr>
                  <w:tcW w:w="2629" w:type="pct"/>
                  <w:noWrap w:val="0"/>
                  <w:vAlign w:val="center"/>
                </w:tcPr>
                <w:p w14:paraId="7DC1779D">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pPr>
                  <w:r>
                    <w:rPr>
                      <w:rFonts w:hint="eastAsia" w:cs="Times New Roman"/>
                      <w:snapToGrid/>
                      <w:color w:val="000000" w:themeColor="text1"/>
                      <w:kern w:val="0"/>
                      <w:sz w:val="21"/>
                      <w:szCs w:val="21"/>
                      <w:highlight w:val="none"/>
                      <w:lang w:val="en-US" w:eastAsia="zh-CN"/>
                      <w14:textFill>
                        <w14:solidFill>
                          <w14:schemeClr w14:val="tx1"/>
                        </w14:solidFill>
                      </w14:textFill>
                    </w:rPr>
                    <w:t>应急池</w:t>
                  </w:r>
                </w:p>
              </w:tc>
              <w:tc>
                <w:tcPr>
                  <w:tcW w:w="1031" w:type="pct"/>
                  <w:noWrap w:val="0"/>
                  <w:vAlign w:val="center"/>
                </w:tcPr>
                <w:p w14:paraId="444C44F1">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pPr>
                  <w:r>
                    <w:rPr>
                      <w:rFonts w:hint="eastAsia" w:cs="Times New Roman"/>
                      <w:snapToGrid/>
                      <w:color w:val="000000" w:themeColor="text1"/>
                      <w:kern w:val="0"/>
                      <w:sz w:val="21"/>
                      <w:szCs w:val="21"/>
                      <w:highlight w:val="none"/>
                      <w:lang w:val="en-US" w:eastAsia="zh-CN"/>
                      <w14:textFill>
                        <w14:solidFill>
                          <w14:schemeClr w14:val="tx1"/>
                        </w14:solidFill>
                      </w14:textFill>
                    </w:rPr>
                    <w:t>5</w:t>
                  </w:r>
                </w:p>
              </w:tc>
            </w:tr>
            <w:tr w14:paraId="7751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968" w:type="pct"/>
                  <w:gridSpan w:val="3"/>
                  <w:noWrap w:val="0"/>
                  <w:vAlign w:val="center"/>
                </w:tcPr>
                <w:p w14:paraId="157738A8">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合计</w:t>
                  </w:r>
                </w:p>
              </w:tc>
              <w:tc>
                <w:tcPr>
                  <w:tcW w:w="1031" w:type="pct"/>
                  <w:noWrap w:val="0"/>
                  <w:vAlign w:val="center"/>
                </w:tcPr>
                <w:p w14:paraId="7A271A79">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pPr>
                  <w:r>
                    <w:rPr>
                      <w:rFonts w:hint="eastAsia" w:cs="Times New Roman"/>
                      <w:snapToGrid/>
                      <w:color w:val="000000" w:themeColor="text1"/>
                      <w:kern w:val="0"/>
                      <w:sz w:val="21"/>
                      <w:szCs w:val="21"/>
                      <w:highlight w:val="none"/>
                      <w:lang w:val="en-US" w:eastAsia="zh-CN"/>
                      <w14:textFill>
                        <w14:solidFill>
                          <w14:schemeClr w14:val="tx1"/>
                        </w14:solidFill>
                      </w14:textFill>
                    </w:rPr>
                    <w:t>3</w:t>
                  </w:r>
                  <w:r>
                    <w:rPr>
                      <w:rFonts w:hint="default" w:ascii="Times New Roman" w:hAnsi="Times New Roman" w:eastAsia="宋体" w:cs="Times New Roman"/>
                      <w:snapToGrid/>
                      <w:color w:val="000000" w:themeColor="text1"/>
                      <w:kern w:val="0"/>
                      <w:sz w:val="21"/>
                      <w:szCs w:val="21"/>
                      <w:highlight w:val="none"/>
                      <w:lang w:val="en-US" w:eastAsia="zh-CN"/>
                      <w14:textFill>
                        <w14:solidFill>
                          <w14:schemeClr w14:val="tx1"/>
                        </w14:solidFill>
                      </w14:textFill>
                    </w:rPr>
                    <w:t>00</w:t>
                  </w:r>
                </w:p>
              </w:tc>
            </w:tr>
          </w:tbl>
          <w:p w14:paraId="2FC090B3">
            <w:pPr>
              <w:keepNext w:val="0"/>
              <w:keepLines w:val="0"/>
              <w:pageBreakBefore w:val="0"/>
              <w:widowControl/>
              <w:kinsoku/>
              <w:wordWrap/>
              <w:overflowPunct/>
              <w:topLinePunct w:val="0"/>
              <w:autoSpaceDE/>
              <w:autoSpaceDN/>
              <w:bidi w:val="0"/>
              <w:adjustRightInd/>
              <w:snapToGrid/>
              <w:spacing w:line="100" w:lineRule="exact"/>
              <w:ind w:firstLine="478" w:firstLineChars="200"/>
              <w:jc w:val="left"/>
              <w:textAlignment w:val="auto"/>
              <w:rPr>
                <w:rFonts w:hint="default" w:ascii="Times New Roman" w:hAnsi="Times New Roman" w:eastAsia="宋体" w:cs="Times New Roman"/>
                <w:b/>
                <w:bCs/>
                <w:color w:val="000000" w:themeColor="text1"/>
                <w:spacing w:val="-1"/>
                <w:sz w:val="24"/>
                <w:szCs w:val="24"/>
                <w:highlight w:val="none"/>
                <w14:textFill>
                  <w14:solidFill>
                    <w14:schemeClr w14:val="tx1"/>
                  </w14:solidFill>
                </w14:textFill>
              </w:rPr>
            </w:pPr>
          </w:p>
          <w:p w14:paraId="0ED6DA56">
            <w:pPr>
              <w:widowControl/>
              <w:kinsoku/>
              <w:autoSpaceDE/>
              <w:autoSpaceDN/>
              <w:adjustRightInd/>
              <w:snapToGrid/>
              <w:spacing w:line="360" w:lineRule="auto"/>
              <w:ind w:firstLine="476" w:firstLineChars="200"/>
              <w:jc w:val="left"/>
              <w:textAlignment w:val="auto"/>
              <w:rPr>
                <w:rFonts w:hint="default" w:ascii="Times New Roman" w:hAnsi="Times New Roman" w:eastAsia="宋体" w:cs="Times New Roman"/>
                <w:color w:val="000000" w:themeColor="text1"/>
                <w:spacing w:val="-1"/>
                <w:sz w:val="24"/>
                <w:szCs w:val="24"/>
                <w:highlight w:val="none"/>
                <w14:textFill>
                  <w14:solidFill>
                    <w14:schemeClr w14:val="tx1"/>
                  </w14:solidFill>
                </w14:textFill>
              </w:rPr>
            </w:pPr>
            <w:r>
              <w:rPr>
                <w:rFonts w:hint="eastAsia"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三</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w:t>
            </w:r>
            <w:r>
              <w:rPr>
                <w:rFonts w:hint="default" w:ascii="Times New Roman" w:hAnsi="Times New Roman" w:cs="Times New Roman"/>
                <w:b/>
                <w:bCs/>
                <w:color w:val="000000" w:themeColor="text1"/>
                <w:kern w:val="2"/>
                <w:sz w:val="24"/>
                <w:szCs w:val="24"/>
                <w:highlight w:val="none"/>
                <w14:textFill>
                  <w14:solidFill>
                    <w14:schemeClr w14:val="tx1"/>
                  </w14:solidFill>
                </w14:textFill>
              </w:rPr>
              <w:t>厂区平面布置及四至情况</w:t>
            </w:r>
          </w:p>
          <w:p w14:paraId="0A5D8920">
            <w:pPr>
              <w:widowControl/>
              <w:kinsoku/>
              <w:autoSpaceDE/>
              <w:autoSpaceDN/>
              <w:adjustRightInd/>
              <w:snapToGrid/>
              <w:spacing w:line="360" w:lineRule="auto"/>
              <w:ind w:firstLine="476" w:firstLineChars="200"/>
              <w:jc w:val="left"/>
              <w:textAlignment w:val="auto"/>
              <w:rPr>
                <w:rFonts w:hint="default" w:ascii="Times New Roman" w:hAnsi="Times New Roman" w:eastAsia="宋体" w:cs="Times New Roman"/>
                <w:color w:val="000000" w:themeColor="text1"/>
                <w:spacing w:val="-1"/>
                <w:sz w:val="24"/>
                <w:szCs w:val="24"/>
                <w:highlight w:val="none"/>
                <w14:textFill>
                  <w14:solidFill>
                    <w14:schemeClr w14:val="tx1"/>
                  </w14:solidFill>
                </w14:textFill>
              </w:rPr>
            </w:pPr>
            <w:bookmarkStart w:id="10" w:name="_Toc15878"/>
            <w:bookmarkStart w:id="11" w:name="_Toc21623"/>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本项目位于</w:t>
            </w:r>
            <w:r>
              <w:rPr>
                <w:rFonts w:hint="eastAsia" w:ascii="Times New Roman" w:hAnsi="Times New Roman" w:eastAsia="宋体" w:cs="Times New Roman"/>
                <w:color w:val="000000" w:themeColor="text1"/>
                <w:spacing w:val="-1"/>
                <w:sz w:val="24"/>
                <w:szCs w:val="24"/>
                <w:highlight w:val="none"/>
                <w:lang w:eastAsia="zh-CN"/>
                <w14:textFill>
                  <w14:solidFill>
                    <w14:schemeClr w14:val="tx1"/>
                  </w14:solidFill>
                </w14:textFill>
              </w:rPr>
              <w:t>韶关市乐昌市乐昌经济开发区管理委员会后座046号</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。本项目东面为</w:t>
            </w:r>
            <w:r>
              <w:rPr>
                <w:rFonts w:hint="eastAsia"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平整空地，</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南面为</w:t>
            </w:r>
            <w:r>
              <w:rPr>
                <w:rFonts w:hint="default"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平整空地</w:t>
            </w:r>
            <w:r>
              <w:rPr>
                <w:rFonts w:hint="eastAsia" w:ascii="Times New Roman" w:hAnsi="Times New Roman" w:eastAsia="宋体" w:cs="Times New Roman"/>
                <w:color w:val="000000" w:themeColor="text1"/>
                <w:spacing w:val="-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西面</w:t>
            </w:r>
            <w:r>
              <w:rPr>
                <w:rFonts w:hint="default"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为平整空地</w:t>
            </w:r>
            <w:r>
              <w:rPr>
                <w:rFonts w:hint="eastAsia" w:ascii="Times New Roman" w:hAnsi="Times New Roman" w:eastAsia="宋体" w:cs="Times New Roman"/>
                <w:color w:val="000000" w:themeColor="text1"/>
                <w:spacing w:val="-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北面为</w:t>
            </w:r>
            <w:r>
              <w:rPr>
                <w:rFonts w:hint="default"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平整空地</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w:t>
            </w:r>
            <w:bookmarkEnd w:id="10"/>
            <w:bookmarkEnd w:id="11"/>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项目四至环境见附图2，周边环境现状实景见附图</w:t>
            </w:r>
            <w:r>
              <w:rPr>
                <w:rFonts w:hint="eastAsia"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3。</w:t>
            </w:r>
          </w:p>
          <w:p w14:paraId="79D024D8">
            <w:pPr>
              <w:spacing w:line="360" w:lineRule="auto"/>
              <w:ind w:firstLine="480" w:firstLineChars="200"/>
              <w:rPr>
                <w:rFonts w:ascii="黑体" w:hAnsi="黑体" w:eastAsia="黑体"/>
                <w:snapToGrid w:val="0"/>
                <w:color w:val="000000" w:themeColor="text1"/>
                <w:sz w:val="36"/>
                <w:szCs w:val="36"/>
                <w:highlight w:val="none"/>
                <w:vertAlign w:val="baseli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项目</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规划总</w:t>
            </w:r>
            <w:r>
              <w:rPr>
                <w:rFonts w:hint="default" w:ascii="Times New Roman" w:hAnsi="Times New Roman" w:eastAsia="宋体" w:cs="Times New Roman"/>
                <w:color w:val="000000" w:themeColor="text1"/>
                <w:sz w:val="24"/>
                <w:szCs w:val="24"/>
                <w:highlight w:val="none"/>
                <w14:textFill>
                  <w14:solidFill>
                    <w14:schemeClr w14:val="tx1"/>
                  </w14:solidFill>
                </w14:textFill>
              </w:rPr>
              <w:t>占地面积</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54139.29</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总</w:t>
            </w:r>
            <w:r>
              <w:rPr>
                <w:rFonts w:hint="default" w:ascii="Times New Roman" w:hAnsi="Times New Roman" w:eastAsia="宋体" w:cs="Times New Roman"/>
                <w:color w:val="000000" w:themeColor="text1"/>
                <w:sz w:val="24"/>
                <w:szCs w:val="24"/>
                <w:highlight w:val="none"/>
                <w14:textFill>
                  <w14:solidFill>
                    <w14:schemeClr w14:val="tx1"/>
                  </w14:solidFill>
                </w14:textFill>
              </w:rPr>
              <w:t>建筑面积</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43886.37</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主要包含5栋</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生产厂房（1#~</w:t>
            </w:r>
            <w:r>
              <w:rPr>
                <w:rFonts w:hint="eastAsia"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#厂房）</w:t>
            </w:r>
            <w:r>
              <w:rPr>
                <w:rFonts w:hint="eastAsia" w:ascii="Times New Roman" w:hAnsi="Times New Roman" w:eastAsia="宋体" w:cs="Times New Roman"/>
                <w:color w:val="000000" w:themeColor="text1"/>
                <w:spacing w:val="-1"/>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宿舍楼</w:t>
            </w:r>
            <w:r>
              <w:rPr>
                <w:rFonts w:hint="default" w:ascii="Times New Roman" w:hAnsi="Times New Roman" w:eastAsia="宋体" w:cs="Times New Roman"/>
                <w:color w:val="000000" w:themeColor="text1"/>
                <w:sz w:val="24"/>
                <w:szCs w:val="24"/>
                <w:highlight w:val="none"/>
                <w14:textFill>
                  <w14:solidFill>
                    <w14:schemeClr w14:val="tx1"/>
                  </w14:solidFill>
                </w14:textFill>
              </w:rPr>
              <w:t>1栋</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综合楼1栋及其他辅助设施</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。其中1#厂房主要划分为开料、冲压区以及车间通道；2#厂房主要划分为折弯成型区及车间通道；</w:t>
            </w:r>
            <w:r>
              <w:rPr>
                <w:rFonts w:hint="eastAsia"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#厂房</w:t>
            </w:r>
            <w:r>
              <w:rPr>
                <w:rFonts w:hint="eastAsia"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主要为焊接、抛光打磨</w:t>
            </w:r>
            <w:r>
              <w:rPr>
                <w:rFonts w:hint="eastAsia" w:cs="Times New Roman"/>
                <w:color w:val="000000" w:themeColor="text1"/>
                <w:spacing w:val="-1"/>
                <w:sz w:val="24"/>
                <w:szCs w:val="24"/>
                <w:highlight w:val="none"/>
                <w:lang w:val="en-US" w:eastAsia="zh-CN"/>
                <w14:textFill>
                  <w14:solidFill>
                    <w14:schemeClr w14:val="tx1"/>
                  </w14:solidFill>
                </w14:textFill>
              </w:rPr>
              <w:t>区</w:t>
            </w:r>
            <w:r>
              <w:rPr>
                <w:rFonts w:hint="eastAsia"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以及车间通道</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#厂房</w:t>
            </w:r>
            <w:r>
              <w:rPr>
                <w:rFonts w:hint="eastAsia"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主要为</w:t>
            </w:r>
            <w:r>
              <w:rPr>
                <w:rFonts w:hint="eastAsia" w:cs="Times New Roman"/>
                <w:color w:val="000000" w:themeColor="text1"/>
                <w:spacing w:val="-1"/>
                <w:sz w:val="24"/>
                <w:szCs w:val="24"/>
                <w:highlight w:val="none"/>
                <w:lang w:val="en-US" w:eastAsia="zh-CN"/>
                <w14:textFill>
                  <w14:solidFill>
                    <w14:schemeClr w14:val="tx1"/>
                  </w14:solidFill>
                </w14:textFill>
              </w:rPr>
              <w:t>喷漆、喷粉和固化线、</w:t>
            </w:r>
            <w:r>
              <w:rPr>
                <w:rFonts w:hint="eastAsia"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组装区以及车间通道；5</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#厂房</w:t>
            </w:r>
            <w:r>
              <w:rPr>
                <w:rFonts w:hint="eastAsia"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主要为原料堆放区、预处理区、烘干区、成品堆放区以及车间通道</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各区</w:t>
            </w:r>
            <w:r>
              <w:rPr>
                <w:rFonts w:hint="default" w:ascii="Times New Roman" w:hAnsi="Times New Roman"/>
                <w:color w:val="000000" w:themeColor="text1"/>
                <w:sz w:val="24"/>
                <w:szCs w:val="24"/>
                <w:highlight w:val="none"/>
                <w14:textFill>
                  <w14:solidFill>
                    <w14:schemeClr w14:val="tx1"/>
                  </w14:solidFill>
                </w14:textFill>
              </w:rPr>
              <w:t>布局功能分区</w:t>
            </w:r>
            <w:r>
              <w:rPr>
                <w:rFonts w:hint="default" w:ascii="Times New Roman" w:hAnsi="Times New Roman" w:eastAsia="宋体" w:cs="Times New Roman"/>
                <w:color w:val="000000" w:themeColor="text1"/>
                <w:sz w:val="24"/>
                <w:szCs w:val="24"/>
                <w:highlight w:val="none"/>
                <w14:textFill>
                  <w14:solidFill>
                    <w14:schemeClr w14:val="tx1"/>
                  </w14:solidFill>
                </w14:textFill>
              </w:rPr>
              <w:t>划分明确</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且</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紧凑</w:t>
            </w:r>
            <w:r>
              <w:rPr>
                <w:rFonts w:hint="default" w:ascii="Times New Roman" w:hAnsi="Times New Roman" w:eastAsia="宋体" w:cs="Times New Roman"/>
                <w:color w:val="000000" w:themeColor="text1"/>
                <w:sz w:val="24"/>
                <w:szCs w:val="24"/>
                <w:highlight w:val="none"/>
                <w14:textFill>
                  <w14:solidFill>
                    <w14:schemeClr w14:val="tx1"/>
                  </w14:solidFill>
                </w14:textFill>
              </w:rPr>
              <w:t>，人流、物流线路清晰，平面布置合理可行</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，具体</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总平面</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布置</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及生产</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厂房</w:t>
            </w:r>
            <w:r>
              <w:rPr>
                <w:rFonts w:hint="eastAsia" w:ascii="Times New Roman" w:hAnsi="Times New Roman"/>
                <w:color w:val="000000" w:themeColor="text1"/>
                <w:sz w:val="24"/>
                <w:szCs w:val="24"/>
                <w:highlight w:val="none"/>
                <w:lang w:val="en-US" w:eastAsia="zh-CN"/>
                <w14:textFill>
                  <w14:solidFill>
                    <w14:schemeClr w14:val="tx1"/>
                  </w14:solidFill>
                </w14:textFill>
              </w:rPr>
              <w:t>布局</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详见</w:t>
            </w:r>
            <w:r>
              <w:rPr>
                <w:rFonts w:hint="default" w:ascii="Times New Roman" w:hAnsi="Times New Roman" w:eastAsia="宋体" w:cs="Times New Roman"/>
                <w:color w:val="000000" w:themeColor="text1"/>
                <w:sz w:val="24"/>
                <w:szCs w:val="24"/>
                <w:highlight w:val="none"/>
                <w14:textFill>
                  <w14:solidFill>
                    <w14:schemeClr w14:val="tx1"/>
                  </w14:solidFill>
                </w14:textFill>
              </w:rPr>
              <w:t>附图</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4、附图5-1到附图5-5</w:t>
            </w:r>
            <w:r>
              <w:rPr>
                <w:rFonts w:ascii="Times New Roman" w:hAnsi="Times New Roman"/>
                <w:color w:val="000000" w:themeColor="text1"/>
                <w:sz w:val="24"/>
                <w:szCs w:val="24"/>
                <w:highlight w:val="none"/>
                <w14:textFill>
                  <w14:solidFill>
                    <w14:schemeClr w14:val="tx1"/>
                  </w14:solidFill>
                </w14:textFill>
              </w:rPr>
              <w:t>。</w:t>
            </w:r>
          </w:p>
        </w:tc>
      </w:tr>
      <w:tr w14:paraId="4DEC0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575" w:type="dxa"/>
            <w:noWrap w:val="0"/>
            <w:vAlign w:val="center"/>
          </w:tcPr>
          <w:p w14:paraId="665FC03B">
            <w:pPr>
              <w:pStyle w:val="41"/>
              <w:adjustRightInd w:val="0"/>
              <w:snapToGrid w:val="0"/>
              <w:spacing w:before="0" w:beforeAutospacing="0" w:after="0" w:afterAutospacing="0"/>
              <w:jc w:val="center"/>
              <w:rPr>
                <w:rFonts w:ascii="黑体" w:hAnsi="黑体" w:eastAsia="黑体"/>
                <w:snapToGrid w:val="0"/>
                <w:color w:val="000000" w:themeColor="text1"/>
                <w:sz w:val="36"/>
                <w:szCs w:val="36"/>
                <w:highlight w:val="none"/>
                <w:vertAlign w:val="baseli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t>工艺流程和产排污环节</w:t>
            </w:r>
          </w:p>
        </w:tc>
        <w:tc>
          <w:tcPr>
            <w:tcW w:w="8485" w:type="dxa"/>
            <w:noWrap w:val="0"/>
            <w:vAlign w:val="top"/>
          </w:tcPr>
          <w:p w14:paraId="6AD6B5B2">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Times New Roman" w:hAnsi="Times New Roman" w:cs="Times New Roman"/>
                <w:b/>
                <w:bCs/>
                <w:color w:val="000000" w:themeColor="text1"/>
                <w:sz w:val="24"/>
                <w:highlight w:val="none"/>
                <w14:textFill>
                  <w14:solidFill>
                    <w14:schemeClr w14:val="tx1"/>
                  </w14:solidFill>
                </w14:textFill>
              </w:rPr>
            </w:pPr>
          </w:p>
          <w:p w14:paraId="109AE28E">
            <w:pPr>
              <w:spacing w:line="360" w:lineRule="auto"/>
              <w:rPr>
                <w:rFonts w:hint="default" w:ascii="Times New Roman" w:hAnsi="Times New Roman" w:cs="Times New Roman"/>
                <w:b/>
                <w:bCs/>
                <w:color w:val="000000" w:themeColor="text1"/>
                <w:sz w:val="24"/>
                <w:highlight w:val="none"/>
                <w14:textFill>
                  <w14:solidFill>
                    <w14:schemeClr w14:val="tx1"/>
                  </w14:solidFill>
                </w14:textFill>
              </w:rPr>
            </w:pPr>
            <w:r>
              <w:rPr>
                <w:rFonts w:hint="default" w:ascii="Times New Roman" w:hAnsi="Times New Roman" w:cs="Times New Roman"/>
                <w:b/>
                <w:bCs/>
                <w:color w:val="000000" w:themeColor="text1"/>
                <w:sz w:val="24"/>
                <w:highlight w:val="none"/>
                <w14:textFill>
                  <w14:solidFill>
                    <w14:schemeClr w14:val="tx1"/>
                  </w14:solidFill>
                </w14:textFill>
              </w:rPr>
              <w:t>工艺流程简述（图示）：</w:t>
            </w:r>
          </w:p>
          <w:p w14:paraId="328260DD">
            <w:pPr>
              <w:keepNext w:val="0"/>
              <w:keepLines w:val="0"/>
              <w:pageBreakBefore w:val="0"/>
              <w:numPr>
                <w:ilvl w:val="0"/>
                <w:numId w:val="0"/>
              </w:numPr>
              <w:suppressLineNumbers w:val="0"/>
              <w:tabs>
                <w:tab w:val="left" w:pos="420"/>
              </w:tabs>
              <w:kinsoku/>
              <w:overflowPunct/>
              <w:topLinePunct w:val="0"/>
              <w:bidi w:val="0"/>
              <w:snapToGrid/>
              <w:spacing w:before="0" w:beforeAutospacing="0" w:after="0" w:afterAutospacing="0" w:line="360" w:lineRule="auto"/>
              <w:ind w:left="420" w:leftChars="200" w:right="0"/>
              <w:outlineLvl w:val="9"/>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14:textFill>
                  <w14:solidFill>
                    <w14:schemeClr w14:val="tx1"/>
                  </w14:solidFill>
                </w14:textFill>
              </w:rPr>
              <w:t>生产工艺流程</w:t>
            </w:r>
          </w:p>
          <w:p w14:paraId="7971DCC6">
            <w:pPr>
              <w:keepNext w:val="0"/>
              <w:keepLines w:val="0"/>
              <w:pageBreakBefore w:val="0"/>
              <w:numPr>
                <w:ilvl w:val="0"/>
                <w:numId w:val="0"/>
              </w:numPr>
              <w:suppressLineNumbers w:val="0"/>
              <w:tabs>
                <w:tab w:val="left" w:pos="420"/>
              </w:tabs>
              <w:kinsoku/>
              <w:overflowPunct/>
              <w:topLinePunct w:val="0"/>
              <w:bidi w:val="0"/>
              <w:snapToGrid/>
              <w:spacing w:before="0" w:beforeAutospacing="0" w:after="0" w:afterAutospacing="0" w:line="360" w:lineRule="auto"/>
              <w:ind w:right="0"/>
              <w:jc w:val="center"/>
              <w:outlineLvl w:val="9"/>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object>
                <v:shape id="_x0000_i1026" o:spt="75" type="#_x0000_t75" style="height:567.1pt;width:419.85pt;" o:ole="t" filled="f" o:preferrelative="t" stroked="f" coordsize="21600,21600">
                  <v:path/>
                  <v:fill on="f" focussize="0,0"/>
                  <v:stroke on="f"/>
                  <v:imagedata r:id="rId24" o:title=""/>
                  <o:lock v:ext="edit" aspectratio="f"/>
                  <w10:wrap type="none"/>
                  <w10:anchorlock/>
                </v:shape>
                <o:OLEObject Type="Embed" ProgID="Visio.Drawing.15" ShapeID="_x0000_i1026" DrawAspect="Content" ObjectID="_1468075726" r:id="rId23">
                  <o:LockedField>false</o:LockedField>
                </o:OLEObject>
              </w:object>
            </w:r>
          </w:p>
          <w:p w14:paraId="7CE34D08">
            <w:pPr>
              <w:keepNext w:val="0"/>
              <w:keepLines w:val="0"/>
              <w:pageBreakBefore w:val="0"/>
              <w:numPr>
                <w:ilvl w:val="0"/>
                <w:numId w:val="0"/>
              </w:numPr>
              <w:suppressLineNumbers w:val="0"/>
              <w:tabs>
                <w:tab w:val="left" w:pos="420"/>
              </w:tabs>
              <w:kinsoku/>
              <w:overflowPunct/>
              <w:topLinePunct w:val="0"/>
              <w:bidi w:val="0"/>
              <w:snapToGrid/>
              <w:spacing w:before="0" w:beforeAutospacing="0" w:after="0" w:afterAutospacing="0" w:line="240" w:lineRule="auto"/>
              <w:ind w:right="0"/>
              <w:outlineLvl w:val="9"/>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注：项目水洗废水与</w:t>
            </w:r>
            <w:r>
              <w:rPr>
                <w:rFonts w:hint="eastAsia"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预</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脱脂池、脱脂池更换出来的高浓度废水排入自建污水处理站进行处理，故后文分析将水洗废水及高浓度废水统称为前处理废水。</w:t>
            </w:r>
          </w:p>
          <w:p w14:paraId="2B6335E1">
            <w:pPr>
              <w:pStyle w:val="17"/>
              <w:keepNext w:val="0"/>
              <w:keepLines w:val="0"/>
              <w:pageBreakBefore w:val="0"/>
              <w:widowControl w:val="0"/>
              <w:numPr>
                <w:ilvl w:val="0"/>
                <w:numId w:val="11"/>
              </w:numPr>
              <w:suppressLineNumbers w:val="0"/>
              <w:tabs>
                <w:tab w:val="left" w:pos="628"/>
                <w:tab w:val="left" w:pos="993"/>
                <w:tab w:val="left" w:pos="1884"/>
                <w:tab w:val="clear" w:pos="3240"/>
                <w:tab w:val="clear" w:pos="6120"/>
              </w:tabs>
              <w:kinsoku/>
              <w:wordWrap w:val="0"/>
              <w:overflowPunct/>
              <w:topLinePunct w:val="0"/>
              <w:bidi w:val="0"/>
              <w:adjustRightInd/>
              <w:snapToGrid/>
              <w:spacing w:before="0" w:beforeAutospacing="0" w:after="0" w:afterLines="0" w:afterAutospacing="0" w:line="360" w:lineRule="auto"/>
              <w:ind w:left="0" w:leftChars="0" w:right="0" w:firstLine="0" w:firstLineChars="0"/>
              <w:jc w:val="center"/>
              <w:outlineLvl w:val="9"/>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项目</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钣金</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件</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生产工艺流程</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及产污环节</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图</w:t>
            </w:r>
          </w:p>
          <w:p w14:paraId="04A0BDC2">
            <w:pPr>
              <w:keepNext w:val="0"/>
              <w:keepLines w:val="0"/>
              <w:pageBreakBefore w:val="0"/>
              <w:numPr>
                <w:ilvl w:val="0"/>
                <w:numId w:val="0"/>
              </w:numPr>
              <w:suppressLineNumbers w:val="0"/>
              <w:tabs>
                <w:tab w:val="left" w:pos="420"/>
              </w:tabs>
              <w:kinsoku/>
              <w:overflowPunct/>
              <w:topLinePunct w:val="0"/>
              <w:bidi w:val="0"/>
              <w:snapToGrid/>
              <w:spacing w:before="0" w:beforeAutospacing="0" w:after="0" w:afterAutospacing="0" w:line="360" w:lineRule="auto"/>
              <w:ind w:left="420" w:leftChars="200" w:right="0"/>
              <w:outlineLvl w:val="9"/>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14:textFill>
                  <w14:solidFill>
                    <w14:schemeClr w14:val="tx1"/>
                  </w14:solidFill>
                </w14:textFill>
              </w:rPr>
              <w:t>工艺流程说明：</w:t>
            </w:r>
          </w:p>
          <w:p w14:paraId="62B7EF3F">
            <w:pPr>
              <w:pStyle w:val="105"/>
              <w:spacing w:line="360" w:lineRule="auto"/>
              <w:ind w:firstLine="480"/>
              <w:rPr>
                <w:rFonts w:hint="default" w:ascii="Times New Roman" w:hAnsi="Times New Roman" w:eastAsia="宋体" w:cs="Times New Roman"/>
                <w:b/>
                <w:color w:val="000000" w:themeColor="text1"/>
                <w:sz w:val="24"/>
                <w:szCs w:val="24"/>
                <w:highlight w:val="none"/>
                <w14:textFill>
                  <w14:solidFill>
                    <w14:schemeClr w14:val="tx1"/>
                  </w14:solidFill>
                </w14:textFill>
              </w:rPr>
            </w:pPr>
            <w:r>
              <w:rPr>
                <w:rFonts w:hint="default" w:ascii="Times New Roman" w:hAnsi="Times New Roman" w:eastAsia="宋体" w:cs="Times New Roman"/>
                <w:b/>
                <w:color w:val="000000" w:themeColor="text1"/>
                <w:sz w:val="24"/>
                <w:szCs w:val="24"/>
                <w:highlight w:val="none"/>
                <w14:textFill>
                  <w14:solidFill>
                    <w14:schemeClr w14:val="tx1"/>
                  </w14:solidFill>
                </w14:textFill>
              </w:rPr>
              <w:t>（1）铝卷开料、钣金成型：</w:t>
            </w:r>
            <w:r>
              <w:rPr>
                <w:rFonts w:hint="default" w:ascii="Times New Roman" w:hAnsi="Times New Roman" w:eastAsia="宋体" w:cs="Times New Roman"/>
                <w:color w:val="000000" w:themeColor="text1"/>
                <w:sz w:val="24"/>
                <w:szCs w:val="24"/>
                <w:highlight w:val="none"/>
                <w14:textFill>
                  <w14:solidFill>
                    <w14:schemeClr w14:val="tx1"/>
                  </w14:solidFill>
                </w14:textFill>
              </w:rPr>
              <w:t>项目铝卷购入后经</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激光切割生产线</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、数控切割机</w:t>
            </w:r>
            <w:r>
              <w:rPr>
                <w:rFonts w:hint="default" w:ascii="Times New Roman" w:hAnsi="Times New Roman" w:eastAsia="宋体" w:cs="Times New Roman"/>
                <w:color w:val="000000" w:themeColor="text1"/>
                <w:sz w:val="24"/>
                <w:szCs w:val="24"/>
                <w:highlight w:val="none"/>
                <w14:textFill>
                  <w14:solidFill>
                    <w14:schemeClr w14:val="tx1"/>
                  </w14:solidFill>
                </w14:textFill>
              </w:rPr>
              <w:t>开料，</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切割</w:t>
            </w:r>
            <w:r>
              <w:rPr>
                <w:rFonts w:hint="default" w:ascii="Times New Roman" w:hAnsi="Times New Roman" w:eastAsia="宋体" w:cs="Times New Roman"/>
                <w:color w:val="000000" w:themeColor="text1"/>
                <w:sz w:val="24"/>
                <w:szCs w:val="24"/>
                <w:highlight w:val="none"/>
                <w14:textFill>
                  <w14:solidFill>
                    <w14:schemeClr w14:val="tx1"/>
                  </w14:solidFill>
                </w14:textFill>
              </w:rPr>
              <w:t>出合适大小的铝板件，经冲压、折弯、滚弧、焊接等工序后成型，该工序主要产生</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切割粉尘</w:t>
            </w:r>
            <w:r>
              <w:rPr>
                <w:rFonts w:hint="default" w:ascii="Times New Roman" w:hAnsi="Times New Roman" w:eastAsia="宋体" w:cs="Times New Roman"/>
                <w:color w:val="000000" w:themeColor="text1"/>
                <w:sz w:val="24"/>
                <w:szCs w:val="24"/>
                <w:highlight w:val="none"/>
                <w14:textFill>
                  <w14:solidFill>
                    <w14:schemeClr w14:val="tx1"/>
                  </w14:solidFill>
                </w14:textFill>
              </w:rPr>
              <w:t>、焊接烟尘、噪声</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废包装物、边角料。</w:t>
            </w:r>
          </w:p>
          <w:p w14:paraId="0CB5107F">
            <w:pPr>
              <w:pStyle w:val="105"/>
              <w:spacing w:line="360" w:lineRule="auto"/>
              <w:ind w:firstLine="480"/>
              <w:rPr>
                <w:rFonts w:hint="default" w:ascii="Times New Roman" w:hAnsi="Times New Roman" w:eastAsia="宋体" w:cs="Times New Roman"/>
                <w:b/>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sz w:val="24"/>
                <w:szCs w:val="24"/>
                <w:highlight w:val="none"/>
                <w14:textFill>
                  <w14:solidFill>
                    <w14:schemeClr w14:val="tx1"/>
                  </w14:solidFill>
                </w14:textFill>
              </w:rPr>
              <w:t>（2）</w:t>
            </w:r>
            <w:r>
              <w:rPr>
                <w:rFonts w:hint="eastAsia" w:ascii="Times New Roman" w:hAnsi="Times New Roman" w:eastAsia="宋体" w:cs="Times New Roman"/>
                <w:b/>
                <w:color w:val="000000" w:themeColor="text1"/>
                <w:sz w:val="24"/>
                <w:szCs w:val="24"/>
                <w:highlight w:val="none"/>
                <w:lang w:eastAsia="zh-CN"/>
                <w14:textFill>
                  <w14:solidFill>
                    <w14:schemeClr w14:val="tx1"/>
                  </w14:solidFill>
                </w14:textFill>
              </w:rPr>
              <w:t>抛光打磨</w:t>
            </w:r>
            <w:r>
              <w:rPr>
                <w:rFonts w:hint="default" w:ascii="Times New Roman" w:hAnsi="Times New Roman" w:eastAsia="宋体" w:cs="Times New Roman"/>
                <w:b/>
                <w:color w:val="000000" w:themeColor="text1"/>
                <w:sz w:val="24"/>
                <w:szCs w:val="24"/>
                <w:highlight w:val="none"/>
                <w14:textFill>
                  <w14:solidFill>
                    <w14:schemeClr w14:val="tx1"/>
                  </w14:solidFill>
                </w14:textFill>
              </w:rPr>
              <w:t>：</w:t>
            </w:r>
            <w:r>
              <w:rPr>
                <w:rFonts w:hint="default" w:ascii="Times New Roman" w:hAnsi="Times New Roman" w:eastAsia="宋体" w:cs="Times New Roman"/>
                <w:bCs/>
                <w:color w:val="000000" w:themeColor="text1"/>
                <w:sz w:val="24"/>
                <w:szCs w:val="24"/>
                <w:highlight w:val="none"/>
                <w14:textFill>
                  <w14:solidFill>
                    <w14:schemeClr w14:val="tx1"/>
                  </w14:solidFill>
                </w14:textFill>
              </w:rPr>
              <w:t>钣金</w:t>
            </w:r>
            <w:r>
              <w:rPr>
                <w:rFonts w:hint="eastAsia" w:cs="Times New Roman"/>
                <w:bCs/>
                <w:color w:val="000000" w:themeColor="text1"/>
                <w:sz w:val="24"/>
                <w:szCs w:val="24"/>
                <w:highlight w:val="none"/>
                <w:lang w:val="en-US" w:eastAsia="zh-CN"/>
                <w14:textFill>
                  <w14:solidFill>
                    <w14:schemeClr w14:val="tx1"/>
                  </w14:solidFill>
                </w14:textFill>
              </w:rPr>
              <w:t>后工</w:t>
            </w:r>
            <w:r>
              <w:rPr>
                <w:rFonts w:hint="default" w:ascii="Times New Roman" w:hAnsi="Times New Roman" w:eastAsia="宋体" w:cs="Times New Roman"/>
                <w:bCs/>
                <w:color w:val="000000" w:themeColor="text1"/>
                <w:sz w:val="24"/>
                <w:szCs w:val="24"/>
                <w:highlight w:val="none"/>
                <w14:textFill>
                  <w14:solidFill>
                    <w14:schemeClr w14:val="tx1"/>
                  </w14:solidFill>
                </w14:textFill>
              </w:rPr>
              <w:t>件</w:t>
            </w:r>
            <w:r>
              <w:rPr>
                <w:rFonts w:hint="eastAsia" w:cs="Times New Roman"/>
                <w:bCs/>
                <w:color w:val="000000" w:themeColor="text1"/>
                <w:sz w:val="24"/>
                <w:szCs w:val="24"/>
                <w:highlight w:val="none"/>
                <w:lang w:val="en-US" w:eastAsia="zh-CN"/>
                <w14:textFill>
                  <w14:solidFill>
                    <w14:schemeClr w14:val="tx1"/>
                  </w14:solidFill>
                </w14:textFill>
              </w:rPr>
              <w:t>部分需要进行表面打磨，还有部分需要焊接口打磨</w:t>
            </w:r>
            <w:r>
              <w:rPr>
                <w:rFonts w:hint="default" w:ascii="Times New Roman" w:hAnsi="Times New Roman" w:eastAsia="宋体" w:cs="Times New Roman"/>
                <w:bCs/>
                <w:color w:val="000000" w:themeColor="text1"/>
                <w:sz w:val="24"/>
                <w:szCs w:val="24"/>
                <w:highlight w:val="none"/>
                <w14:textFill>
                  <w14:solidFill>
                    <w14:schemeClr w14:val="tx1"/>
                  </w14:solidFill>
                </w14:textFill>
              </w:rPr>
              <w:t>，</w:t>
            </w:r>
            <w:r>
              <w:rPr>
                <w:rFonts w:hint="eastAsia" w:cs="Times New Roman"/>
                <w:bCs/>
                <w:color w:val="000000" w:themeColor="text1"/>
                <w:sz w:val="24"/>
                <w:szCs w:val="24"/>
                <w:highlight w:val="none"/>
                <w:lang w:val="en-US" w:eastAsia="zh-CN"/>
                <w14:textFill>
                  <w14:solidFill>
                    <w14:schemeClr w14:val="tx1"/>
                  </w14:solidFill>
                </w14:textFill>
              </w:rPr>
              <w:t>项目</w:t>
            </w:r>
            <w:r>
              <w:rPr>
                <w:rFonts w:hint="default" w:ascii="Times New Roman" w:hAnsi="Times New Roman" w:eastAsia="宋体" w:cs="Times New Roman"/>
                <w:bCs/>
                <w:color w:val="000000" w:themeColor="text1"/>
                <w:sz w:val="24"/>
                <w:szCs w:val="24"/>
                <w:highlight w:val="none"/>
                <w14:textFill>
                  <w14:solidFill>
                    <w14:schemeClr w14:val="tx1"/>
                  </w14:solidFill>
                </w14:textFill>
              </w:rPr>
              <w:t>使用</w:t>
            </w:r>
            <w:r>
              <w:rPr>
                <w:rFonts w:hint="eastAsia" w:cs="Times New Roman"/>
                <w:bCs/>
                <w:color w:val="000000" w:themeColor="text1"/>
                <w:sz w:val="24"/>
                <w:szCs w:val="24"/>
                <w:highlight w:val="none"/>
                <w:lang w:val="en-US" w:eastAsia="zh-CN"/>
                <w14:textFill>
                  <w14:solidFill>
                    <w14:schemeClr w14:val="tx1"/>
                  </w14:solidFill>
                </w14:textFill>
              </w:rPr>
              <w:t>手磨机</w:t>
            </w:r>
            <w:r>
              <w:rPr>
                <w:rFonts w:hint="default" w:ascii="Times New Roman" w:hAnsi="Times New Roman" w:eastAsia="宋体" w:cs="Times New Roman"/>
                <w:bCs/>
                <w:color w:val="000000" w:themeColor="text1"/>
                <w:sz w:val="24"/>
                <w:szCs w:val="24"/>
                <w:highlight w:val="none"/>
                <w14:textFill>
                  <w14:solidFill>
                    <w14:schemeClr w14:val="tx1"/>
                  </w14:solidFill>
                </w14:textFill>
              </w:rPr>
              <w:t>进行</w:t>
            </w:r>
            <w:r>
              <w:rPr>
                <w:rFonts w:hint="default" w:ascii="Times New Roman" w:hAnsi="Times New Roman" w:eastAsia="宋体" w:cs="Times New Roman"/>
                <w:bCs/>
                <w:color w:val="000000" w:themeColor="text1"/>
                <w:sz w:val="24"/>
                <w:szCs w:val="24"/>
                <w:highlight w:val="none"/>
                <w:lang w:eastAsia="zh-CN"/>
                <w14:textFill>
                  <w14:solidFill>
                    <w14:schemeClr w14:val="tx1"/>
                  </w14:solidFill>
                </w14:textFill>
              </w:rPr>
              <w:t>抛光打磨</w:t>
            </w: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，该工序产生打磨抛光粉尘、噪声</w:t>
            </w:r>
            <w:r>
              <w:rPr>
                <w:rFonts w:hint="default" w:ascii="Times New Roman" w:hAnsi="Times New Roman" w:eastAsia="宋体" w:cs="Times New Roman"/>
                <w:color w:val="000000" w:themeColor="text1"/>
                <w:kern w:val="0"/>
                <w:sz w:val="24"/>
                <w:szCs w:val="24"/>
                <w:highlight w:val="none"/>
                <w:lang w:eastAsia="zh-CN" w:bidi="ar"/>
                <w14:textFill>
                  <w14:solidFill>
                    <w14:schemeClr w14:val="tx1"/>
                  </w14:solidFill>
                </w14:textFill>
              </w:rPr>
              <w:t>。</w:t>
            </w:r>
          </w:p>
          <w:p w14:paraId="31576210">
            <w:pPr>
              <w:pStyle w:val="105"/>
              <w:spacing w:line="360" w:lineRule="auto"/>
              <w:ind w:firstLine="480"/>
              <w:rPr>
                <w:rFonts w:hint="default" w:ascii="Times New Roman" w:hAnsi="Times New Roman" w:eastAsia="宋体" w:cs="Times New Roman"/>
                <w:b/>
                <w:color w:val="000000" w:themeColor="text1"/>
                <w:sz w:val="24"/>
                <w:szCs w:val="24"/>
                <w:highlight w:val="none"/>
                <w14:textFill>
                  <w14:solidFill>
                    <w14:schemeClr w14:val="tx1"/>
                  </w14:solidFill>
                </w14:textFill>
              </w:rPr>
            </w:pPr>
            <w:r>
              <w:rPr>
                <w:rFonts w:hint="default" w:ascii="Times New Roman" w:hAnsi="Times New Roman" w:eastAsia="宋体" w:cs="Times New Roman"/>
                <w:b/>
                <w:color w:val="000000" w:themeColor="text1"/>
                <w:sz w:val="24"/>
                <w:szCs w:val="24"/>
                <w:highlight w:val="none"/>
                <w14:textFill>
                  <w14:solidFill>
                    <w14:schemeClr w14:val="tx1"/>
                  </w14:solidFill>
                </w14:textFill>
              </w:rPr>
              <w:t>（3）</w:t>
            </w:r>
            <w:r>
              <w:rPr>
                <w:rFonts w:hint="eastAsia" w:cs="Times New Roman"/>
                <w:b/>
                <w:color w:val="000000" w:themeColor="text1"/>
                <w:sz w:val="24"/>
                <w:szCs w:val="24"/>
                <w:highlight w:val="none"/>
                <w:lang w:eastAsia="zh-CN"/>
                <w14:textFill>
                  <w14:solidFill>
                    <w14:schemeClr w14:val="tx1"/>
                  </w14:solidFill>
                </w14:textFill>
              </w:rPr>
              <w:t>工件表面预处理</w:t>
            </w:r>
            <w:r>
              <w:rPr>
                <w:rFonts w:hint="default" w:ascii="Times New Roman" w:hAnsi="Times New Roman" w:eastAsia="宋体" w:cs="Times New Roman"/>
                <w:b/>
                <w:color w:val="000000" w:themeColor="text1"/>
                <w:sz w:val="24"/>
                <w:szCs w:val="24"/>
                <w:highlight w:val="none"/>
                <w14:textFill>
                  <w14:solidFill>
                    <w14:schemeClr w14:val="tx1"/>
                  </w14:solidFill>
                </w14:textFill>
              </w:rPr>
              <w:t>生产线</w:t>
            </w:r>
          </w:p>
          <w:p w14:paraId="2403C81C">
            <w:pPr>
              <w:pStyle w:val="105"/>
              <w:spacing w:line="360" w:lineRule="auto"/>
              <w:ind w:firstLine="48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b/>
                <w:color w:val="000000" w:themeColor="text1"/>
                <w:sz w:val="24"/>
                <w:szCs w:val="24"/>
                <w:highlight w:val="none"/>
                <w:lang w:val="en-US" w:eastAsia="zh-CN"/>
                <w14:textFill>
                  <w14:solidFill>
                    <w14:schemeClr w14:val="tx1"/>
                  </w14:solidFill>
                </w14:textFill>
              </w:rPr>
              <w:t>①预</w:t>
            </w:r>
            <w:r>
              <w:rPr>
                <w:rFonts w:hint="eastAsia" w:ascii="Times New Roman" w:hAnsi="Times New Roman" w:eastAsia="宋体" w:cs="Times New Roman"/>
                <w:b/>
                <w:color w:val="000000" w:themeColor="text1"/>
                <w:sz w:val="24"/>
                <w:szCs w:val="24"/>
                <w:highlight w:val="none"/>
                <w:lang w:val="en-US" w:eastAsia="zh-CN"/>
                <w14:textFill>
                  <w14:solidFill>
                    <w14:schemeClr w14:val="tx1"/>
                  </w14:solidFill>
                </w14:textFill>
              </w:rPr>
              <w:t>脱脂</w:t>
            </w:r>
            <w:r>
              <w:rPr>
                <w:rFonts w:hint="default" w:ascii="Times New Roman" w:hAnsi="Times New Roman" w:eastAsia="宋体" w:cs="Times New Roman"/>
                <w:b/>
                <w:color w:val="000000" w:themeColor="text1"/>
                <w:sz w:val="24"/>
                <w:szCs w:val="24"/>
                <w:highlight w:val="none"/>
                <w:lang w:val="en-US" w:eastAsia="zh-CN"/>
                <w14:textFill>
                  <w14:solidFill>
                    <w14:schemeClr w14:val="tx1"/>
                  </w14:solidFill>
                </w14:textFill>
              </w:rPr>
              <w:t>池、</w:t>
            </w:r>
            <w:r>
              <w:rPr>
                <w:rFonts w:hint="eastAsia" w:ascii="Times New Roman" w:hAnsi="Times New Roman" w:eastAsia="宋体" w:cs="Times New Roman"/>
                <w:b/>
                <w:color w:val="000000" w:themeColor="text1"/>
                <w:sz w:val="24"/>
                <w:szCs w:val="24"/>
                <w:highlight w:val="none"/>
                <w:lang w:val="en-US" w:eastAsia="zh-CN"/>
                <w14:textFill>
                  <w14:solidFill>
                    <w14:schemeClr w14:val="tx1"/>
                  </w14:solidFill>
                </w14:textFill>
              </w:rPr>
              <w:t>脱脂</w:t>
            </w:r>
            <w:r>
              <w:rPr>
                <w:rFonts w:hint="default" w:ascii="Times New Roman" w:hAnsi="Times New Roman" w:eastAsia="宋体" w:cs="Times New Roman"/>
                <w:b/>
                <w:color w:val="000000" w:themeColor="text1"/>
                <w:sz w:val="24"/>
                <w:szCs w:val="24"/>
                <w:highlight w:val="none"/>
                <w:lang w:val="en-US" w:eastAsia="zh-CN"/>
                <w14:textFill>
                  <w14:solidFill>
                    <w14:schemeClr w14:val="tx1"/>
                  </w14:solidFill>
                </w14:textFill>
              </w:rPr>
              <w:t>池：</w:t>
            </w:r>
            <w:r>
              <w:rPr>
                <w:rFonts w:hint="default" w:ascii="Times New Roman" w:hAnsi="Times New Roman" w:eastAsia="宋体" w:cs="Times New Roman"/>
                <w:color w:val="000000" w:themeColor="text1"/>
                <w:sz w:val="24"/>
                <w:szCs w:val="24"/>
                <w:highlight w:val="none"/>
                <w14:textFill>
                  <w14:solidFill>
                    <w14:schemeClr w14:val="tx1"/>
                  </w14:solidFill>
                </w14:textFill>
              </w:rPr>
              <w:t>项目</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预脱脂、</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脱脂</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除油</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工序采用</w:t>
            </w:r>
            <w:r>
              <w:rPr>
                <w:rFonts w:hint="eastAsia" w:cs="Times New Roman"/>
                <w:color w:val="000000" w:themeColor="text1"/>
                <w:sz w:val="24"/>
                <w:szCs w:val="24"/>
                <w:highlight w:val="none"/>
                <w:lang w:eastAsia="zh-CN"/>
                <w14:textFill>
                  <w14:solidFill>
                    <w14:schemeClr w14:val="tx1"/>
                  </w14:solidFill>
                </w14:textFill>
              </w:rPr>
              <w:t>除油</w:t>
            </w:r>
            <w:r>
              <w:rPr>
                <w:rFonts w:hint="default" w:ascii="Times New Roman" w:hAnsi="Times New Roman" w:eastAsia="宋体" w:cs="Times New Roman"/>
                <w:color w:val="000000" w:themeColor="text1"/>
                <w:sz w:val="24"/>
                <w:szCs w:val="24"/>
                <w:highlight w:val="none"/>
                <w14:textFill>
                  <w14:solidFill>
                    <w14:schemeClr w14:val="tx1"/>
                  </w14:solidFill>
                </w14:textFill>
              </w:rPr>
              <w:t>剂，</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项目预处理生产采用喷淋方式清洗除油，</w:t>
            </w:r>
            <w:r>
              <w:rPr>
                <w:rFonts w:hint="default" w:ascii="Times New Roman" w:hAnsi="Times New Roman" w:eastAsia="宋体" w:cs="Times New Roman"/>
                <w:color w:val="000000" w:themeColor="text1"/>
                <w:sz w:val="24"/>
                <w:szCs w:val="24"/>
                <w:highlight w:val="none"/>
                <w14:textFill>
                  <w14:solidFill>
                    <w14:schemeClr w14:val="tx1"/>
                  </w14:solidFill>
                </w14:textFill>
              </w:rPr>
              <w:t>铝卷</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在喷淋柜喷淋</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常温状态下</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，当</w:t>
            </w:r>
            <w:r>
              <w:rPr>
                <w:rFonts w:hint="default" w:ascii="Times New Roman" w:hAnsi="Times New Roman" w:eastAsia="宋体" w:cs="Times New Roman"/>
                <w:color w:val="000000" w:themeColor="text1"/>
                <w:sz w:val="24"/>
                <w:szCs w:val="24"/>
                <w:highlight w:val="none"/>
                <w14:textFill>
                  <w14:solidFill>
                    <w14:schemeClr w14:val="tx1"/>
                  </w14:solidFill>
                </w14:textFill>
              </w:rPr>
              <w:t>除油工序完成后进入水洗池清洗</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。项目预脱脂池、脱脂池溶液循环使用，定期补充新除油剂</w:t>
            </w:r>
            <w:r>
              <w:rPr>
                <w:rFonts w:hint="eastAsia" w:cs="Times New Roman"/>
                <w:color w:val="000000" w:themeColor="text1"/>
                <w:kern w:val="0"/>
                <w:sz w:val="24"/>
                <w:szCs w:val="24"/>
                <w:highlight w:val="none"/>
                <w:lang w:val="en-US" w:eastAsia="zh-CN" w:bidi="ar"/>
                <w14:textFill>
                  <w14:solidFill>
                    <w14:schemeClr w14:val="tx1"/>
                  </w14:solidFill>
                </w14:textFill>
              </w:rPr>
              <w:t>、水，预脱脂池、脱脂油池中槽液工艺浓度控制在3%左右</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，预脱脂池每3个月整池更换一次、脱脂池每3个月整池更换一次，</w:t>
            </w:r>
            <w:r>
              <w:rPr>
                <w:rFonts w:hint="default" w:ascii="Times New Roman" w:hAnsi="Times New Roman" w:cs="Times New Roman"/>
                <w:color w:val="000000" w:themeColor="text1"/>
                <w:highlight w:val="none"/>
                <w:lang w:val="en-US" w:eastAsia="zh-CN"/>
                <w14:textFill>
                  <w14:solidFill>
                    <w14:schemeClr w14:val="tx1"/>
                  </w14:solidFill>
                </w14:textFill>
              </w:rPr>
              <w:t>更换后的槽液全部进入自建污水处理站进行处理</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p>
          <w:p w14:paraId="03D66437">
            <w:pPr>
              <w:pStyle w:val="105"/>
              <w:spacing w:line="360" w:lineRule="auto"/>
              <w:ind w:firstLine="480"/>
              <w:rPr>
                <w:rFonts w:hint="default" w:ascii="Times New Roman" w:hAnsi="Times New Roman" w:eastAsia="宋体" w:cs="Times New Roman"/>
                <w:b/>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color w:val="000000" w:themeColor="text1"/>
                <w:sz w:val="24"/>
                <w:szCs w:val="24"/>
                <w:highlight w:val="none"/>
                <w:lang w:val="en-US" w:eastAsia="zh-CN"/>
                <w14:textFill>
                  <w14:solidFill>
                    <w14:schemeClr w14:val="tx1"/>
                  </w14:solidFill>
                </w14:textFill>
              </w:rPr>
              <w:t>②</w:t>
            </w:r>
            <w:r>
              <w:rPr>
                <w:rFonts w:hint="default" w:ascii="Times New Roman" w:hAnsi="Times New Roman" w:eastAsia="宋体" w:cs="Times New Roman"/>
                <w:b/>
                <w:color w:val="000000" w:themeColor="text1"/>
                <w:sz w:val="24"/>
                <w:szCs w:val="24"/>
                <w:highlight w:val="none"/>
                <w:lang w:val="en-US" w:eastAsia="zh-CN"/>
                <w14:textFill>
                  <w14:solidFill>
                    <w14:schemeClr w14:val="tx1"/>
                  </w14:solidFill>
                </w14:textFill>
              </w:rPr>
              <w:t>水洗池</w:t>
            </w:r>
          </w:p>
          <w:p w14:paraId="0EE593D0">
            <w:pPr>
              <w:keepNext w:val="0"/>
              <w:keepLines w:val="0"/>
              <w:pageBreakBefore w:val="0"/>
              <w:widowControl/>
              <w:suppressLineNumbers w:val="0"/>
              <w:kinsoku/>
              <w:wordWrap/>
              <w:overflowPunct/>
              <w:topLinePunct w:val="0"/>
              <w:bidi w:val="0"/>
              <w:adjustRightInd/>
              <w:snapToGrid/>
              <w:spacing w:before="0" w:beforeAutospacing="0" w:after="0" w:afterAutospacing="0" w:line="360" w:lineRule="auto"/>
              <w:ind w:left="0" w:right="0" w:firstLine="480" w:firstLineChars="200"/>
              <w:jc w:val="left"/>
              <w:textAlignment w:val="auto"/>
              <w:outlineLvl w:val="9"/>
              <w:rPr>
                <w:rFonts w:hint="default" w:ascii="Times New Roman" w:hAnsi="Times New Roman" w:eastAsia="宋体" w:cs="Times New Roman"/>
                <w:b/>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脱脂</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除油</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后的工件经过1#、2#水洗工段</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以及清水洗</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工段进行水洗，将工件表面残留的试剂截留在水池内。用自来水对脱脂后的工件进行喷淋清洗，把工件表面的残液清洗干净。工件分别通过四个水洗工段经自来水喷淋水洗，为保证水洗池清洗效果，项目在各水洗池均</w:t>
            </w:r>
            <w:r>
              <w:rPr>
                <w:rFonts w:hint="default" w:ascii="Times New Roman" w:hAnsi="Times New Roman" w:eastAsia="宋体" w:cs="Times New Roman"/>
                <w:color w:val="000000" w:themeColor="text1"/>
                <w:sz w:val="24"/>
                <w:szCs w:val="24"/>
                <w:highlight w:val="none"/>
                <w14:textFill>
                  <w14:solidFill>
                    <w14:schemeClr w14:val="tx1"/>
                  </w14:solidFill>
                </w14:textFill>
              </w:rPr>
              <w:t>设置溢流口并用固定管道接入收集池</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，工件水洗后进入无铬钝化池钝化</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，工件钝化后</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再</w:t>
            </w:r>
            <w:r>
              <w:rPr>
                <w:rFonts w:hint="default" w:ascii="Times New Roman" w:hAnsi="Times New Roman" w:eastAsia="宋体" w:cs="Times New Roman"/>
                <w:color w:val="000000" w:themeColor="text1"/>
                <w:sz w:val="24"/>
                <w:szCs w:val="24"/>
                <w:highlight w:val="none"/>
                <w14:textFill>
                  <w14:solidFill>
                    <w14:schemeClr w14:val="tx1"/>
                  </w14:solidFill>
                </w14:textFill>
              </w:rPr>
              <w:t>进入</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水洗池清洗</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水洗池每个月更换整槽废水并同时采用溢流排水方式保证清洗效果</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此过程会产生前处理废水</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，排入自建污水处理站进行处理</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35213946">
            <w:pPr>
              <w:pStyle w:val="105"/>
              <w:spacing w:line="360" w:lineRule="auto"/>
              <w:ind w:firstLine="48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b/>
                <w:color w:val="000000" w:themeColor="text1"/>
                <w:sz w:val="24"/>
                <w:szCs w:val="24"/>
                <w:highlight w:val="none"/>
                <w:lang w:val="en-US" w:eastAsia="zh-CN"/>
                <w14:textFill>
                  <w14:solidFill>
                    <w14:schemeClr w14:val="tx1"/>
                  </w14:solidFill>
                </w14:textFill>
              </w:rPr>
              <w:t>③</w:t>
            </w:r>
            <w:r>
              <w:rPr>
                <w:rFonts w:hint="default" w:ascii="Times New Roman" w:hAnsi="Times New Roman" w:eastAsia="宋体" w:cs="Times New Roman"/>
                <w:b/>
                <w:color w:val="000000" w:themeColor="text1"/>
                <w:sz w:val="24"/>
                <w:szCs w:val="24"/>
                <w:highlight w:val="none"/>
                <w:lang w:val="en-US" w:eastAsia="zh-CN"/>
                <w14:textFill>
                  <w14:solidFill>
                    <w14:schemeClr w14:val="tx1"/>
                  </w14:solidFill>
                </w14:textFill>
              </w:rPr>
              <w:t>无铬钝化池：</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经除油、水洗后的金属表面很清洁，非常活化，很容易遭受腐蚀，所以必须立即进行钝化处理，使清洗后的金属表面生成保护膜，减缓腐蚀。钝化是使用无铬钝化剂与铝件表面生成致密氧化物保护层，从而阻止铝件发生氧化反应，无铬钝化池</w:t>
            </w:r>
            <w:r>
              <w:rPr>
                <w:rFonts w:hint="default" w:ascii="Times New Roman" w:hAnsi="Times New Roman" w:eastAsia="宋体" w:cs="Times New Roman"/>
                <w:color w:val="000000" w:themeColor="text1"/>
                <w:sz w:val="24"/>
                <w:szCs w:val="24"/>
                <w:highlight w:val="none"/>
                <w14:textFill>
                  <w14:solidFill>
                    <w14:schemeClr w14:val="tx1"/>
                  </w14:solidFill>
                </w14:textFill>
              </w:rPr>
              <w:t>槽液定期更换</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槽液内无铬钝化剂</w:t>
            </w:r>
            <w:r>
              <w:rPr>
                <w:rFonts w:hint="eastAsia" w:cs="Times New Roman"/>
                <w:color w:val="000000" w:themeColor="text1"/>
                <w:sz w:val="24"/>
                <w:szCs w:val="24"/>
                <w:highlight w:val="none"/>
                <w:lang w:val="en-US" w:eastAsia="zh-CN"/>
                <w14:textFill>
                  <w14:solidFill>
                    <w14:schemeClr w14:val="tx1"/>
                  </w14:solidFill>
                </w14:textFill>
              </w:rPr>
              <w:t>工艺浓度控制在1%左右</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，更换后的槽液交有危废资质单位处理</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6E78484E">
            <w:pPr>
              <w:pStyle w:val="105"/>
              <w:spacing w:line="360" w:lineRule="auto"/>
              <w:ind w:firstLine="480"/>
              <w:rPr>
                <w:rFonts w:hint="default" w:ascii="Times New Roman" w:hAnsi="Times New Roman" w:eastAsia="宋体" w:cs="Times New Roman"/>
                <w:b/>
                <w:color w:val="000000" w:themeColor="text1"/>
                <w:sz w:val="24"/>
                <w:szCs w:val="24"/>
                <w:highlight w:val="none"/>
                <w14:textFill>
                  <w14:solidFill>
                    <w14:schemeClr w14:val="tx1"/>
                  </w14:solidFill>
                </w14:textFill>
              </w:rPr>
            </w:pPr>
            <w:r>
              <w:rPr>
                <w:rFonts w:hint="default" w:ascii="Times New Roman" w:hAnsi="Times New Roman" w:eastAsia="宋体" w:cs="Times New Roman"/>
                <w:b/>
                <w:color w:val="000000" w:themeColor="text1"/>
                <w:sz w:val="24"/>
                <w:szCs w:val="24"/>
                <w:highlight w:val="none"/>
                <w14:textFill>
                  <w14:solidFill>
                    <w14:schemeClr w14:val="tx1"/>
                  </w14:solidFill>
                </w14:textFill>
              </w:rPr>
              <w:t>④设计参数：</w:t>
            </w:r>
          </w:p>
          <w:p w14:paraId="5543336E">
            <w:pPr>
              <w:pStyle w:val="105"/>
              <w:spacing w:line="360" w:lineRule="auto"/>
              <w:ind w:firstLine="48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eastAsia="zh-CN"/>
                <w14:textFill>
                  <w14:solidFill>
                    <w14:schemeClr w14:val="tx1"/>
                  </w14:solidFill>
                </w14:textFill>
              </w:rPr>
              <w:t>工件表面预处理</w:t>
            </w:r>
            <w:r>
              <w:rPr>
                <w:rFonts w:hint="default" w:ascii="Times New Roman" w:hAnsi="Times New Roman" w:eastAsia="宋体" w:cs="Times New Roman"/>
                <w:color w:val="000000" w:themeColor="text1"/>
                <w:sz w:val="24"/>
                <w:szCs w:val="24"/>
                <w:highlight w:val="none"/>
                <w14:textFill>
                  <w14:solidFill>
                    <w14:schemeClr w14:val="tx1"/>
                  </w14:solidFill>
                </w14:textFill>
              </w:rPr>
              <w:t>各池体大小设计参数如下，水槽有效水深为0.8m：</w:t>
            </w:r>
          </w:p>
          <w:p w14:paraId="4E10C18E">
            <w:pPr>
              <w:pageBreakBefore w:val="0"/>
              <w:widowControl w:val="0"/>
              <w:numPr>
                <w:ilvl w:val="0"/>
                <w:numId w:val="10"/>
              </w:numPr>
              <w:wordWrap w:val="0"/>
              <w:overflowPunct/>
              <w:bidi w:val="0"/>
              <w:spacing w:line="240" w:lineRule="auto"/>
              <w:ind w:left="0" w:leftChars="0" w:firstLine="40" w:firstLineChars="0"/>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预处理各池体参数表</w:t>
            </w:r>
          </w:p>
          <w:tbl>
            <w:tblPr>
              <w:tblStyle w:val="44"/>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91"/>
              <w:gridCol w:w="888"/>
              <w:gridCol w:w="644"/>
              <w:gridCol w:w="644"/>
              <w:gridCol w:w="646"/>
              <w:gridCol w:w="882"/>
              <w:gridCol w:w="1304"/>
              <w:gridCol w:w="877"/>
              <w:gridCol w:w="1331"/>
            </w:tblGrid>
            <w:tr w14:paraId="2AD7F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9" w:hRule="atLeast"/>
                <w:jc w:val="center"/>
              </w:trPr>
              <w:tc>
                <w:tcPr>
                  <w:tcW w:w="759" w:type="pct"/>
                  <w:vMerge w:val="restart"/>
                  <w:tcBorders>
                    <w:tl2br w:val="nil"/>
                    <w:tr2bl w:val="nil"/>
                  </w:tcBorders>
                  <w:noWrap w:val="0"/>
                  <w:vAlign w:val="center"/>
                </w:tcPr>
                <w:p w14:paraId="0F438B39">
                  <w:pPr>
                    <w:adjustRightInd w:val="0"/>
                    <w:snapToGrid w:val="0"/>
                    <w:spacing w:line="240" w:lineRule="auto"/>
                    <w:jc w:val="cente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工艺流程</w:t>
                  </w:r>
                </w:p>
              </w:tc>
              <w:tc>
                <w:tcPr>
                  <w:tcW w:w="522" w:type="pct"/>
                  <w:vMerge w:val="restart"/>
                  <w:tcBorders>
                    <w:tl2br w:val="nil"/>
                    <w:tr2bl w:val="nil"/>
                  </w:tcBorders>
                  <w:noWrap w:val="0"/>
                  <w:vAlign w:val="center"/>
                </w:tcPr>
                <w:p w14:paraId="29C4066F">
                  <w:pPr>
                    <w:adjustRightInd w:val="0"/>
                    <w:snapToGrid w:val="0"/>
                    <w:spacing w:line="240" w:lineRule="auto"/>
                    <w:jc w:val="cente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处理方式</w:t>
                  </w:r>
                </w:p>
              </w:tc>
              <w:tc>
                <w:tcPr>
                  <w:tcW w:w="1138" w:type="pct"/>
                  <w:gridSpan w:val="3"/>
                  <w:tcBorders>
                    <w:tl2br w:val="nil"/>
                    <w:tr2bl w:val="nil"/>
                  </w:tcBorders>
                  <w:noWrap w:val="0"/>
                  <w:vAlign w:val="center"/>
                </w:tcPr>
                <w:p w14:paraId="12D297B6">
                  <w:pPr>
                    <w:adjustRightInd w:val="0"/>
                    <w:snapToGrid w:val="0"/>
                    <w:spacing w:line="240" w:lineRule="auto"/>
                    <w:jc w:val="cente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水槽内尺寸（m）</w:t>
                  </w:r>
                </w:p>
              </w:tc>
              <w:tc>
                <w:tcPr>
                  <w:tcW w:w="515" w:type="pct"/>
                  <w:vMerge w:val="restart"/>
                  <w:tcBorders>
                    <w:tl2br w:val="nil"/>
                    <w:tr2bl w:val="nil"/>
                  </w:tcBorders>
                  <w:noWrap w:val="0"/>
                  <w:vAlign w:val="center"/>
                </w:tcPr>
                <w:p w14:paraId="5CDB4E4B">
                  <w:pPr>
                    <w:adjustRightInd w:val="0"/>
                    <w:snapToGrid w:val="0"/>
                    <w:spacing w:line="240" w:lineRule="auto"/>
                    <w:jc w:val="cente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水池</w:t>
                  </w:r>
                  <w:r>
                    <w:rPr>
                      <w:rFonts w:hint="eastAsia"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有效容积</w:t>
                  </w: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（m</w:t>
                  </w:r>
                  <w:r>
                    <w:rPr>
                      <w:rFonts w:hint="default" w:ascii="Times New Roman" w:hAnsi="Times New Roman" w:eastAsia="宋体" w:cs="Times New Roman"/>
                      <w:b/>
                      <w:bCs/>
                      <w:color w:val="000000" w:themeColor="text1"/>
                      <w:kern w:val="0"/>
                      <w:sz w:val="21"/>
                      <w:szCs w:val="21"/>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w:t>
                  </w:r>
                </w:p>
              </w:tc>
              <w:tc>
                <w:tcPr>
                  <w:tcW w:w="766" w:type="pct"/>
                  <w:vMerge w:val="restart"/>
                  <w:tcBorders>
                    <w:tl2br w:val="nil"/>
                    <w:tr2bl w:val="nil"/>
                  </w:tcBorders>
                  <w:noWrap w:val="0"/>
                  <w:vAlign w:val="center"/>
                </w:tcPr>
                <w:p w14:paraId="22B08C6A">
                  <w:pPr>
                    <w:adjustRightInd w:val="0"/>
                    <w:snapToGrid w:val="0"/>
                    <w:spacing w:line="240" w:lineRule="auto"/>
                    <w:jc w:val="cente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使用药剂</w:t>
                  </w:r>
                </w:p>
              </w:tc>
              <w:tc>
                <w:tcPr>
                  <w:tcW w:w="515" w:type="pct"/>
                  <w:vMerge w:val="restart"/>
                  <w:tcBorders>
                    <w:tl2br w:val="nil"/>
                    <w:tr2bl w:val="nil"/>
                  </w:tcBorders>
                  <w:noWrap w:val="0"/>
                  <w:vAlign w:val="center"/>
                </w:tcPr>
                <w:p w14:paraId="3AAFC78C">
                  <w:pPr>
                    <w:adjustRightInd w:val="0"/>
                    <w:snapToGrid w:val="0"/>
                    <w:spacing w:line="240" w:lineRule="auto"/>
                    <w:jc w:val="cente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槽液更换周期</w:t>
                  </w:r>
                </w:p>
              </w:tc>
              <w:tc>
                <w:tcPr>
                  <w:tcW w:w="782" w:type="pct"/>
                  <w:vMerge w:val="restart"/>
                  <w:tcBorders>
                    <w:tl2br w:val="nil"/>
                    <w:tr2bl w:val="nil"/>
                  </w:tcBorders>
                  <w:noWrap w:val="0"/>
                  <w:vAlign w:val="center"/>
                </w:tcPr>
                <w:p w14:paraId="2ACEE9EF">
                  <w:pPr>
                    <w:adjustRightInd w:val="0"/>
                    <w:snapToGrid w:val="0"/>
                    <w:spacing w:line="240" w:lineRule="auto"/>
                    <w:jc w:val="cente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处理去向</w:t>
                  </w:r>
                </w:p>
              </w:tc>
            </w:tr>
            <w:tr w14:paraId="5E6B4B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59" w:type="pct"/>
                  <w:vMerge w:val="continue"/>
                  <w:tcBorders>
                    <w:tl2br w:val="nil"/>
                    <w:tr2bl w:val="nil"/>
                  </w:tcBorders>
                  <w:noWrap w:val="0"/>
                  <w:vAlign w:val="center"/>
                </w:tcPr>
                <w:p w14:paraId="75500220">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522" w:type="pct"/>
                  <w:vMerge w:val="continue"/>
                  <w:tcBorders>
                    <w:tl2br w:val="nil"/>
                    <w:tr2bl w:val="nil"/>
                  </w:tcBorders>
                  <w:noWrap w:val="0"/>
                  <w:vAlign w:val="center"/>
                </w:tcPr>
                <w:p w14:paraId="70B5B20D">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379" w:type="pct"/>
                  <w:tcBorders>
                    <w:tl2br w:val="nil"/>
                    <w:tr2bl w:val="nil"/>
                  </w:tcBorders>
                  <w:noWrap/>
                  <w:vAlign w:val="center"/>
                </w:tcPr>
                <w:p w14:paraId="576A5A30">
                  <w:pPr>
                    <w:adjustRightInd w:val="0"/>
                    <w:snapToGrid w:val="0"/>
                    <w:spacing w:line="240" w:lineRule="auto"/>
                    <w:jc w:val="cente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长</w:t>
                  </w:r>
                </w:p>
              </w:tc>
              <w:tc>
                <w:tcPr>
                  <w:tcW w:w="379" w:type="pct"/>
                  <w:tcBorders>
                    <w:tl2br w:val="nil"/>
                    <w:tr2bl w:val="nil"/>
                  </w:tcBorders>
                  <w:noWrap/>
                  <w:vAlign w:val="center"/>
                </w:tcPr>
                <w:p w14:paraId="06435786">
                  <w:pPr>
                    <w:adjustRightInd w:val="0"/>
                    <w:snapToGrid w:val="0"/>
                    <w:spacing w:line="240" w:lineRule="auto"/>
                    <w:jc w:val="cente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宽</w:t>
                  </w:r>
                </w:p>
              </w:tc>
              <w:tc>
                <w:tcPr>
                  <w:tcW w:w="379" w:type="pct"/>
                  <w:tcBorders>
                    <w:tl2br w:val="nil"/>
                    <w:tr2bl w:val="nil"/>
                  </w:tcBorders>
                  <w:noWrap/>
                  <w:vAlign w:val="center"/>
                </w:tcPr>
                <w:p w14:paraId="5232CBB1">
                  <w:pPr>
                    <w:adjustRightInd w:val="0"/>
                    <w:snapToGrid w:val="0"/>
                    <w:spacing w:line="240" w:lineRule="auto"/>
                    <w:jc w:val="cente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高</w:t>
                  </w:r>
                </w:p>
              </w:tc>
              <w:tc>
                <w:tcPr>
                  <w:tcW w:w="515" w:type="pct"/>
                  <w:vMerge w:val="continue"/>
                  <w:tcBorders>
                    <w:tl2br w:val="nil"/>
                    <w:tr2bl w:val="nil"/>
                  </w:tcBorders>
                  <w:noWrap w:val="0"/>
                  <w:vAlign w:val="center"/>
                </w:tcPr>
                <w:p w14:paraId="524F7D7A">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766" w:type="pct"/>
                  <w:vMerge w:val="continue"/>
                  <w:tcBorders>
                    <w:tl2br w:val="nil"/>
                    <w:tr2bl w:val="nil"/>
                  </w:tcBorders>
                  <w:noWrap w:val="0"/>
                  <w:vAlign w:val="center"/>
                </w:tcPr>
                <w:p w14:paraId="38F6F85C">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515" w:type="pct"/>
                  <w:vMerge w:val="continue"/>
                  <w:tcBorders>
                    <w:tl2br w:val="nil"/>
                    <w:tr2bl w:val="nil"/>
                  </w:tcBorders>
                  <w:noWrap w:val="0"/>
                  <w:vAlign w:val="center"/>
                </w:tcPr>
                <w:p w14:paraId="47538E18">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782" w:type="pct"/>
                  <w:vMerge w:val="continue"/>
                  <w:tcBorders>
                    <w:tl2br w:val="nil"/>
                    <w:tr2bl w:val="nil"/>
                  </w:tcBorders>
                  <w:noWrap w:val="0"/>
                  <w:vAlign w:val="center"/>
                </w:tcPr>
                <w:p w14:paraId="05F97FED">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r>
            <w:tr w14:paraId="3BD51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9" w:hRule="atLeast"/>
                <w:jc w:val="center"/>
              </w:trPr>
              <w:tc>
                <w:tcPr>
                  <w:tcW w:w="759" w:type="pct"/>
                  <w:tcBorders>
                    <w:tl2br w:val="nil"/>
                    <w:tr2bl w:val="nil"/>
                  </w:tcBorders>
                  <w:noWrap w:val="0"/>
                  <w:vAlign w:val="center"/>
                </w:tcPr>
                <w:p w14:paraId="435DBD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预</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水洗</w:t>
                  </w:r>
                  <w:r>
                    <w:rPr>
                      <w:rFonts w:hint="default" w:ascii="Times New Roman" w:hAnsi="Times New Roman" w:eastAsia="宋体" w:cs="Times New Roman"/>
                      <w:color w:val="000000" w:themeColor="text1"/>
                      <w:sz w:val="21"/>
                      <w:szCs w:val="21"/>
                      <w:highlight w:val="none"/>
                      <w14:textFill>
                        <w14:solidFill>
                          <w14:schemeClr w14:val="tx1"/>
                        </w14:solidFill>
                      </w14:textFill>
                    </w:rPr>
                    <w:t>池</w:t>
                  </w:r>
                </w:p>
              </w:tc>
              <w:tc>
                <w:tcPr>
                  <w:tcW w:w="522" w:type="pct"/>
                  <w:tcBorders>
                    <w:tl2br w:val="nil"/>
                    <w:tr2bl w:val="nil"/>
                  </w:tcBorders>
                  <w:noWrap w:val="0"/>
                  <w:vAlign w:val="center"/>
                </w:tcPr>
                <w:p w14:paraId="65390EA7">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喷淋式</w:t>
                  </w:r>
                </w:p>
              </w:tc>
              <w:tc>
                <w:tcPr>
                  <w:tcW w:w="379" w:type="pct"/>
                  <w:tcBorders>
                    <w:tl2br w:val="nil"/>
                    <w:tr2bl w:val="nil"/>
                  </w:tcBorders>
                  <w:noWrap w:val="0"/>
                  <w:vAlign w:val="center"/>
                </w:tcPr>
                <w:p w14:paraId="1C6EE410">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2</w:t>
                  </w:r>
                </w:p>
              </w:tc>
              <w:tc>
                <w:tcPr>
                  <w:tcW w:w="379" w:type="pct"/>
                  <w:tcBorders>
                    <w:tl2br w:val="nil"/>
                    <w:tr2bl w:val="nil"/>
                  </w:tcBorders>
                  <w:noWrap/>
                  <w:vAlign w:val="center"/>
                </w:tcPr>
                <w:p w14:paraId="20FFE281">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w:t>
                  </w:r>
                </w:p>
              </w:tc>
              <w:tc>
                <w:tcPr>
                  <w:tcW w:w="379" w:type="pct"/>
                  <w:tcBorders>
                    <w:tl2br w:val="nil"/>
                    <w:tr2bl w:val="nil"/>
                  </w:tcBorders>
                  <w:noWrap/>
                  <w:vAlign w:val="center"/>
                </w:tcPr>
                <w:p w14:paraId="64F012BA">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p>
              </w:tc>
              <w:tc>
                <w:tcPr>
                  <w:tcW w:w="515" w:type="pct"/>
                  <w:tcBorders>
                    <w:tl2br w:val="nil"/>
                    <w:tr2bl w:val="nil"/>
                  </w:tcBorders>
                  <w:noWrap w:val="0"/>
                  <w:vAlign w:val="center"/>
                </w:tcPr>
                <w:p w14:paraId="7A81FA43">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3.2</w:t>
                  </w:r>
                </w:p>
              </w:tc>
              <w:tc>
                <w:tcPr>
                  <w:tcW w:w="766" w:type="pct"/>
                  <w:tcBorders>
                    <w:tl2br w:val="nil"/>
                    <w:tr2bl w:val="nil"/>
                  </w:tcBorders>
                  <w:noWrap w:val="0"/>
                  <w:vAlign w:val="center"/>
                </w:tcPr>
                <w:p w14:paraId="13696EC0">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p>
              </w:tc>
              <w:tc>
                <w:tcPr>
                  <w:tcW w:w="853" w:type="dxa"/>
                  <w:tcBorders>
                    <w:tl2br w:val="nil"/>
                    <w:tr2bl w:val="nil"/>
                  </w:tcBorders>
                  <w:noWrap w:val="0"/>
                  <w:vAlign w:val="center"/>
                </w:tcPr>
                <w:p w14:paraId="6F0370A0">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1次/月</w:t>
                  </w:r>
                </w:p>
              </w:tc>
              <w:tc>
                <w:tcPr>
                  <w:tcW w:w="782" w:type="pct"/>
                  <w:vMerge w:val="restart"/>
                  <w:tcBorders>
                    <w:tl2br w:val="nil"/>
                    <w:tr2bl w:val="nil"/>
                  </w:tcBorders>
                  <w:noWrap w:val="0"/>
                  <w:vAlign w:val="center"/>
                </w:tcPr>
                <w:p w14:paraId="382C6C07">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污水</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处理站</w:t>
                  </w:r>
                </w:p>
              </w:tc>
            </w:tr>
            <w:tr w14:paraId="74C75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59" w:type="pct"/>
                  <w:tcBorders>
                    <w:tl2br w:val="nil"/>
                    <w:tr2bl w:val="nil"/>
                  </w:tcBorders>
                  <w:noWrap w:val="0"/>
                  <w:vAlign w:val="center"/>
                </w:tcPr>
                <w:p w14:paraId="2387DD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预脱脂</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池</w:t>
                  </w:r>
                </w:p>
              </w:tc>
              <w:tc>
                <w:tcPr>
                  <w:tcW w:w="522" w:type="pct"/>
                  <w:tcBorders>
                    <w:tl2br w:val="nil"/>
                    <w:tr2bl w:val="nil"/>
                  </w:tcBorders>
                  <w:noWrap w:val="0"/>
                  <w:vAlign w:val="center"/>
                </w:tcPr>
                <w:p w14:paraId="49C29888">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喷淋式</w:t>
                  </w:r>
                </w:p>
              </w:tc>
              <w:tc>
                <w:tcPr>
                  <w:tcW w:w="379" w:type="pct"/>
                  <w:tcBorders>
                    <w:tl2br w:val="nil"/>
                    <w:tr2bl w:val="nil"/>
                  </w:tcBorders>
                  <w:noWrap w:val="0"/>
                  <w:vAlign w:val="center"/>
                </w:tcPr>
                <w:p w14:paraId="7C365509">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7</w:t>
                  </w:r>
                </w:p>
              </w:tc>
              <w:tc>
                <w:tcPr>
                  <w:tcW w:w="379" w:type="pct"/>
                  <w:tcBorders>
                    <w:tl2br w:val="nil"/>
                    <w:tr2bl w:val="nil"/>
                  </w:tcBorders>
                  <w:noWrap/>
                  <w:vAlign w:val="center"/>
                </w:tcPr>
                <w:p w14:paraId="131A185C">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w:t>
                  </w:r>
                </w:p>
              </w:tc>
              <w:tc>
                <w:tcPr>
                  <w:tcW w:w="379" w:type="pct"/>
                  <w:tcBorders>
                    <w:tl2br w:val="nil"/>
                    <w:tr2bl w:val="nil"/>
                  </w:tcBorders>
                  <w:noWrap/>
                  <w:vAlign w:val="center"/>
                </w:tcPr>
                <w:p w14:paraId="7DFAA82C">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p>
              </w:tc>
              <w:tc>
                <w:tcPr>
                  <w:tcW w:w="515" w:type="pct"/>
                  <w:tcBorders>
                    <w:tl2br w:val="nil"/>
                    <w:tr2bl w:val="nil"/>
                  </w:tcBorders>
                  <w:noWrap w:val="0"/>
                  <w:vAlign w:val="center"/>
                </w:tcPr>
                <w:p w14:paraId="7EA21FC5">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11.2</w:t>
                  </w:r>
                </w:p>
              </w:tc>
              <w:tc>
                <w:tcPr>
                  <w:tcW w:w="766" w:type="pct"/>
                  <w:tcBorders>
                    <w:tl2br w:val="nil"/>
                    <w:tr2bl w:val="nil"/>
                  </w:tcBorders>
                  <w:noWrap w:val="0"/>
                  <w:vAlign w:val="center"/>
                </w:tcPr>
                <w:p w14:paraId="3F8872C2">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除油</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剂</w:t>
                  </w:r>
                </w:p>
              </w:tc>
              <w:tc>
                <w:tcPr>
                  <w:tcW w:w="853" w:type="dxa"/>
                  <w:tcBorders>
                    <w:tl2br w:val="nil"/>
                    <w:tr2bl w:val="nil"/>
                  </w:tcBorders>
                  <w:noWrap w:val="0"/>
                  <w:vAlign w:val="center"/>
                </w:tcPr>
                <w:p w14:paraId="45BF6475">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1次/季</w:t>
                  </w:r>
                </w:p>
              </w:tc>
              <w:tc>
                <w:tcPr>
                  <w:tcW w:w="782" w:type="pct"/>
                  <w:vMerge w:val="continue"/>
                  <w:tcBorders>
                    <w:tl2br w:val="nil"/>
                    <w:tr2bl w:val="nil"/>
                  </w:tcBorders>
                  <w:noWrap w:val="0"/>
                  <w:vAlign w:val="center"/>
                </w:tcPr>
                <w:p w14:paraId="094CDD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r>
            <w:tr w14:paraId="4399D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59" w:type="pct"/>
                  <w:tcBorders>
                    <w:tl2br w:val="nil"/>
                    <w:tr2bl w:val="nil"/>
                  </w:tcBorders>
                  <w:noWrap w:val="0"/>
                  <w:vAlign w:val="center"/>
                </w:tcPr>
                <w:p w14:paraId="705AF9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脱脂</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池</w:t>
                  </w:r>
                </w:p>
              </w:tc>
              <w:tc>
                <w:tcPr>
                  <w:tcW w:w="522" w:type="pct"/>
                  <w:tcBorders>
                    <w:tl2br w:val="nil"/>
                    <w:tr2bl w:val="nil"/>
                  </w:tcBorders>
                  <w:noWrap w:val="0"/>
                  <w:vAlign w:val="center"/>
                </w:tcPr>
                <w:p w14:paraId="1D66969F">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喷淋式</w:t>
                  </w:r>
                </w:p>
              </w:tc>
              <w:tc>
                <w:tcPr>
                  <w:tcW w:w="379" w:type="pct"/>
                  <w:tcBorders>
                    <w:tl2br w:val="nil"/>
                    <w:tr2bl w:val="nil"/>
                  </w:tcBorders>
                  <w:noWrap w:val="0"/>
                  <w:vAlign w:val="center"/>
                </w:tcPr>
                <w:p w14:paraId="50412E3F">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7</w:t>
                  </w:r>
                </w:p>
              </w:tc>
              <w:tc>
                <w:tcPr>
                  <w:tcW w:w="379" w:type="pct"/>
                  <w:tcBorders>
                    <w:tl2br w:val="nil"/>
                    <w:tr2bl w:val="nil"/>
                  </w:tcBorders>
                  <w:noWrap/>
                  <w:vAlign w:val="center"/>
                </w:tcPr>
                <w:p w14:paraId="1FCB5337">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w:t>
                  </w:r>
                </w:p>
              </w:tc>
              <w:tc>
                <w:tcPr>
                  <w:tcW w:w="379" w:type="pct"/>
                  <w:tcBorders>
                    <w:tl2br w:val="nil"/>
                    <w:tr2bl w:val="nil"/>
                  </w:tcBorders>
                  <w:noWrap/>
                  <w:vAlign w:val="center"/>
                </w:tcPr>
                <w:p w14:paraId="1A3012CE">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p>
              </w:tc>
              <w:tc>
                <w:tcPr>
                  <w:tcW w:w="515" w:type="pct"/>
                  <w:tcBorders>
                    <w:tl2br w:val="nil"/>
                    <w:tr2bl w:val="nil"/>
                  </w:tcBorders>
                  <w:noWrap w:val="0"/>
                  <w:vAlign w:val="center"/>
                </w:tcPr>
                <w:p w14:paraId="633289FF">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11.2</w:t>
                  </w:r>
                </w:p>
              </w:tc>
              <w:tc>
                <w:tcPr>
                  <w:tcW w:w="766" w:type="pct"/>
                  <w:tcBorders>
                    <w:tl2br w:val="nil"/>
                    <w:tr2bl w:val="nil"/>
                  </w:tcBorders>
                  <w:noWrap w:val="0"/>
                  <w:vAlign w:val="center"/>
                </w:tcPr>
                <w:p w14:paraId="061090BF">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除油</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剂</w:t>
                  </w:r>
                </w:p>
              </w:tc>
              <w:tc>
                <w:tcPr>
                  <w:tcW w:w="853" w:type="dxa"/>
                  <w:tcBorders>
                    <w:tl2br w:val="nil"/>
                    <w:tr2bl w:val="nil"/>
                  </w:tcBorders>
                  <w:noWrap w:val="0"/>
                  <w:vAlign w:val="center"/>
                </w:tcPr>
                <w:p w14:paraId="033360BC">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1次/季</w:t>
                  </w:r>
                </w:p>
              </w:tc>
              <w:tc>
                <w:tcPr>
                  <w:tcW w:w="782" w:type="pct"/>
                  <w:vMerge w:val="continue"/>
                  <w:tcBorders>
                    <w:tl2br w:val="nil"/>
                    <w:tr2bl w:val="nil"/>
                  </w:tcBorders>
                  <w:noWrap w:val="0"/>
                  <w:vAlign w:val="center"/>
                </w:tcPr>
                <w:p w14:paraId="2C7357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79F9D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59" w:type="pct"/>
                  <w:tcBorders>
                    <w:tl2br w:val="nil"/>
                    <w:tr2bl w:val="nil"/>
                  </w:tcBorders>
                  <w:noWrap w:val="0"/>
                  <w:vAlign w:val="center"/>
                </w:tcPr>
                <w:p w14:paraId="30D018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1</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水洗池</w:t>
                  </w:r>
                </w:p>
              </w:tc>
              <w:tc>
                <w:tcPr>
                  <w:tcW w:w="522" w:type="pct"/>
                  <w:tcBorders>
                    <w:tl2br w:val="nil"/>
                    <w:tr2bl w:val="nil"/>
                  </w:tcBorders>
                  <w:noWrap w:val="0"/>
                  <w:vAlign w:val="center"/>
                </w:tcPr>
                <w:p w14:paraId="74FA1F0A">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喷淋式</w:t>
                  </w:r>
                </w:p>
              </w:tc>
              <w:tc>
                <w:tcPr>
                  <w:tcW w:w="379" w:type="pct"/>
                  <w:tcBorders>
                    <w:tl2br w:val="nil"/>
                    <w:tr2bl w:val="nil"/>
                  </w:tcBorders>
                  <w:noWrap w:val="0"/>
                  <w:vAlign w:val="center"/>
                </w:tcPr>
                <w:p w14:paraId="021D404B">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3</w:t>
                  </w:r>
                  <w:r>
                    <w:rPr>
                      <w:rFonts w:hint="eastAsia" w:cs="Times New Roman"/>
                      <w:color w:val="000000" w:themeColor="text1"/>
                      <w:kern w:val="0"/>
                      <w:sz w:val="21"/>
                      <w:szCs w:val="21"/>
                      <w:highlight w:val="none"/>
                      <w:lang w:val="en-US" w:eastAsia="zh-CN" w:bidi="ar"/>
                      <w14:textFill>
                        <w14:solidFill>
                          <w14:schemeClr w14:val="tx1"/>
                        </w14:solidFill>
                      </w14:textFill>
                    </w:rPr>
                    <w:t>.5</w:t>
                  </w:r>
                </w:p>
              </w:tc>
              <w:tc>
                <w:tcPr>
                  <w:tcW w:w="379" w:type="pct"/>
                  <w:tcBorders>
                    <w:tl2br w:val="nil"/>
                    <w:tr2bl w:val="nil"/>
                  </w:tcBorders>
                  <w:noWrap/>
                  <w:vAlign w:val="center"/>
                </w:tcPr>
                <w:p w14:paraId="3C9C90EE">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w:t>
                  </w:r>
                </w:p>
              </w:tc>
              <w:tc>
                <w:tcPr>
                  <w:tcW w:w="379" w:type="pct"/>
                  <w:tcBorders>
                    <w:tl2br w:val="nil"/>
                    <w:tr2bl w:val="nil"/>
                  </w:tcBorders>
                  <w:noWrap/>
                  <w:vAlign w:val="center"/>
                </w:tcPr>
                <w:p w14:paraId="1E525D25">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p>
              </w:tc>
              <w:tc>
                <w:tcPr>
                  <w:tcW w:w="515" w:type="pct"/>
                  <w:tcBorders>
                    <w:tl2br w:val="nil"/>
                    <w:tr2bl w:val="nil"/>
                  </w:tcBorders>
                  <w:noWrap w:val="0"/>
                  <w:vAlign w:val="center"/>
                </w:tcPr>
                <w:p w14:paraId="482BC8B7">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5.6</w:t>
                  </w:r>
                </w:p>
              </w:tc>
              <w:tc>
                <w:tcPr>
                  <w:tcW w:w="766" w:type="pct"/>
                  <w:tcBorders>
                    <w:tl2br w:val="nil"/>
                    <w:tr2bl w:val="nil"/>
                  </w:tcBorders>
                  <w:noWrap w:val="0"/>
                  <w:vAlign w:val="center"/>
                </w:tcPr>
                <w:p w14:paraId="58EBE3CF">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p>
              </w:tc>
              <w:tc>
                <w:tcPr>
                  <w:tcW w:w="853" w:type="dxa"/>
                  <w:tcBorders>
                    <w:tl2br w:val="nil"/>
                    <w:tr2bl w:val="nil"/>
                  </w:tcBorders>
                  <w:noWrap w:val="0"/>
                  <w:vAlign w:val="center"/>
                </w:tcPr>
                <w:p w14:paraId="4A6C928A">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1次/月</w:t>
                  </w:r>
                </w:p>
              </w:tc>
              <w:tc>
                <w:tcPr>
                  <w:tcW w:w="782" w:type="pct"/>
                  <w:vMerge w:val="continue"/>
                  <w:tcBorders>
                    <w:tl2br w:val="nil"/>
                    <w:tr2bl w:val="nil"/>
                  </w:tcBorders>
                  <w:noWrap w:val="0"/>
                  <w:vAlign w:val="center"/>
                </w:tcPr>
                <w:p w14:paraId="06135B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5C598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59" w:type="pct"/>
                  <w:tcBorders>
                    <w:tl2br w:val="nil"/>
                    <w:tr2bl w:val="nil"/>
                  </w:tcBorders>
                  <w:noWrap w:val="0"/>
                  <w:vAlign w:val="center"/>
                </w:tcPr>
                <w:p w14:paraId="12BD13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水洗池</w:t>
                  </w:r>
                </w:p>
              </w:tc>
              <w:tc>
                <w:tcPr>
                  <w:tcW w:w="522" w:type="pct"/>
                  <w:tcBorders>
                    <w:tl2br w:val="nil"/>
                    <w:tr2bl w:val="nil"/>
                  </w:tcBorders>
                  <w:noWrap w:val="0"/>
                  <w:vAlign w:val="center"/>
                </w:tcPr>
                <w:p w14:paraId="0CCC3F05">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喷淋式</w:t>
                  </w:r>
                </w:p>
              </w:tc>
              <w:tc>
                <w:tcPr>
                  <w:tcW w:w="379" w:type="pct"/>
                  <w:tcBorders>
                    <w:tl2br w:val="nil"/>
                    <w:tr2bl w:val="nil"/>
                  </w:tcBorders>
                  <w:noWrap w:val="0"/>
                  <w:vAlign w:val="center"/>
                </w:tcPr>
                <w:p w14:paraId="45B47DC8">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3</w:t>
                  </w:r>
                  <w:r>
                    <w:rPr>
                      <w:rFonts w:hint="eastAsia" w:cs="Times New Roman"/>
                      <w:color w:val="000000" w:themeColor="text1"/>
                      <w:kern w:val="0"/>
                      <w:sz w:val="21"/>
                      <w:szCs w:val="21"/>
                      <w:highlight w:val="none"/>
                      <w:lang w:val="en-US" w:eastAsia="zh-CN" w:bidi="ar"/>
                      <w14:textFill>
                        <w14:solidFill>
                          <w14:schemeClr w14:val="tx1"/>
                        </w14:solidFill>
                      </w14:textFill>
                    </w:rPr>
                    <w:t>.5</w:t>
                  </w:r>
                </w:p>
              </w:tc>
              <w:tc>
                <w:tcPr>
                  <w:tcW w:w="379" w:type="pct"/>
                  <w:tcBorders>
                    <w:tl2br w:val="nil"/>
                    <w:tr2bl w:val="nil"/>
                  </w:tcBorders>
                  <w:noWrap/>
                  <w:vAlign w:val="center"/>
                </w:tcPr>
                <w:p w14:paraId="0E49B074">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w:t>
                  </w:r>
                </w:p>
              </w:tc>
              <w:tc>
                <w:tcPr>
                  <w:tcW w:w="379" w:type="pct"/>
                  <w:tcBorders>
                    <w:tl2br w:val="nil"/>
                    <w:tr2bl w:val="nil"/>
                  </w:tcBorders>
                  <w:noWrap/>
                  <w:vAlign w:val="center"/>
                </w:tcPr>
                <w:p w14:paraId="643079BF">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p>
              </w:tc>
              <w:tc>
                <w:tcPr>
                  <w:tcW w:w="515" w:type="pct"/>
                  <w:tcBorders>
                    <w:tl2br w:val="nil"/>
                    <w:tr2bl w:val="nil"/>
                  </w:tcBorders>
                  <w:noWrap w:val="0"/>
                  <w:vAlign w:val="center"/>
                </w:tcPr>
                <w:p w14:paraId="199F848E">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5.6</w:t>
                  </w:r>
                </w:p>
              </w:tc>
              <w:tc>
                <w:tcPr>
                  <w:tcW w:w="766" w:type="pct"/>
                  <w:tcBorders>
                    <w:tl2br w:val="nil"/>
                    <w:tr2bl w:val="nil"/>
                  </w:tcBorders>
                  <w:noWrap w:val="0"/>
                  <w:vAlign w:val="center"/>
                </w:tcPr>
                <w:p w14:paraId="3BCC490C">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p>
              </w:tc>
              <w:tc>
                <w:tcPr>
                  <w:tcW w:w="853" w:type="dxa"/>
                  <w:tcBorders>
                    <w:tl2br w:val="nil"/>
                    <w:tr2bl w:val="nil"/>
                  </w:tcBorders>
                  <w:noWrap w:val="0"/>
                  <w:vAlign w:val="center"/>
                </w:tcPr>
                <w:p w14:paraId="0BCC2953">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1次/月</w:t>
                  </w:r>
                </w:p>
              </w:tc>
              <w:tc>
                <w:tcPr>
                  <w:tcW w:w="782" w:type="pct"/>
                  <w:vMerge w:val="continue"/>
                  <w:tcBorders>
                    <w:tl2br w:val="nil"/>
                    <w:tr2bl w:val="nil"/>
                  </w:tcBorders>
                  <w:noWrap w:val="0"/>
                  <w:vAlign w:val="center"/>
                </w:tcPr>
                <w:p w14:paraId="628D3A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30B18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59" w:type="pct"/>
                  <w:tcBorders>
                    <w:tl2br w:val="nil"/>
                    <w:tr2bl w:val="nil"/>
                  </w:tcBorders>
                  <w:noWrap w:val="0"/>
                  <w:vAlign w:val="center"/>
                </w:tcPr>
                <w:p w14:paraId="378B2F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清</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水洗池</w:t>
                  </w:r>
                </w:p>
              </w:tc>
              <w:tc>
                <w:tcPr>
                  <w:tcW w:w="522" w:type="pct"/>
                  <w:tcBorders>
                    <w:tl2br w:val="nil"/>
                    <w:tr2bl w:val="nil"/>
                  </w:tcBorders>
                  <w:noWrap w:val="0"/>
                  <w:vAlign w:val="center"/>
                </w:tcPr>
                <w:p w14:paraId="2773DF6C">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喷淋式</w:t>
                  </w:r>
                </w:p>
              </w:tc>
              <w:tc>
                <w:tcPr>
                  <w:tcW w:w="379" w:type="pct"/>
                  <w:tcBorders>
                    <w:tl2br w:val="nil"/>
                    <w:tr2bl w:val="nil"/>
                  </w:tcBorders>
                  <w:noWrap w:val="0"/>
                  <w:vAlign w:val="center"/>
                </w:tcPr>
                <w:p w14:paraId="59F321C5">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1</w:t>
                  </w:r>
                </w:p>
              </w:tc>
              <w:tc>
                <w:tcPr>
                  <w:tcW w:w="379" w:type="pct"/>
                  <w:tcBorders>
                    <w:tl2br w:val="nil"/>
                    <w:tr2bl w:val="nil"/>
                  </w:tcBorders>
                  <w:noWrap/>
                  <w:vAlign w:val="center"/>
                </w:tcPr>
                <w:p w14:paraId="73424548">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w:t>
                  </w:r>
                </w:p>
              </w:tc>
              <w:tc>
                <w:tcPr>
                  <w:tcW w:w="379" w:type="pct"/>
                  <w:tcBorders>
                    <w:tl2br w:val="nil"/>
                    <w:tr2bl w:val="nil"/>
                  </w:tcBorders>
                  <w:noWrap/>
                  <w:vAlign w:val="center"/>
                </w:tcPr>
                <w:p w14:paraId="13AC7E11">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p>
              </w:tc>
              <w:tc>
                <w:tcPr>
                  <w:tcW w:w="515" w:type="pct"/>
                  <w:tcBorders>
                    <w:tl2br w:val="nil"/>
                    <w:tr2bl w:val="nil"/>
                  </w:tcBorders>
                  <w:noWrap w:val="0"/>
                  <w:vAlign w:val="center"/>
                </w:tcPr>
                <w:p w14:paraId="63D7E95F">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1.6</w:t>
                  </w:r>
                </w:p>
              </w:tc>
              <w:tc>
                <w:tcPr>
                  <w:tcW w:w="766" w:type="pct"/>
                  <w:tcBorders>
                    <w:tl2br w:val="nil"/>
                    <w:tr2bl w:val="nil"/>
                  </w:tcBorders>
                  <w:noWrap w:val="0"/>
                  <w:vAlign w:val="center"/>
                </w:tcPr>
                <w:p w14:paraId="6F8C4904">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p>
              </w:tc>
              <w:tc>
                <w:tcPr>
                  <w:tcW w:w="853" w:type="dxa"/>
                  <w:tcBorders>
                    <w:tl2br w:val="nil"/>
                    <w:tr2bl w:val="nil"/>
                  </w:tcBorders>
                  <w:noWrap w:val="0"/>
                  <w:vAlign w:val="center"/>
                </w:tcPr>
                <w:p w14:paraId="7B5E8BD6">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1次/月</w:t>
                  </w:r>
                </w:p>
              </w:tc>
              <w:tc>
                <w:tcPr>
                  <w:tcW w:w="782" w:type="pct"/>
                  <w:vMerge w:val="continue"/>
                  <w:tcBorders>
                    <w:tl2br w:val="nil"/>
                    <w:tr2bl w:val="nil"/>
                  </w:tcBorders>
                  <w:noWrap w:val="0"/>
                  <w:vAlign w:val="center"/>
                </w:tcPr>
                <w:p w14:paraId="30AEB5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15600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59" w:type="pct"/>
                  <w:tcBorders>
                    <w:tl2br w:val="nil"/>
                    <w:tr2bl w:val="nil"/>
                  </w:tcBorders>
                  <w:noWrap w:val="0"/>
                  <w:vAlign w:val="center"/>
                </w:tcPr>
                <w:p w14:paraId="26F9BC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无铬钝化池</w:t>
                  </w:r>
                </w:p>
              </w:tc>
              <w:tc>
                <w:tcPr>
                  <w:tcW w:w="522" w:type="pct"/>
                  <w:tcBorders>
                    <w:tl2br w:val="nil"/>
                    <w:tr2bl w:val="nil"/>
                  </w:tcBorders>
                  <w:noWrap w:val="0"/>
                  <w:vAlign w:val="center"/>
                </w:tcPr>
                <w:p w14:paraId="79DD11BC">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喷淋式</w:t>
                  </w:r>
                </w:p>
              </w:tc>
              <w:tc>
                <w:tcPr>
                  <w:tcW w:w="379" w:type="pct"/>
                  <w:tcBorders>
                    <w:tl2br w:val="nil"/>
                    <w:tr2bl w:val="nil"/>
                  </w:tcBorders>
                  <w:noWrap w:val="0"/>
                  <w:vAlign w:val="center"/>
                </w:tcPr>
                <w:p w14:paraId="516E4AD4">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.5</w:t>
                  </w:r>
                </w:p>
              </w:tc>
              <w:tc>
                <w:tcPr>
                  <w:tcW w:w="379" w:type="pct"/>
                  <w:tcBorders>
                    <w:tl2br w:val="nil"/>
                    <w:tr2bl w:val="nil"/>
                  </w:tcBorders>
                  <w:noWrap/>
                  <w:vAlign w:val="center"/>
                </w:tcPr>
                <w:p w14:paraId="21EF25C3">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w:t>
                  </w:r>
                </w:p>
              </w:tc>
              <w:tc>
                <w:tcPr>
                  <w:tcW w:w="379" w:type="pct"/>
                  <w:tcBorders>
                    <w:tl2br w:val="nil"/>
                    <w:tr2bl w:val="nil"/>
                  </w:tcBorders>
                  <w:noWrap/>
                  <w:vAlign w:val="center"/>
                </w:tcPr>
                <w:p w14:paraId="3C1941C3">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p>
              </w:tc>
              <w:tc>
                <w:tcPr>
                  <w:tcW w:w="515" w:type="pct"/>
                  <w:tcBorders>
                    <w:tl2br w:val="nil"/>
                    <w:tr2bl w:val="nil"/>
                  </w:tcBorders>
                  <w:noWrap w:val="0"/>
                  <w:vAlign w:val="center"/>
                </w:tcPr>
                <w:p w14:paraId="28ED22E3">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5.6</w:t>
                  </w:r>
                </w:p>
              </w:tc>
              <w:tc>
                <w:tcPr>
                  <w:tcW w:w="766" w:type="pct"/>
                  <w:tcBorders>
                    <w:tl2br w:val="nil"/>
                    <w:tr2bl w:val="nil"/>
                  </w:tcBorders>
                  <w:noWrap w:val="0"/>
                  <w:vAlign w:val="center"/>
                </w:tcPr>
                <w:p w14:paraId="72D02E20">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无铬钝化剂</w:t>
                  </w:r>
                </w:p>
              </w:tc>
              <w:tc>
                <w:tcPr>
                  <w:tcW w:w="853" w:type="dxa"/>
                  <w:tcBorders>
                    <w:tl2br w:val="nil"/>
                    <w:tr2bl w:val="nil"/>
                  </w:tcBorders>
                  <w:noWrap w:val="0"/>
                  <w:vAlign w:val="center"/>
                </w:tcPr>
                <w:p w14:paraId="38CCBE18">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1次/季</w:t>
                  </w:r>
                </w:p>
              </w:tc>
              <w:tc>
                <w:tcPr>
                  <w:tcW w:w="782" w:type="pct"/>
                  <w:tcBorders>
                    <w:tl2br w:val="nil"/>
                    <w:tr2bl w:val="nil"/>
                  </w:tcBorders>
                  <w:noWrap w:val="0"/>
                  <w:vAlign w:val="center"/>
                </w:tcPr>
                <w:p w14:paraId="5F7307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委外处置</w:t>
                  </w:r>
                </w:p>
              </w:tc>
            </w:tr>
            <w:tr w14:paraId="1E2EB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59" w:type="pct"/>
                  <w:tcBorders>
                    <w:tl2br w:val="nil"/>
                    <w:tr2bl w:val="nil"/>
                  </w:tcBorders>
                  <w:noWrap w:val="0"/>
                  <w:vAlign w:val="center"/>
                </w:tcPr>
                <w:p w14:paraId="13D0C0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水洗池</w:t>
                  </w:r>
                </w:p>
              </w:tc>
              <w:tc>
                <w:tcPr>
                  <w:tcW w:w="522" w:type="pct"/>
                  <w:tcBorders>
                    <w:tl2br w:val="nil"/>
                    <w:tr2bl w:val="nil"/>
                  </w:tcBorders>
                  <w:noWrap w:val="0"/>
                  <w:vAlign w:val="center"/>
                </w:tcPr>
                <w:p w14:paraId="5484A354">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喷淋式</w:t>
                  </w:r>
                </w:p>
              </w:tc>
              <w:tc>
                <w:tcPr>
                  <w:tcW w:w="379" w:type="pct"/>
                  <w:tcBorders>
                    <w:tl2br w:val="nil"/>
                    <w:tr2bl w:val="nil"/>
                  </w:tcBorders>
                  <w:noWrap w:val="0"/>
                  <w:vAlign w:val="center"/>
                </w:tcPr>
                <w:p w14:paraId="5808587F">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2</w:t>
                  </w:r>
                </w:p>
              </w:tc>
              <w:tc>
                <w:tcPr>
                  <w:tcW w:w="379" w:type="pct"/>
                  <w:tcBorders>
                    <w:tl2br w:val="nil"/>
                    <w:tr2bl w:val="nil"/>
                  </w:tcBorders>
                  <w:noWrap w:val="0"/>
                  <w:vAlign w:val="center"/>
                </w:tcPr>
                <w:p w14:paraId="0BA3E1DA">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w:t>
                  </w:r>
                </w:p>
              </w:tc>
              <w:tc>
                <w:tcPr>
                  <w:tcW w:w="379" w:type="pct"/>
                  <w:tcBorders>
                    <w:tl2br w:val="nil"/>
                    <w:tr2bl w:val="nil"/>
                  </w:tcBorders>
                  <w:noWrap w:val="0"/>
                  <w:vAlign w:val="center"/>
                </w:tcPr>
                <w:p w14:paraId="339FF915">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p>
              </w:tc>
              <w:tc>
                <w:tcPr>
                  <w:tcW w:w="515" w:type="pct"/>
                  <w:tcBorders>
                    <w:tl2br w:val="nil"/>
                    <w:tr2bl w:val="nil"/>
                  </w:tcBorders>
                  <w:noWrap w:val="0"/>
                  <w:vAlign w:val="center"/>
                </w:tcPr>
                <w:p w14:paraId="67FE1112">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3.2</w:t>
                  </w:r>
                </w:p>
              </w:tc>
              <w:tc>
                <w:tcPr>
                  <w:tcW w:w="766" w:type="pct"/>
                  <w:tcBorders>
                    <w:tl2br w:val="nil"/>
                    <w:tr2bl w:val="nil"/>
                  </w:tcBorders>
                  <w:noWrap w:val="0"/>
                  <w:vAlign w:val="center"/>
                </w:tcPr>
                <w:p w14:paraId="2F6CCE66">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p>
              </w:tc>
              <w:tc>
                <w:tcPr>
                  <w:tcW w:w="853" w:type="dxa"/>
                  <w:tcBorders>
                    <w:tl2br w:val="nil"/>
                    <w:tr2bl w:val="nil"/>
                  </w:tcBorders>
                  <w:noWrap w:val="0"/>
                  <w:vAlign w:val="center"/>
                </w:tcPr>
                <w:p w14:paraId="7F381492">
                  <w:pPr>
                    <w:adjustRightInd w:val="0"/>
                    <w:snapToGrid w:val="0"/>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1次/月</w:t>
                  </w:r>
                </w:p>
              </w:tc>
              <w:tc>
                <w:tcPr>
                  <w:tcW w:w="782" w:type="pct"/>
                  <w:tcBorders>
                    <w:tl2br w:val="nil"/>
                    <w:tr2bl w:val="nil"/>
                  </w:tcBorders>
                  <w:noWrap w:val="0"/>
                  <w:vAlign w:val="center"/>
                </w:tcPr>
                <w:p w14:paraId="07B24E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污水</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处理站</w:t>
                  </w:r>
                </w:p>
              </w:tc>
            </w:tr>
          </w:tbl>
          <w:p w14:paraId="7B53AD97">
            <w:pPr>
              <w:keepNext w:val="0"/>
              <w:keepLines w:val="0"/>
              <w:pageBreakBefore w:val="0"/>
              <w:widowControl/>
              <w:kinsoku/>
              <w:wordWrap/>
              <w:overflowPunct/>
              <w:topLinePunct w:val="0"/>
              <w:autoSpaceDE/>
              <w:autoSpaceDN/>
              <w:bidi w:val="0"/>
              <w:adjustRightInd/>
              <w:snapToGrid/>
              <w:spacing w:line="100" w:lineRule="exact"/>
              <w:ind w:firstLine="478" w:firstLineChars="200"/>
              <w:jc w:val="left"/>
              <w:textAlignment w:val="auto"/>
              <w:rPr>
                <w:rFonts w:hint="default" w:ascii="Times New Roman" w:hAnsi="Times New Roman" w:eastAsia="宋体" w:cs="Times New Roman"/>
                <w:b/>
                <w:bCs/>
                <w:color w:val="000000" w:themeColor="text1"/>
                <w:spacing w:val="-1"/>
                <w:sz w:val="24"/>
                <w:szCs w:val="24"/>
                <w:highlight w:val="none"/>
                <w14:textFill>
                  <w14:solidFill>
                    <w14:schemeClr w14:val="tx1"/>
                  </w14:solidFill>
                </w14:textFill>
              </w:rPr>
            </w:pPr>
          </w:p>
          <w:p w14:paraId="4A718520">
            <w:pPr>
              <w:pStyle w:val="105"/>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w:t>
            </w:r>
            <w:r>
              <w:rPr>
                <w:rFonts w:hint="eastAsia" w:cs="Times New Roman"/>
                <w:b/>
                <w:color w:val="000000" w:themeColor="text1"/>
                <w:highlight w:val="none"/>
                <w:lang w:val="en-US" w:eastAsia="zh-CN"/>
                <w14:textFill>
                  <w14:solidFill>
                    <w14:schemeClr w14:val="tx1"/>
                  </w14:solidFill>
                </w14:textFill>
              </w:rPr>
              <w:t>4</w:t>
            </w:r>
            <w:r>
              <w:rPr>
                <w:rFonts w:hint="default" w:ascii="Times New Roman" w:hAnsi="Times New Roman" w:cs="Times New Roman"/>
                <w:b/>
                <w:color w:val="000000" w:themeColor="text1"/>
                <w:highlight w:val="none"/>
                <w14:textFill>
                  <w14:solidFill>
                    <w14:schemeClr w14:val="tx1"/>
                  </w14:solidFill>
                </w14:textFill>
              </w:rPr>
              <w:t>）烘干：</w:t>
            </w:r>
            <w:r>
              <w:rPr>
                <w:rFonts w:hint="default" w:ascii="Times New Roman" w:hAnsi="Times New Roman" w:cs="Times New Roman"/>
                <w:color w:val="000000" w:themeColor="text1"/>
                <w:highlight w:val="none"/>
                <w14:textFill>
                  <w14:solidFill>
                    <w14:schemeClr w14:val="tx1"/>
                  </w14:solidFill>
                </w14:textFill>
              </w:rPr>
              <w:t>成型铝板材经钝化处理后，内设</w:t>
            </w:r>
            <w:r>
              <w:rPr>
                <w:rFonts w:hint="eastAsia" w:cs="Times New Roman"/>
                <w:color w:val="000000" w:themeColor="text1"/>
                <w:highlight w:val="none"/>
                <w:lang w:val="en-US" w:eastAsia="zh-CN"/>
                <w14:textFill>
                  <w14:solidFill>
                    <w14:schemeClr w14:val="tx1"/>
                  </w14:solidFill>
                </w14:textFill>
              </w:rPr>
              <w:t>电</w:t>
            </w:r>
            <w:r>
              <w:rPr>
                <w:rFonts w:hint="default" w:ascii="Times New Roman" w:hAnsi="Times New Roman" w:cs="Times New Roman"/>
                <w:color w:val="000000" w:themeColor="text1"/>
                <w:highlight w:val="none"/>
                <w14:textFill>
                  <w14:solidFill>
                    <w14:schemeClr w14:val="tx1"/>
                  </w14:solidFill>
                </w14:textFill>
              </w:rPr>
              <w:t>热风循环式烤炉</w:t>
            </w:r>
            <w:r>
              <w:rPr>
                <w:rFonts w:hint="eastAsia" w:cs="Times New Roman"/>
                <w:color w:val="000000" w:themeColor="text1"/>
                <w:highlight w:val="none"/>
                <w:lang w:val="en-US" w:eastAsia="zh-CN"/>
                <w14:textFill>
                  <w14:solidFill>
                    <w14:schemeClr w14:val="tx1"/>
                  </w14:solidFill>
                </w14:textFill>
              </w:rPr>
              <w:t>进行烘烤</w:t>
            </w:r>
            <w:r>
              <w:rPr>
                <w:rFonts w:hint="default" w:ascii="Times New Roman" w:hAnsi="Times New Roman" w:cs="Times New Roman"/>
                <w:color w:val="000000" w:themeColor="text1"/>
                <w:highlight w:val="none"/>
                <w14:textFill>
                  <w14:solidFill>
                    <w14:schemeClr w14:val="tx1"/>
                  </w14:solidFill>
                </w14:textFill>
              </w:rPr>
              <w:t>，控制温度为100℃，时间为6min。</w:t>
            </w:r>
          </w:p>
          <w:p w14:paraId="31D2FEFB">
            <w:pPr>
              <w:pStyle w:val="173"/>
              <w:wordWrap w:val="0"/>
              <w:topLinePunct/>
              <w:adjustRightInd w:val="0"/>
              <w:spacing w:before="0" w:beforeAutospacing="0"/>
              <w:ind w:firstLine="482" w:firstLineChars="200"/>
              <w:rPr>
                <w:b w:val="0"/>
                <w:color w:val="000000" w:themeColor="text1"/>
                <w:szCs w:val="24"/>
                <w:highlight w:val="none"/>
                <w14:textFill>
                  <w14:solidFill>
                    <w14:schemeClr w14:val="tx1"/>
                  </w14:solidFill>
                </w14:textFill>
              </w:rPr>
            </w:pPr>
            <w:r>
              <w:rPr>
                <w:rFonts w:hint="default" w:ascii="Times New Roman" w:hAnsi="Times New Roman" w:cs="Times New Roman"/>
                <w:b/>
                <w:bCs/>
                <w:color w:val="000000" w:themeColor="text1"/>
                <w:sz w:val="24"/>
                <w:szCs w:val="24"/>
                <w:highlight w:val="none"/>
                <w14:textFill>
                  <w14:solidFill>
                    <w14:schemeClr w14:val="tx1"/>
                  </w14:solidFill>
                </w14:textFill>
              </w:rPr>
              <w:t>（</w:t>
            </w:r>
            <w:r>
              <w:rPr>
                <w:rFonts w:hint="eastAsia" w:cs="Times New Roman"/>
                <w:b/>
                <w:bCs/>
                <w:color w:val="000000" w:themeColor="text1"/>
                <w:sz w:val="24"/>
                <w:szCs w:val="24"/>
                <w:highlight w:val="none"/>
                <w:lang w:val="en-US" w:eastAsia="zh-CN"/>
                <w14:textFill>
                  <w14:solidFill>
                    <w14:schemeClr w14:val="tx1"/>
                  </w14:solidFill>
                </w14:textFill>
              </w:rPr>
              <w:t>5</w:t>
            </w:r>
            <w:r>
              <w:rPr>
                <w:rFonts w:hint="default" w:ascii="Times New Roman" w:hAnsi="Times New Roman" w:cs="Times New Roman"/>
                <w:b/>
                <w:bCs/>
                <w:color w:val="000000" w:themeColor="text1"/>
                <w:sz w:val="24"/>
                <w:szCs w:val="24"/>
                <w:highlight w:val="none"/>
                <w14:textFill>
                  <w14:solidFill>
                    <w14:schemeClr w14:val="tx1"/>
                  </w14:solidFill>
                </w14:textFill>
              </w:rPr>
              <w:t>）</w:t>
            </w:r>
            <w:r>
              <w:rPr>
                <w:b/>
                <w:bCs/>
                <w:color w:val="000000" w:themeColor="text1"/>
                <w:szCs w:val="24"/>
                <w:highlight w:val="none"/>
                <w14:textFill>
                  <w14:solidFill>
                    <w14:schemeClr w14:val="tx1"/>
                  </w14:solidFill>
                </w14:textFill>
              </w:rPr>
              <w:t>喷粉：</w:t>
            </w:r>
            <w:r>
              <w:rPr>
                <w:b w:val="0"/>
                <w:color w:val="000000" w:themeColor="text1"/>
                <w:szCs w:val="24"/>
                <w:highlight w:val="none"/>
                <w14:textFill>
                  <w14:solidFill>
                    <w14:schemeClr w14:val="tx1"/>
                  </w14:solidFill>
                </w14:textFill>
              </w:rPr>
              <w:t>本项目采用自动化的静电喷粉工艺，在喷枪与工件之间形成一个高压电晕放电电场，当粉末粒子由喷枪口喷出经过放电区时，便捕集了大量的电子，成为带负电的微粒，在静电吸引的作用下，被吸附到带正电荷的工件上去。当粉末附着到一定厚度时，则会发生“同性相斥”的作用，不能再吸附粉末，从而使各部分的粉层厚度均匀，然后经加温烘烤固化后粉层流平成为均匀的膜层。</w:t>
            </w:r>
          </w:p>
          <w:p w14:paraId="12DCD434">
            <w:pPr>
              <w:pStyle w:val="173"/>
              <w:wordWrap w:val="0"/>
              <w:topLinePunct/>
              <w:adjustRightInd w:val="0"/>
              <w:spacing w:before="0" w:beforeAutospacing="0"/>
              <w:ind w:firstLine="480" w:firstLineChars="200"/>
              <w:rPr>
                <w:b w:val="0"/>
                <w:color w:val="000000" w:themeColor="text1"/>
                <w:szCs w:val="24"/>
                <w:highlight w:val="none"/>
                <w14:textFill>
                  <w14:solidFill>
                    <w14:schemeClr w14:val="tx1"/>
                  </w14:solidFill>
                </w14:textFill>
              </w:rPr>
            </w:pPr>
            <w:r>
              <w:rPr>
                <w:b w:val="0"/>
                <w:color w:val="000000" w:themeColor="text1"/>
                <w:szCs w:val="24"/>
                <w:highlight w:val="none"/>
                <w14:textFill>
                  <w14:solidFill>
                    <w14:schemeClr w14:val="tx1"/>
                  </w14:solidFill>
                </w14:textFill>
              </w:rPr>
              <w:t>铝单板喷粉线设有</w:t>
            </w:r>
            <w:r>
              <w:rPr>
                <w:rFonts w:hint="eastAsia"/>
                <w:b w:val="0"/>
                <w:color w:val="000000" w:themeColor="text1"/>
                <w:szCs w:val="24"/>
                <w:highlight w:val="none"/>
                <w:lang w:val="en-US" w:eastAsia="zh-CN"/>
                <w14:textFill>
                  <w14:solidFill>
                    <w14:schemeClr w14:val="tx1"/>
                  </w14:solidFill>
                </w14:textFill>
              </w:rPr>
              <w:t>1</w:t>
            </w:r>
            <w:r>
              <w:rPr>
                <w:b w:val="0"/>
                <w:color w:val="000000" w:themeColor="text1"/>
                <w:szCs w:val="24"/>
                <w:highlight w:val="none"/>
                <w14:textFill>
                  <w14:solidFill>
                    <w14:schemeClr w14:val="tx1"/>
                  </w14:solidFill>
                </w14:textFill>
              </w:rPr>
              <w:t>套“密闭车间负压收集+大旋风+滤芯式二级回收系统”系统装置。未收集的粉尘于车间内无组织排放。此过程会产生喷粉粉尘。</w:t>
            </w:r>
          </w:p>
          <w:p w14:paraId="1F4BA75F">
            <w:pPr>
              <w:pStyle w:val="173"/>
              <w:wordWrap w:val="0"/>
              <w:topLinePunct/>
              <w:adjustRightInd w:val="0"/>
              <w:spacing w:before="0" w:beforeAutospacing="0"/>
              <w:ind w:firstLine="482" w:firstLineChars="200"/>
              <w:rPr>
                <w:rFonts w:hint="default" w:ascii="Times New Roman" w:hAnsi="Times New Roman" w:cs="Times New Roman"/>
                <w:b w:val="0"/>
                <w:color w:val="000000" w:themeColor="text1"/>
                <w:szCs w:val="24"/>
                <w:highlight w:val="none"/>
                <w14:textFill>
                  <w14:solidFill>
                    <w14:schemeClr w14:val="tx1"/>
                  </w14:solidFill>
                </w14:textFill>
              </w:rPr>
            </w:pPr>
            <w:r>
              <w:rPr>
                <w:rFonts w:hint="eastAsia"/>
                <w:color w:val="000000" w:themeColor="text1"/>
                <w:szCs w:val="24"/>
                <w:highlight w:val="none"/>
                <w:lang w:eastAsia="zh-CN"/>
                <w14:textFill>
                  <w14:solidFill>
                    <w14:schemeClr w14:val="tx1"/>
                  </w14:solidFill>
                </w14:textFill>
              </w:rPr>
              <w:t>（</w:t>
            </w:r>
            <w:r>
              <w:rPr>
                <w:rFonts w:hint="eastAsia"/>
                <w:color w:val="000000" w:themeColor="text1"/>
                <w:szCs w:val="24"/>
                <w:highlight w:val="none"/>
                <w:lang w:val="en-US" w:eastAsia="zh-CN"/>
                <w14:textFill>
                  <w14:solidFill>
                    <w14:schemeClr w14:val="tx1"/>
                  </w14:solidFill>
                </w14:textFill>
              </w:rPr>
              <w:t>6</w:t>
            </w:r>
            <w:r>
              <w:rPr>
                <w:rFonts w:hint="eastAsia"/>
                <w:color w:val="000000" w:themeColor="text1"/>
                <w:szCs w:val="24"/>
                <w:highlight w:val="none"/>
                <w:lang w:eastAsia="zh-CN"/>
                <w14:textFill>
                  <w14:solidFill>
                    <w14:schemeClr w14:val="tx1"/>
                  </w14:solidFill>
                </w14:textFill>
              </w:rPr>
              <w:t>）</w:t>
            </w:r>
            <w:r>
              <w:rPr>
                <w:color w:val="000000" w:themeColor="text1"/>
                <w:szCs w:val="24"/>
                <w:highlight w:val="none"/>
                <w14:textFill>
                  <w14:solidFill>
                    <w14:schemeClr w14:val="tx1"/>
                  </w14:solidFill>
                </w14:textFill>
              </w:rPr>
              <w:t>喷粉</w:t>
            </w:r>
            <w:r>
              <w:rPr>
                <w:b/>
                <w:bCs/>
                <w:color w:val="000000" w:themeColor="text1"/>
                <w:szCs w:val="24"/>
                <w:highlight w:val="none"/>
                <w14:textFill>
                  <w14:solidFill>
                    <w14:schemeClr w14:val="tx1"/>
                  </w14:solidFill>
                </w14:textFill>
              </w:rPr>
              <w:t>固化</w:t>
            </w:r>
            <w:r>
              <w:rPr>
                <w:b w:val="0"/>
                <w:color w:val="000000" w:themeColor="text1"/>
                <w:szCs w:val="24"/>
                <w:highlight w:val="none"/>
                <w14:textFill>
                  <w14:solidFill>
                    <w14:schemeClr w14:val="tx1"/>
                  </w14:solidFill>
                </w14:textFill>
              </w:rPr>
              <w:t>：工件经喷粉后需要加热使粉末涂料固化。工件送入固化线内加热。固化时间一般为</w:t>
            </w:r>
            <w:r>
              <w:rPr>
                <w:rFonts w:hint="eastAsia"/>
                <w:b w:val="0"/>
                <w:color w:val="000000" w:themeColor="text1"/>
                <w:szCs w:val="24"/>
                <w:highlight w:val="none"/>
                <w:lang w:val="en-US" w:eastAsia="zh-CN"/>
                <w14:textFill>
                  <w14:solidFill>
                    <w14:schemeClr w14:val="tx1"/>
                  </w14:solidFill>
                </w14:textFill>
              </w:rPr>
              <w:t>6-12</w:t>
            </w:r>
            <w:r>
              <w:rPr>
                <w:b w:val="0"/>
                <w:color w:val="000000" w:themeColor="text1"/>
                <w:szCs w:val="24"/>
                <w:highlight w:val="none"/>
                <w14:textFill>
                  <w14:solidFill>
                    <w14:schemeClr w14:val="tx1"/>
                  </w14:solidFill>
                </w14:textFill>
              </w:rPr>
              <w:t>min，温度一般为160℃~200℃。热量由天然气燃烧产生，通过</w:t>
            </w:r>
            <w:r>
              <w:rPr>
                <w:rFonts w:hint="default" w:ascii="Times New Roman" w:hAnsi="Times New Roman" w:cs="Times New Roman"/>
                <w:b w:val="0"/>
                <w:color w:val="000000" w:themeColor="text1"/>
                <w:szCs w:val="24"/>
                <w:highlight w:val="none"/>
                <w14:textFill>
                  <w14:solidFill>
                    <w14:schemeClr w14:val="tx1"/>
                  </w14:solidFill>
                </w14:textFill>
              </w:rPr>
              <w:t>热气直接接触工件进行加热固化。粉末涂料固化过程会产生天然气燃烧废气、固化有机废气及臭气浓度。</w:t>
            </w:r>
          </w:p>
          <w:p w14:paraId="29CF3B8F">
            <w:pPr>
              <w:pStyle w:val="173"/>
              <w:wordWrap w:val="0"/>
              <w:topLinePunct/>
              <w:adjustRightInd w:val="0"/>
              <w:spacing w:before="0" w:beforeAutospacing="0"/>
              <w:ind w:firstLine="482" w:firstLineChars="200"/>
              <w:rPr>
                <w:rFonts w:hint="default" w:ascii="Times New Roman" w:hAnsi="Times New Roman" w:cs="Times New Roman"/>
                <w:b w:val="0"/>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lang w:eastAsia="zh-CN"/>
                <w14:textFill>
                  <w14:solidFill>
                    <w14:schemeClr w14:val="tx1"/>
                  </w14:solidFill>
                </w14:textFill>
              </w:rPr>
              <w:t>（</w:t>
            </w:r>
            <w:r>
              <w:rPr>
                <w:rFonts w:hint="eastAsia" w:cs="Times New Roman"/>
                <w:color w:val="000000" w:themeColor="text1"/>
                <w:szCs w:val="24"/>
                <w:highlight w:val="none"/>
                <w:lang w:val="en-US" w:eastAsia="zh-CN"/>
                <w14:textFill>
                  <w14:solidFill>
                    <w14:schemeClr w14:val="tx1"/>
                  </w14:solidFill>
                </w14:textFill>
              </w:rPr>
              <w:t>7</w:t>
            </w:r>
            <w:r>
              <w:rPr>
                <w:rFonts w:hint="default" w:ascii="Times New Roman" w:hAnsi="Times New Roman" w:cs="Times New Roman"/>
                <w:color w:val="000000" w:themeColor="text1"/>
                <w:szCs w:val="24"/>
                <w:highlight w:val="none"/>
                <w:lang w:eastAsia="zh-CN"/>
                <w14:textFill>
                  <w14:solidFill>
                    <w14:schemeClr w14:val="tx1"/>
                  </w14:solidFill>
                </w14:textFill>
              </w:rPr>
              <w:t>）</w:t>
            </w:r>
            <w:r>
              <w:rPr>
                <w:rFonts w:hint="default" w:ascii="Times New Roman" w:hAnsi="Times New Roman" w:cs="Times New Roman"/>
                <w:b/>
                <w:bCs/>
                <w:color w:val="000000" w:themeColor="text1"/>
                <w:szCs w:val="24"/>
                <w:highlight w:val="none"/>
                <w14:textFill>
                  <w14:solidFill>
                    <w14:schemeClr w14:val="tx1"/>
                  </w14:solidFill>
                </w14:textFill>
              </w:rPr>
              <w:t>调漆</w:t>
            </w:r>
            <w:r>
              <w:rPr>
                <w:rFonts w:hint="default" w:ascii="Times New Roman" w:hAnsi="Times New Roman" w:cs="Times New Roman"/>
                <w:b w:val="0"/>
                <w:color w:val="000000" w:themeColor="text1"/>
                <w:szCs w:val="24"/>
                <w:highlight w:val="none"/>
                <w14:textFill>
                  <w14:solidFill>
                    <w14:schemeClr w14:val="tx1"/>
                  </w14:solidFill>
                </w14:textFill>
              </w:rPr>
              <w:t>：喷漆前根据产品要求进行调漆，本项目调漆在调漆房内完成。</w:t>
            </w:r>
          </w:p>
          <w:p w14:paraId="1DE4FF4D">
            <w:pPr>
              <w:pStyle w:val="173"/>
              <w:wordWrap w:val="0"/>
              <w:topLinePunct/>
              <w:adjustRightInd w:val="0"/>
              <w:spacing w:before="0" w:beforeAutospacing="0"/>
              <w:ind w:firstLine="482" w:firstLineChars="200"/>
              <w:rPr>
                <w:rFonts w:hint="default" w:eastAsia="宋体"/>
                <w:b w:val="0"/>
                <w:color w:val="000000" w:themeColor="text1"/>
                <w:szCs w:val="24"/>
                <w:highlight w:val="none"/>
                <w:lang w:val="en-US" w:eastAsia="zh-CN"/>
                <w14:textFill>
                  <w14:solidFill>
                    <w14:schemeClr w14:val="tx1"/>
                  </w14:solidFill>
                </w14:textFill>
              </w:rPr>
            </w:pPr>
            <w:r>
              <w:rPr>
                <w:rFonts w:hint="default" w:ascii="Times New Roman" w:hAnsi="Times New Roman" w:cs="Times New Roman"/>
                <w:color w:val="000000" w:themeColor="text1"/>
                <w:szCs w:val="24"/>
                <w:highlight w:val="none"/>
                <w:lang w:eastAsia="zh-CN"/>
                <w14:textFill>
                  <w14:solidFill>
                    <w14:schemeClr w14:val="tx1"/>
                  </w14:solidFill>
                </w14:textFill>
              </w:rPr>
              <w:t>（</w:t>
            </w:r>
            <w:r>
              <w:rPr>
                <w:rFonts w:hint="eastAsia" w:cs="Times New Roman"/>
                <w:color w:val="000000" w:themeColor="text1"/>
                <w:szCs w:val="24"/>
                <w:highlight w:val="none"/>
                <w:lang w:val="en-US" w:eastAsia="zh-CN"/>
                <w14:textFill>
                  <w14:solidFill>
                    <w14:schemeClr w14:val="tx1"/>
                  </w14:solidFill>
                </w14:textFill>
              </w:rPr>
              <w:t>8</w:t>
            </w:r>
            <w:r>
              <w:rPr>
                <w:rFonts w:hint="default" w:ascii="Times New Roman" w:hAnsi="Times New Roman" w:cs="Times New Roman"/>
                <w:b/>
                <w:bCs w:val="0"/>
                <w:color w:val="000000" w:themeColor="text1"/>
                <w:szCs w:val="24"/>
                <w:highlight w:val="none"/>
                <w:lang w:eastAsia="zh-CN"/>
                <w14:textFill>
                  <w14:solidFill>
                    <w14:schemeClr w14:val="tx1"/>
                  </w14:solidFill>
                </w14:textFill>
              </w:rPr>
              <w:t>）</w:t>
            </w:r>
            <w:r>
              <w:rPr>
                <w:rFonts w:hint="default" w:ascii="Times New Roman" w:hAnsi="Times New Roman" w:cs="Times New Roman"/>
                <w:b/>
                <w:bCs w:val="0"/>
                <w:color w:val="000000" w:themeColor="text1"/>
                <w:szCs w:val="24"/>
                <w:highlight w:val="none"/>
                <w14:textFill>
                  <w14:solidFill>
                    <w14:schemeClr w14:val="tx1"/>
                  </w14:solidFill>
                </w14:textFill>
              </w:rPr>
              <w:t>喷</w:t>
            </w:r>
            <w:r>
              <w:rPr>
                <w:b/>
                <w:bCs w:val="0"/>
                <w:color w:val="000000" w:themeColor="text1"/>
                <w:szCs w:val="24"/>
                <w:highlight w:val="none"/>
                <w14:textFill>
                  <w14:solidFill>
                    <w14:schemeClr w14:val="tx1"/>
                  </w14:solidFill>
                </w14:textFill>
              </w:rPr>
              <w:t>漆：</w:t>
            </w:r>
            <w:r>
              <w:rPr>
                <w:b w:val="0"/>
                <w:color w:val="000000" w:themeColor="text1"/>
                <w:szCs w:val="24"/>
                <w:highlight w:val="none"/>
                <w14:textFill>
                  <w14:solidFill>
                    <w14:schemeClr w14:val="tx1"/>
                  </w14:solidFill>
                </w14:textFill>
              </w:rPr>
              <w:t>底漆的作用在于提高涂层抗渗透能力，增强对底材的保护，稳定金属表层，加强面漆与金属表面附着力；面漆涂层在底漆涂层之上，其主要作用是提高装饰性，也有一定的防腐性和耐磨性；</w:t>
            </w:r>
            <w:r>
              <w:rPr>
                <w:rFonts w:hint="eastAsia"/>
                <w:b w:val="0"/>
                <w:color w:val="000000" w:themeColor="text1"/>
                <w:szCs w:val="24"/>
                <w:highlight w:val="none"/>
                <w:lang w:val="en-US" w:eastAsia="zh-CN"/>
                <w14:textFill>
                  <w14:solidFill>
                    <w14:schemeClr w14:val="tx1"/>
                  </w14:solidFill>
                </w14:textFill>
              </w:rPr>
              <w:t>清</w:t>
            </w:r>
            <w:r>
              <w:rPr>
                <w:b w:val="0"/>
                <w:color w:val="000000" w:themeColor="text1"/>
                <w:szCs w:val="24"/>
                <w:highlight w:val="none"/>
                <w14:textFill>
                  <w14:solidFill>
                    <w14:schemeClr w14:val="tx1"/>
                  </w14:solidFill>
                </w14:textFill>
              </w:rPr>
              <w:t>漆涂层在面漆涂层之上，为增强涂层的光泽、丰满度。工件通过流水线进入全线密闭的喷漆生产线内，工件进入喷漆室进行手工+自动化喷漆，工件每进行一次喷漆后进行一次流平，工件经流平表面形成一个平整、光滑、均匀的涂膜。</w:t>
            </w:r>
            <w:r>
              <w:rPr>
                <w:rFonts w:hint="eastAsia"/>
                <w:b w:val="0"/>
                <w:color w:val="000000" w:themeColor="text1"/>
                <w:szCs w:val="24"/>
                <w:highlight w:val="none"/>
                <w:lang w:val="en-US" w:eastAsia="zh-CN"/>
                <w14:textFill>
                  <w14:solidFill>
                    <w14:schemeClr w14:val="tx1"/>
                  </w14:solidFill>
                </w14:textFill>
              </w:rPr>
              <w:t>精涂机为空气喷涂式，对漆层进一步喷涂均匀。</w:t>
            </w:r>
          </w:p>
          <w:p w14:paraId="7179A27B">
            <w:pPr>
              <w:pStyle w:val="173"/>
              <w:wordWrap w:val="0"/>
              <w:topLinePunct/>
              <w:adjustRightInd w:val="0"/>
              <w:spacing w:before="0" w:beforeAutospacing="0"/>
              <w:ind w:firstLine="482" w:firstLineChars="200"/>
              <w:rPr>
                <w:b w:val="0"/>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lang w:eastAsia="zh-CN"/>
                <w14:textFill>
                  <w14:solidFill>
                    <w14:schemeClr w14:val="tx1"/>
                  </w14:solidFill>
                </w14:textFill>
              </w:rPr>
              <w:t>（</w:t>
            </w:r>
            <w:r>
              <w:rPr>
                <w:rFonts w:hint="eastAsia" w:ascii="宋体" w:hAnsi="宋体" w:cs="宋体"/>
                <w:color w:val="000000" w:themeColor="text1"/>
                <w:szCs w:val="24"/>
                <w:highlight w:val="none"/>
                <w:lang w:val="en-US" w:eastAsia="zh-CN"/>
                <w14:textFill>
                  <w14:solidFill>
                    <w14:schemeClr w14:val="tx1"/>
                  </w14:solidFill>
                </w14:textFill>
              </w:rPr>
              <w:t>9</w:t>
            </w:r>
            <w:r>
              <w:rPr>
                <w:rFonts w:hint="eastAsia" w:ascii="宋体" w:hAnsi="宋体" w:cs="宋体"/>
                <w:color w:val="000000" w:themeColor="text1"/>
                <w:szCs w:val="24"/>
                <w:highlight w:val="none"/>
                <w:lang w:eastAsia="zh-CN"/>
                <w14:textFill>
                  <w14:solidFill>
                    <w14:schemeClr w14:val="tx1"/>
                  </w14:solidFill>
                </w14:textFill>
              </w:rPr>
              <w:t>）</w:t>
            </w:r>
            <w:r>
              <w:rPr>
                <w:color w:val="000000" w:themeColor="text1"/>
                <w:szCs w:val="24"/>
                <w:highlight w:val="none"/>
                <w14:textFill>
                  <w14:solidFill>
                    <w14:schemeClr w14:val="tx1"/>
                  </w14:solidFill>
                </w14:textFill>
              </w:rPr>
              <w:t>喷漆</w:t>
            </w:r>
            <w:r>
              <w:rPr>
                <w:b/>
                <w:bCs/>
                <w:color w:val="000000" w:themeColor="text1"/>
                <w:szCs w:val="24"/>
                <w:highlight w:val="none"/>
                <w14:textFill>
                  <w14:solidFill>
                    <w14:schemeClr w14:val="tx1"/>
                  </w14:solidFill>
                </w14:textFill>
              </w:rPr>
              <w:t>固化</w:t>
            </w:r>
            <w:r>
              <w:rPr>
                <w:b w:val="0"/>
                <w:color w:val="000000" w:themeColor="text1"/>
                <w:szCs w:val="24"/>
                <w:highlight w:val="none"/>
                <w14:textFill>
                  <w14:solidFill>
                    <w14:schemeClr w14:val="tx1"/>
                  </w14:solidFill>
                </w14:textFill>
              </w:rPr>
              <w:t>：喷漆后的工件需进行加热固化，通过流水线送入高温固化通道，使之流平、固化，从而得到预期的工件表面效果，喷油性漆的工件固化温度170℃、固化时间约</w:t>
            </w:r>
            <w:r>
              <w:rPr>
                <w:rFonts w:hint="eastAsia"/>
                <w:b w:val="0"/>
                <w:color w:val="000000" w:themeColor="text1"/>
                <w:szCs w:val="24"/>
                <w:highlight w:val="none"/>
                <w:lang w:val="en-US" w:eastAsia="zh-CN"/>
                <w14:textFill>
                  <w14:solidFill>
                    <w14:schemeClr w14:val="tx1"/>
                  </w14:solidFill>
                </w14:textFill>
              </w:rPr>
              <w:t>6-12</w:t>
            </w:r>
            <w:r>
              <w:rPr>
                <w:b w:val="0"/>
                <w:color w:val="000000" w:themeColor="text1"/>
                <w:szCs w:val="24"/>
                <w:highlight w:val="none"/>
                <w14:textFill>
                  <w14:solidFill>
                    <w14:schemeClr w14:val="tx1"/>
                  </w14:solidFill>
                </w14:textFill>
              </w:rPr>
              <w:t>min</w:t>
            </w:r>
            <w:r>
              <w:rPr>
                <w:color w:val="000000" w:themeColor="text1"/>
                <w:highlight w:val="none"/>
                <w14:textFill>
                  <w14:solidFill>
                    <w14:schemeClr w14:val="tx1"/>
                  </w14:solidFill>
                </w14:textFill>
              </w:rPr>
              <w:t>。</w:t>
            </w:r>
          </w:p>
          <w:p w14:paraId="0BA063BB">
            <w:pPr>
              <w:pStyle w:val="173"/>
              <w:wordWrap w:val="0"/>
              <w:topLinePunct/>
              <w:adjustRightInd w:val="0"/>
              <w:spacing w:before="0" w:beforeAutospacing="0"/>
              <w:ind w:firstLine="480" w:firstLineChars="200"/>
              <w:rPr>
                <w:b w:val="0"/>
                <w:color w:val="000000" w:themeColor="text1"/>
                <w:szCs w:val="24"/>
                <w:highlight w:val="none"/>
                <w14:textFill>
                  <w14:solidFill>
                    <w14:schemeClr w14:val="tx1"/>
                  </w14:solidFill>
                </w14:textFill>
              </w:rPr>
            </w:pPr>
            <w:r>
              <w:rPr>
                <w:b w:val="0"/>
                <w:color w:val="000000" w:themeColor="text1"/>
                <w:szCs w:val="24"/>
                <w:highlight w:val="none"/>
                <w14:textFill>
                  <w14:solidFill>
                    <w14:schemeClr w14:val="tx1"/>
                  </w14:solidFill>
                </w14:textFill>
              </w:rPr>
              <w:t>调漆、喷漆、流平、烘干固化过程中产生有机废气（VOCs、</w:t>
            </w:r>
            <w:r>
              <w:rPr>
                <w:rFonts w:hint="eastAsia"/>
                <w:b w:val="0"/>
                <w:color w:val="000000" w:themeColor="text1"/>
                <w:szCs w:val="24"/>
                <w:highlight w:val="none"/>
                <w:lang w:val="en-US" w:eastAsia="zh-CN"/>
                <w14:textFill>
                  <w14:solidFill>
                    <w14:schemeClr w14:val="tx1"/>
                  </w14:solidFill>
                </w14:textFill>
              </w:rPr>
              <w:t>苯系物</w:t>
            </w:r>
            <w:r>
              <w:rPr>
                <w:b w:val="0"/>
                <w:color w:val="000000" w:themeColor="text1"/>
                <w:szCs w:val="24"/>
                <w:highlight w:val="none"/>
                <w14:textFill>
                  <w14:solidFill>
                    <w14:schemeClr w14:val="tx1"/>
                  </w14:solidFill>
                </w14:textFill>
              </w:rPr>
              <w:t>）、臭气浓度、漆雾、</w:t>
            </w:r>
            <w:r>
              <w:rPr>
                <w:rFonts w:hint="eastAsia"/>
                <w:b w:val="0"/>
                <w:color w:val="000000" w:themeColor="text1"/>
                <w:szCs w:val="24"/>
                <w:highlight w:val="none"/>
                <w:lang w:val="en-US" w:eastAsia="zh-CN"/>
                <w14:textFill>
                  <w14:solidFill>
                    <w14:schemeClr w14:val="tx1"/>
                  </w14:solidFill>
                </w14:textFill>
              </w:rPr>
              <w:t>喷淋废液及沉渣</w:t>
            </w:r>
            <w:r>
              <w:rPr>
                <w:b w:val="0"/>
                <w:color w:val="000000" w:themeColor="text1"/>
                <w:szCs w:val="24"/>
                <w:highlight w:val="none"/>
                <w14:textFill>
                  <w14:solidFill>
                    <w14:schemeClr w14:val="tx1"/>
                  </w14:solidFill>
                </w14:textFill>
              </w:rPr>
              <w:t>、天然气燃烧废气、废原料桶及设备生产噪声。</w:t>
            </w:r>
          </w:p>
          <w:p w14:paraId="22FBAC6F">
            <w:pPr>
              <w:pStyle w:val="173"/>
              <w:wordWrap w:val="0"/>
              <w:topLinePunct/>
              <w:adjustRightInd w:val="0"/>
              <w:spacing w:before="0" w:beforeAutospacing="0"/>
              <w:ind w:firstLine="480" w:firstLineChars="200"/>
              <w:rPr>
                <w:b w:val="0"/>
                <w:color w:val="000000" w:themeColor="text1"/>
                <w:szCs w:val="24"/>
                <w:highlight w:val="none"/>
                <w14:textFill>
                  <w14:solidFill>
                    <w14:schemeClr w14:val="tx1"/>
                  </w14:solidFill>
                </w14:textFill>
              </w:rPr>
            </w:pPr>
            <w:r>
              <w:rPr>
                <w:b w:val="0"/>
                <w:color w:val="000000" w:themeColor="text1"/>
                <w:szCs w:val="24"/>
                <w:highlight w:val="none"/>
                <w14:textFill>
                  <w14:solidFill>
                    <w14:schemeClr w14:val="tx1"/>
                  </w14:solidFill>
                </w14:textFill>
              </w:rPr>
              <w:t>此外，本项目使用</w:t>
            </w:r>
            <w:r>
              <w:rPr>
                <w:rFonts w:hint="eastAsia"/>
                <w:b w:val="0"/>
                <w:color w:val="000000" w:themeColor="text1"/>
                <w:szCs w:val="24"/>
                <w:highlight w:val="none"/>
                <w:lang w:val="en-US" w:eastAsia="zh-CN"/>
                <w14:textFill>
                  <w14:solidFill>
                    <w14:schemeClr w14:val="tx1"/>
                  </w14:solidFill>
                </w14:textFill>
              </w:rPr>
              <w:t>清洗</w:t>
            </w:r>
            <w:r>
              <w:rPr>
                <w:b w:val="0"/>
                <w:color w:val="000000" w:themeColor="text1"/>
                <w:szCs w:val="24"/>
                <w:highlight w:val="none"/>
                <w14:textFill>
                  <w14:solidFill>
                    <w14:schemeClr w14:val="tx1"/>
                  </w14:solidFill>
                </w14:textFill>
              </w:rPr>
              <w:t>剂定期对喷漆枪头进行清洗，此过程会产生喷枪清洗废液，作为危险废物进行暂存、转运处理。</w:t>
            </w:r>
          </w:p>
          <w:p w14:paraId="60CBF078">
            <w:pPr>
              <w:pStyle w:val="173"/>
              <w:wordWrap w:val="0"/>
              <w:topLinePunct/>
              <w:adjustRightInd w:val="0"/>
              <w:spacing w:before="0" w:beforeAutospacing="0"/>
              <w:ind w:firstLine="482" w:firstLineChars="200"/>
              <w:rPr>
                <w:b w:val="0"/>
                <w:color w:val="000000" w:themeColor="text1"/>
                <w:szCs w:val="24"/>
                <w:highlight w:val="none"/>
                <w14:textFill>
                  <w14:solidFill>
                    <w14:schemeClr w14:val="tx1"/>
                  </w14:solidFill>
                </w14:textFill>
              </w:rPr>
            </w:pPr>
            <w:r>
              <w:rPr>
                <w:rFonts w:hint="eastAsia" w:ascii="宋体" w:hAnsi="宋体" w:cs="宋体"/>
                <w:b/>
                <w:bCs/>
                <w:color w:val="000000" w:themeColor="text1"/>
                <w:szCs w:val="24"/>
                <w:highlight w:val="none"/>
                <w:lang w:eastAsia="zh-CN"/>
                <w14:textFill>
                  <w14:solidFill>
                    <w14:schemeClr w14:val="tx1"/>
                  </w14:solidFill>
                </w14:textFill>
              </w:rPr>
              <w:t>（</w:t>
            </w:r>
            <w:r>
              <w:rPr>
                <w:rFonts w:hint="eastAsia" w:ascii="宋体" w:hAnsi="宋体" w:cs="宋体"/>
                <w:b/>
                <w:bCs/>
                <w:color w:val="000000" w:themeColor="text1"/>
                <w:szCs w:val="24"/>
                <w:highlight w:val="none"/>
                <w:lang w:val="en-US" w:eastAsia="zh-CN"/>
                <w14:textFill>
                  <w14:solidFill>
                    <w14:schemeClr w14:val="tx1"/>
                  </w14:solidFill>
                </w14:textFill>
              </w:rPr>
              <w:t>10</w:t>
            </w:r>
            <w:r>
              <w:rPr>
                <w:rFonts w:hint="eastAsia" w:ascii="宋体" w:hAnsi="宋体" w:cs="宋体"/>
                <w:b/>
                <w:bCs/>
                <w:color w:val="000000" w:themeColor="text1"/>
                <w:szCs w:val="24"/>
                <w:highlight w:val="none"/>
                <w:lang w:eastAsia="zh-CN"/>
                <w14:textFill>
                  <w14:solidFill>
                    <w14:schemeClr w14:val="tx1"/>
                  </w14:solidFill>
                </w14:textFill>
              </w:rPr>
              <w:t>）</w:t>
            </w:r>
            <w:r>
              <w:rPr>
                <w:b/>
                <w:bCs/>
                <w:color w:val="000000" w:themeColor="text1"/>
                <w:szCs w:val="24"/>
                <w:highlight w:val="none"/>
                <w14:textFill>
                  <w14:solidFill>
                    <w14:schemeClr w14:val="tx1"/>
                  </w14:solidFill>
                </w14:textFill>
              </w:rPr>
              <w:t>检验</w:t>
            </w:r>
            <w:r>
              <w:rPr>
                <w:rFonts w:hint="eastAsia"/>
                <w:b/>
                <w:bCs/>
                <w:color w:val="000000" w:themeColor="text1"/>
                <w:szCs w:val="24"/>
                <w:highlight w:val="none"/>
                <w:lang w:val="en-US" w:eastAsia="zh-CN"/>
                <w14:textFill>
                  <w14:solidFill>
                    <w14:schemeClr w14:val="tx1"/>
                  </w14:solidFill>
                </w14:textFill>
              </w:rPr>
              <w:t>入库</w:t>
            </w:r>
            <w:r>
              <w:rPr>
                <w:b/>
                <w:bCs/>
                <w:color w:val="000000" w:themeColor="text1"/>
                <w:szCs w:val="24"/>
                <w:highlight w:val="none"/>
                <w14:textFill>
                  <w14:solidFill>
                    <w14:schemeClr w14:val="tx1"/>
                  </w14:solidFill>
                </w14:textFill>
              </w:rPr>
              <w:t>：</w:t>
            </w:r>
            <w:r>
              <w:rPr>
                <w:b w:val="0"/>
                <w:color w:val="000000" w:themeColor="text1"/>
                <w:szCs w:val="24"/>
                <w:highlight w:val="none"/>
                <w14:textFill>
                  <w14:solidFill>
                    <w14:schemeClr w14:val="tx1"/>
                  </w14:solidFill>
                </w14:textFill>
              </w:rPr>
              <w:t>对</w:t>
            </w:r>
            <w:r>
              <w:rPr>
                <w:rFonts w:hint="eastAsia"/>
                <w:b w:val="0"/>
                <w:color w:val="000000" w:themeColor="text1"/>
                <w:szCs w:val="24"/>
                <w:highlight w:val="none"/>
                <w:lang w:val="en-US" w:eastAsia="zh-CN"/>
                <w14:textFill>
                  <w14:solidFill>
                    <w14:schemeClr w14:val="tx1"/>
                  </w14:solidFill>
                </w14:textFill>
              </w:rPr>
              <w:t>产品</w:t>
            </w:r>
            <w:r>
              <w:rPr>
                <w:b w:val="0"/>
                <w:color w:val="000000" w:themeColor="text1"/>
                <w:szCs w:val="24"/>
                <w:highlight w:val="none"/>
                <w14:textFill>
                  <w14:solidFill>
                    <w14:schemeClr w14:val="tx1"/>
                  </w14:solidFill>
                </w14:textFill>
              </w:rPr>
              <w:t>的性能进行质检。需对照图纸测量产品尺寸是否达标，且用冲击仪检测产品抗冲击力是否达标。合格品包装成品入库暂存，对不合格的产品作残次品交物资部门回收处置。</w:t>
            </w:r>
          </w:p>
          <w:p w14:paraId="73ACF81B">
            <w:pPr>
              <w:spacing w:line="360" w:lineRule="auto"/>
              <w:ind w:firstLine="482" w:firstLineChars="200"/>
              <w:jc w:val="left"/>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b/>
                <w:bCs/>
                <w:color w:val="000000" w:themeColor="text1"/>
                <w:kern w:val="0"/>
                <w:sz w:val="24"/>
                <w14:textFill>
                  <w14:solidFill>
                    <w14:schemeClr w14:val="tx1"/>
                  </w14:solidFill>
                </w14:textFill>
              </w:rPr>
              <w:t>2、本项目生产过程中的主要产污环节如下：</w:t>
            </w:r>
          </w:p>
          <w:p w14:paraId="3A53C023">
            <w:pPr>
              <w:pageBreakBefore w:val="0"/>
              <w:widowControl w:val="0"/>
              <w:numPr>
                <w:ilvl w:val="0"/>
                <w:numId w:val="10"/>
              </w:numPr>
              <w:wordWrap w:val="0"/>
              <w:overflowPunct/>
              <w:bidi w:val="0"/>
              <w:spacing w:line="240" w:lineRule="auto"/>
              <w:ind w:left="0" w:leftChars="0" w:firstLine="40" w:firstLineChars="0"/>
              <w:jc w:val="center"/>
              <w:rPr>
                <w:rFonts w:hint="default" w:ascii="Times New Roman" w:hAnsi="Times New Roman" w:eastAsia="宋体" w:cs="Times New Roman"/>
                <w:b/>
                <w:color w:val="000000" w:themeColor="text1"/>
                <w:sz w:val="21"/>
                <w:szCs w:val="21"/>
                <w:highlight w:val="none"/>
                <w14:textFill>
                  <w14:solidFill>
                    <w14:schemeClr w14:val="tx1"/>
                  </w14:solidFill>
                </w14:textFill>
              </w:rPr>
            </w:pPr>
            <w:r>
              <w:rPr>
                <w:rFonts w:hint="default" w:ascii="Times New Roman" w:hAnsi="Times New Roman" w:eastAsia="宋体" w:cs="Times New Roman"/>
                <w:b/>
                <w:color w:val="000000" w:themeColor="text1"/>
                <w:sz w:val="21"/>
                <w:szCs w:val="21"/>
                <w:highlight w:val="none"/>
                <w14:textFill>
                  <w14:solidFill>
                    <w14:schemeClr w14:val="tx1"/>
                  </w14:solidFill>
                </w14:textFill>
              </w:rPr>
              <w:t>项目主要产污节点一览表</w:t>
            </w:r>
          </w:p>
          <w:tbl>
            <w:tblPr>
              <w:tblStyle w:val="4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2379"/>
              <w:gridCol w:w="2907"/>
              <w:gridCol w:w="2523"/>
            </w:tblGrid>
            <w:tr w14:paraId="0B04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noWrap w:val="0"/>
                  <w:vAlign w:val="center"/>
                </w:tcPr>
                <w:p w14:paraId="5968926E">
                  <w:pPr>
                    <w:adjustRightInd w:val="0"/>
                    <w:snapToGrid w:val="0"/>
                    <w:spacing w:line="240" w:lineRule="auto"/>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类型</w:t>
                  </w:r>
                </w:p>
              </w:tc>
              <w:tc>
                <w:tcPr>
                  <w:tcW w:w="1398" w:type="pct"/>
                  <w:noWrap w:val="0"/>
                  <w:vAlign w:val="center"/>
                </w:tcPr>
                <w:p w14:paraId="68519356">
                  <w:pPr>
                    <w:adjustRightInd w:val="0"/>
                    <w:snapToGrid w:val="0"/>
                    <w:spacing w:line="240" w:lineRule="auto"/>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污染源</w:t>
                  </w:r>
                </w:p>
              </w:tc>
              <w:tc>
                <w:tcPr>
                  <w:tcW w:w="1708" w:type="pct"/>
                  <w:noWrap w:val="0"/>
                  <w:vAlign w:val="center"/>
                </w:tcPr>
                <w:p w14:paraId="2BB848EC">
                  <w:pPr>
                    <w:adjustRightInd w:val="0"/>
                    <w:snapToGrid w:val="0"/>
                    <w:spacing w:line="240" w:lineRule="auto"/>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主要污染物名称</w:t>
                  </w:r>
                </w:p>
              </w:tc>
              <w:tc>
                <w:tcPr>
                  <w:tcW w:w="1482" w:type="pct"/>
                  <w:noWrap w:val="0"/>
                  <w:vAlign w:val="center"/>
                </w:tcPr>
                <w:p w14:paraId="229B91EB">
                  <w:pPr>
                    <w:adjustRightInd w:val="0"/>
                    <w:snapToGrid w:val="0"/>
                    <w:spacing w:line="240" w:lineRule="auto"/>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处理情况及去向</w:t>
                  </w:r>
                </w:p>
              </w:tc>
            </w:tr>
            <w:tr w14:paraId="6B190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vMerge w:val="restart"/>
                  <w:noWrap w:val="0"/>
                  <w:vAlign w:val="center"/>
                </w:tcPr>
                <w:p w14:paraId="4B90A616">
                  <w:pPr>
                    <w:adjustRightInd w:val="0"/>
                    <w:snapToGrid w:val="0"/>
                    <w:spacing w:line="240" w:lineRule="auto"/>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废气</w:t>
                  </w:r>
                </w:p>
              </w:tc>
              <w:tc>
                <w:tcPr>
                  <w:tcW w:w="1398" w:type="pct"/>
                  <w:noWrap w:val="0"/>
                  <w:vAlign w:val="center"/>
                </w:tcPr>
                <w:p w14:paraId="6D813292">
                  <w:pPr>
                    <w:adjustRightInd w:val="0"/>
                    <w:snapToGrid w:val="0"/>
                    <w:spacing w:line="240" w:lineRule="auto"/>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切割粉尘</w:t>
                  </w:r>
                </w:p>
              </w:tc>
              <w:tc>
                <w:tcPr>
                  <w:tcW w:w="1708" w:type="pct"/>
                  <w:noWrap w:val="0"/>
                  <w:vAlign w:val="center"/>
                </w:tcPr>
                <w:p w14:paraId="2782224E">
                  <w:pPr>
                    <w:adjustRightInd w:val="0"/>
                    <w:snapToGrid w:val="0"/>
                    <w:spacing w:line="240" w:lineRule="auto"/>
                    <w:jc w:val="cente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颗粒物</w:t>
                  </w:r>
                </w:p>
              </w:tc>
              <w:tc>
                <w:tcPr>
                  <w:tcW w:w="1482" w:type="pct"/>
                  <w:vMerge w:val="restart"/>
                  <w:noWrap w:val="0"/>
                  <w:vAlign w:val="center"/>
                </w:tcPr>
                <w:p w14:paraId="08D35532">
                  <w:pPr>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经加强通风处理后于车间内无组织排放</w:t>
                  </w:r>
                </w:p>
              </w:tc>
            </w:tr>
            <w:tr w14:paraId="0BA72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vMerge w:val="continue"/>
                  <w:noWrap w:val="0"/>
                  <w:vAlign w:val="center"/>
                </w:tcPr>
                <w:p w14:paraId="5C819F51">
                  <w:pPr>
                    <w:adjustRightInd w:val="0"/>
                    <w:snapToGrid w:val="0"/>
                    <w:spacing w:line="240" w:lineRule="auto"/>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p>
              </w:tc>
              <w:tc>
                <w:tcPr>
                  <w:tcW w:w="1398" w:type="pct"/>
                  <w:shd w:val="clear" w:color="auto" w:fill="auto"/>
                  <w:noWrap w:val="0"/>
                  <w:vAlign w:val="center"/>
                </w:tcPr>
                <w:p w14:paraId="043E0FFF">
                  <w:pPr>
                    <w:adjustRightInd w:val="0"/>
                    <w:snapToGrid w:val="0"/>
                    <w:spacing w:line="240" w:lineRule="auto"/>
                    <w:jc w:val="center"/>
                    <w:rPr>
                      <w:rFonts w:hint="eastAsia"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焊接</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烟尘</w:t>
                  </w:r>
                </w:p>
              </w:tc>
              <w:tc>
                <w:tcPr>
                  <w:tcW w:w="1708" w:type="pct"/>
                  <w:shd w:val="clear" w:color="auto" w:fill="auto"/>
                  <w:noWrap w:val="0"/>
                  <w:vAlign w:val="center"/>
                </w:tcPr>
                <w:p w14:paraId="616605C2">
                  <w:pPr>
                    <w:adjustRightInd w:val="0"/>
                    <w:snapToGrid w:val="0"/>
                    <w:spacing w:line="240" w:lineRule="auto"/>
                    <w:jc w:val="cente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颗粒物</w:t>
                  </w:r>
                </w:p>
              </w:tc>
              <w:tc>
                <w:tcPr>
                  <w:tcW w:w="1482" w:type="pct"/>
                  <w:vMerge w:val="continue"/>
                  <w:noWrap w:val="0"/>
                  <w:vAlign w:val="center"/>
                </w:tcPr>
                <w:p w14:paraId="0ADB248A">
                  <w:pPr>
                    <w:adjustRightInd w:val="0"/>
                    <w:snapToGrid w:val="0"/>
                    <w:spacing w:line="240" w:lineRule="auto"/>
                    <w:jc w:val="center"/>
                    <w:rPr>
                      <w:rFonts w:hint="eastAsia" w:ascii="Times New Roman" w:hAnsi="Times New Roman" w:cs="Times New Roman"/>
                      <w:color w:val="000000" w:themeColor="text1"/>
                      <w:sz w:val="21"/>
                      <w:szCs w:val="21"/>
                      <w:lang w:val="en-US" w:eastAsia="zh-CN"/>
                      <w14:textFill>
                        <w14:solidFill>
                          <w14:schemeClr w14:val="tx1"/>
                        </w14:solidFill>
                      </w14:textFill>
                    </w:rPr>
                  </w:pPr>
                </w:p>
              </w:tc>
            </w:tr>
            <w:tr w14:paraId="289B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vMerge w:val="continue"/>
                  <w:noWrap w:val="0"/>
                  <w:vAlign w:val="center"/>
                </w:tcPr>
                <w:p w14:paraId="0A19F263">
                  <w:pPr>
                    <w:adjustRightInd w:val="0"/>
                    <w:snapToGrid w:val="0"/>
                    <w:spacing w:line="240" w:lineRule="auto"/>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p>
              </w:tc>
              <w:tc>
                <w:tcPr>
                  <w:tcW w:w="1398" w:type="pct"/>
                  <w:noWrap w:val="0"/>
                  <w:vAlign w:val="center"/>
                </w:tcPr>
                <w:p w14:paraId="69EC533B">
                  <w:pPr>
                    <w:adjustRightInd w:val="0"/>
                    <w:snapToGrid w:val="0"/>
                    <w:spacing w:line="240" w:lineRule="auto"/>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脱脂废气</w:t>
                  </w:r>
                </w:p>
              </w:tc>
              <w:tc>
                <w:tcPr>
                  <w:tcW w:w="1708" w:type="pct"/>
                  <w:noWrap w:val="0"/>
                  <w:vAlign w:val="center"/>
                </w:tcPr>
                <w:p w14:paraId="0B5FAC04">
                  <w:pPr>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氟化物</w:t>
                  </w:r>
                </w:p>
              </w:tc>
              <w:tc>
                <w:tcPr>
                  <w:tcW w:w="1482" w:type="pct"/>
                  <w:vMerge w:val="continue"/>
                  <w:noWrap w:val="0"/>
                  <w:vAlign w:val="center"/>
                </w:tcPr>
                <w:p w14:paraId="65C85650">
                  <w:pPr>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r>
            <w:tr w14:paraId="045B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vMerge w:val="continue"/>
                  <w:noWrap w:val="0"/>
                  <w:vAlign w:val="center"/>
                </w:tcPr>
                <w:p w14:paraId="6E16B0DC">
                  <w:pPr>
                    <w:adjustRightInd w:val="0"/>
                    <w:snapToGrid w:val="0"/>
                    <w:spacing w:line="240" w:lineRule="auto"/>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p>
              </w:tc>
              <w:tc>
                <w:tcPr>
                  <w:tcW w:w="1398" w:type="pct"/>
                  <w:noWrap w:val="0"/>
                  <w:vAlign w:val="center"/>
                </w:tcPr>
                <w:p w14:paraId="3DB54E5F">
                  <w:pPr>
                    <w:adjustRightInd w:val="0"/>
                    <w:snapToGrid w:val="0"/>
                    <w:spacing w:line="240" w:lineRule="auto"/>
                    <w:jc w:val="cente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抛光打磨</w:t>
                  </w:r>
                  <w:r>
                    <w:rPr>
                      <w:rFonts w:hint="default" w:ascii="Times New Roman" w:hAnsi="Times New Roman" w:cs="Times New Roman"/>
                      <w:color w:val="000000" w:themeColor="text1"/>
                      <w:kern w:val="2"/>
                      <w:sz w:val="21"/>
                      <w:szCs w:val="21"/>
                      <w:highlight w:val="none"/>
                      <w14:textFill>
                        <w14:solidFill>
                          <w14:schemeClr w14:val="tx1"/>
                        </w14:solidFill>
                      </w14:textFill>
                    </w:rPr>
                    <w:t>粉尘</w:t>
                  </w:r>
                </w:p>
              </w:tc>
              <w:tc>
                <w:tcPr>
                  <w:tcW w:w="1708" w:type="pct"/>
                  <w:noWrap w:val="0"/>
                  <w:vAlign w:val="center"/>
                </w:tcPr>
                <w:p w14:paraId="62EC0D22">
                  <w:pPr>
                    <w:adjustRightInd w:val="0"/>
                    <w:snapToGrid w:val="0"/>
                    <w:spacing w:line="240" w:lineRule="auto"/>
                    <w:jc w:val="center"/>
                    <w:rPr>
                      <w:rFonts w:hint="default"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颗粒物</w:t>
                  </w:r>
                </w:p>
              </w:tc>
              <w:tc>
                <w:tcPr>
                  <w:tcW w:w="1482" w:type="pct"/>
                  <w:noWrap w:val="0"/>
                  <w:vAlign w:val="center"/>
                </w:tcPr>
                <w:p w14:paraId="434E852F">
                  <w:pPr>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经</w:t>
                  </w:r>
                  <w:r>
                    <w:rPr>
                      <w:rFonts w:hint="eastAsia" w:cs="Times New Roman"/>
                      <w:color w:val="000000" w:themeColor="text1"/>
                      <w:kern w:val="0"/>
                      <w:sz w:val="21"/>
                      <w:szCs w:val="21"/>
                      <w:lang w:val="en-US" w:eastAsia="zh-CN" w:bidi="ar"/>
                      <w14:textFill>
                        <w14:solidFill>
                          <w14:schemeClr w14:val="tx1"/>
                        </w14:solidFill>
                      </w14:textFill>
                    </w:rPr>
                    <w:t>自然沉降后无组织排放于车间</w:t>
                  </w:r>
                </w:p>
              </w:tc>
            </w:tr>
            <w:tr w14:paraId="7B3A4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vMerge w:val="continue"/>
                  <w:noWrap w:val="0"/>
                  <w:vAlign w:val="center"/>
                </w:tcPr>
                <w:p w14:paraId="33137643">
                  <w:pPr>
                    <w:adjustRightInd w:val="0"/>
                    <w:snapToGrid w:val="0"/>
                    <w:spacing w:line="240" w:lineRule="auto"/>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p>
              </w:tc>
              <w:tc>
                <w:tcPr>
                  <w:tcW w:w="1398" w:type="pct"/>
                  <w:noWrap w:val="0"/>
                  <w:vAlign w:val="center"/>
                </w:tcPr>
                <w:p w14:paraId="400A120A">
                  <w:pPr>
                    <w:adjustRightInd w:val="0"/>
                    <w:snapToGrid w:val="0"/>
                    <w:spacing w:line="240" w:lineRule="auto"/>
                    <w:jc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喷粉粉尘</w:t>
                  </w:r>
                </w:p>
              </w:tc>
              <w:tc>
                <w:tcPr>
                  <w:tcW w:w="1708" w:type="pct"/>
                  <w:noWrap w:val="0"/>
                  <w:vAlign w:val="center"/>
                </w:tcPr>
                <w:p w14:paraId="24837366">
                  <w:pPr>
                    <w:adjustRightInd w:val="0"/>
                    <w:snapToGrid w:val="0"/>
                    <w:spacing w:line="240" w:lineRule="auto"/>
                    <w:jc w:val="center"/>
                    <w:rPr>
                      <w:rFonts w:hint="eastAsia"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颗粒物</w:t>
                  </w:r>
                </w:p>
              </w:tc>
              <w:tc>
                <w:tcPr>
                  <w:tcW w:w="1482" w:type="pct"/>
                  <w:noWrap w:val="0"/>
                  <w:vAlign w:val="center"/>
                </w:tcPr>
                <w:p w14:paraId="03795556">
                  <w:pPr>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密闭车间负压收集+大旋风+滤芯式二级回收系统”处理后呈无组织排放</w:t>
                  </w:r>
                </w:p>
              </w:tc>
            </w:tr>
            <w:tr w14:paraId="0FB9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vMerge w:val="continue"/>
                  <w:noWrap w:val="0"/>
                  <w:vAlign w:val="center"/>
                </w:tcPr>
                <w:p w14:paraId="546B12CA">
                  <w:pPr>
                    <w:adjustRightInd w:val="0"/>
                    <w:snapToGrid w:val="0"/>
                    <w:spacing w:line="240" w:lineRule="auto"/>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p>
              </w:tc>
              <w:tc>
                <w:tcPr>
                  <w:tcW w:w="1398" w:type="pct"/>
                  <w:noWrap w:val="0"/>
                  <w:vAlign w:val="center"/>
                </w:tcPr>
                <w:p w14:paraId="27215382">
                  <w:pPr>
                    <w:adjustRightInd w:val="0"/>
                    <w:snapToGrid w:val="0"/>
                    <w:spacing w:line="240" w:lineRule="auto"/>
                    <w:jc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喷漆废气</w:t>
                  </w:r>
                </w:p>
              </w:tc>
              <w:tc>
                <w:tcPr>
                  <w:tcW w:w="1708" w:type="pct"/>
                  <w:noWrap w:val="0"/>
                  <w:vAlign w:val="center"/>
                </w:tcPr>
                <w:p w14:paraId="78DED8BA">
                  <w:pPr>
                    <w:adjustRightInd w:val="0"/>
                    <w:snapToGrid w:val="0"/>
                    <w:spacing w:line="240" w:lineRule="auto"/>
                    <w:jc w:val="center"/>
                    <w:rPr>
                      <w:rFonts w:hint="default"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颗粒物、非甲烷总烃、苯系物、臭气浓度</w:t>
                  </w:r>
                </w:p>
              </w:tc>
              <w:tc>
                <w:tcPr>
                  <w:tcW w:w="1482" w:type="pct"/>
                  <w:noWrap w:val="0"/>
                  <w:vAlign w:val="center"/>
                </w:tcPr>
                <w:p w14:paraId="74A5CCCE">
                  <w:pPr>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经水帘柜</w:t>
                  </w:r>
                  <w:r>
                    <w:rPr>
                      <w:rFonts w:hint="eastAsia" w:cs="Times New Roman"/>
                      <w:color w:val="000000" w:themeColor="text1"/>
                      <w:kern w:val="0"/>
                      <w:sz w:val="21"/>
                      <w:szCs w:val="21"/>
                      <w:lang w:val="en-US" w:eastAsia="zh-CN" w:bidi="ar"/>
                      <w14:textFill>
                        <w14:solidFill>
                          <w14:schemeClr w14:val="tx1"/>
                        </w14:solidFill>
                      </w14:textFill>
                    </w:rPr>
                    <w:t>喷淋</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+干式过滤+活性炭吸附脱附催化燃烧</w:t>
                  </w:r>
                  <w:r>
                    <w:rPr>
                      <w:rFonts w:hint="eastAsia" w:cs="Times New Roman"/>
                      <w:color w:val="000000" w:themeColor="text1"/>
                      <w:kern w:val="0"/>
                      <w:sz w:val="21"/>
                      <w:szCs w:val="21"/>
                      <w:lang w:val="en-US" w:eastAsia="zh-CN" w:bidi="ar"/>
                      <w14:textFill>
                        <w14:solidFill>
                          <w14:schemeClr w14:val="tx1"/>
                        </w14:solidFill>
                      </w14:textFill>
                    </w:rPr>
                    <w:t>+活性炭吸附</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处理后经15m高排气筒（</w:t>
                  </w:r>
                  <w:r>
                    <w:rPr>
                      <w:rFonts w:hint="eastAsia" w:cs="Times New Roman"/>
                      <w:color w:val="000000" w:themeColor="text1"/>
                      <w:kern w:val="0"/>
                      <w:sz w:val="21"/>
                      <w:szCs w:val="21"/>
                      <w:lang w:val="en-US" w:eastAsia="zh-CN" w:bidi="ar"/>
                      <w14:textFill>
                        <w14:solidFill>
                          <w14:schemeClr w14:val="tx1"/>
                        </w14:solidFill>
                      </w14:textFill>
                    </w:rPr>
                    <w:t>DA001</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）排放</w:t>
                  </w:r>
                </w:p>
              </w:tc>
            </w:tr>
            <w:tr w14:paraId="3138F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vMerge w:val="continue"/>
                  <w:noWrap w:val="0"/>
                  <w:vAlign w:val="center"/>
                </w:tcPr>
                <w:p w14:paraId="03C1F1AE">
                  <w:pPr>
                    <w:adjustRightInd w:val="0"/>
                    <w:snapToGrid w:val="0"/>
                    <w:spacing w:line="240" w:lineRule="auto"/>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p>
              </w:tc>
              <w:tc>
                <w:tcPr>
                  <w:tcW w:w="1398" w:type="pct"/>
                  <w:noWrap w:val="0"/>
                  <w:vAlign w:val="center"/>
                </w:tcPr>
                <w:p w14:paraId="6E49377B">
                  <w:pPr>
                    <w:pStyle w:val="109"/>
                    <w:keepNext w:val="0"/>
                    <w:keepLines w:val="0"/>
                    <w:pageBreakBefore w:val="0"/>
                    <w:widowControl/>
                    <w:suppressLineNumbers w:val="0"/>
                    <w:tabs>
                      <w:tab w:val="left" w:pos="-2848"/>
                    </w:tabs>
                    <w:kinsoku/>
                    <w:wordWrap w:val="0"/>
                    <w:overflowPunct/>
                    <w:topLinePunct w:val="0"/>
                    <w:autoSpaceDE w:val="0"/>
                    <w:autoSpaceDN w:val="0"/>
                    <w:bidi w:val="0"/>
                    <w:adjustRightInd/>
                    <w:snapToGrid/>
                    <w:spacing w:before="0" w:beforeAutospacing="0" w:after="0" w:afterAutospacing="0" w:line="240" w:lineRule="auto"/>
                    <w:ind w:left="0" w:leftChars="0" w:right="0" w:rightChars="0"/>
                    <w:textAlignment w:val="center"/>
                    <w:outlineLvl w:val="9"/>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固化废气</w:t>
                  </w:r>
                </w:p>
              </w:tc>
              <w:tc>
                <w:tcPr>
                  <w:tcW w:w="1708" w:type="pct"/>
                  <w:noWrap w:val="0"/>
                  <w:vAlign w:val="center"/>
                </w:tcPr>
                <w:p w14:paraId="5ED34100">
                  <w:pPr>
                    <w:pStyle w:val="109"/>
                    <w:keepNext w:val="0"/>
                    <w:keepLines w:val="0"/>
                    <w:pageBreakBefore w:val="0"/>
                    <w:widowControl/>
                    <w:suppressLineNumbers w:val="0"/>
                    <w:tabs>
                      <w:tab w:val="left" w:pos="-2848"/>
                    </w:tabs>
                    <w:kinsoku/>
                    <w:wordWrap w:val="0"/>
                    <w:overflowPunct/>
                    <w:topLinePunct w:val="0"/>
                    <w:autoSpaceDE w:val="0"/>
                    <w:autoSpaceDN w:val="0"/>
                    <w:bidi w:val="0"/>
                    <w:adjustRightInd/>
                    <w:snapToGrid/>
                    <w:spacing w:before="0" w:beforeAutospacing="0" w:after="0" w:afterAutospacing="0" w:line="240" w:lineRule="auto"/>
                    <w:ind w:left="0" w:leftChars="0" w:right="0" w:rightChars="0"/>
                    <w:textAlignment w:val="center"/>
                    <w:outlineLvl w:val="9"/>
                    <w:rPr>
                      <w:rFonts w:hint="eastAsia" w:eastAsia="宋体"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颗粒物、非甲烷总烃、苯系物、臭气浓度</w:t>
                  </w:r>
                  <w:r>
                    <w:rPr>
                      <w:rFonts w:hint="eastAsia"/>
                      <w:color w:val="000000" w:themeColor="text1"/>
                      <w:lang w:eastAsia="zh-CN"/>
                      <w14:textFill>
                        <w14:solidFill>
                          <w14:schemeClr w14:val="tx1"/>
                        </w14:solidFill>
                      </w14:textFill>
                    </w:rPr>
                    <w:t>、</w:t>
                  </w:r>
                  <w:r>
                    <w:rPr>
                      <w:rFonts w:hint="default" w:ascii="Times New Roman" w:hAnsi="Times New Roman" w:cs="Times New Roman"/>
                      <w:color w:val="000000" w:themeColor="text1"/>
                      <w:kern w:val="2"/>
                      <w:sz w:val="21"/>
                      <w:szCs w:val="21"/>
                      <w:highlight w:val="none"/>
                      <w:lang w:eastAsia="zh-CN"/>
                      <w14:textFill>
                        <w14:solidFill>
                          <w14:schemeClr w14:val="tx1"/>
                        </w14:solidFill>
                      </w14:textFill>
                    </w:rPr>
                    <w:t>氮氧化物、颗粒物、二氧化硫、</w:t>
                  </w: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烟气黑度</w:t>
                  </w:r>
                </w:p>
              </w:tc>
              <w:tc>
                <w:tcPr>
                  <w:tcW w:w="1482" w:type="pct"/>
                  <w:noWrap w:val="0"/>
                  <w:vAlign w:val="center"/>
                </w:tcPr>
                <w:p w14:paraId="59BF8171">
                  <w:pPr>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经喷淋+干式过滤</w:t>
                  </w:r>
                  <w:r>
                    <w:rPr>
                      <w:rFonts w:hint="eastAsia" w:cs="Times New Roman"/>
                      <w:color w:val="000000" w:themeColor="text1"/>
                      <w:kern w:val="0"/>
                      <w:sz w:val="21"/>
                      <w:szCs w:val="21"/>
                      <w:lang w:val="en-US" w:eastAsia="zh-CN" w:bidi="ar"/>
                      <w14:textFill>
                        <w14:solidFill>
                          <w14:schemeClr w14:val="tx1"/>
                        </w14:solidFill>
                      </w14:textFill>
                    </w:rPr>
                    <w:t>+二级活性炭吸附</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处理后经15m高排气筒（</w:t>
                  </w:r>
                  <w:r>
                    <w:rPr>
                      <w:rFonts w:hint="eastAsia" w:cs="Times New Roman"/>
                      <w:color w:val="000000" w:themeColor="text1"/>
                      <w:kern w:val="0"/>
                      <w:sz w:val="21"/>
                      <w:szCs w:val="21"/>
                      <w:lang w:val="en-US" w:eastAsia="zh-CN" w:bidi="ar"/>
                      <w14:textFill>
                        <w14:solidFill>
                          <w14:schemeClr w14:val="tx1"/>
                        </w14:solidFill>
                      </w14:textFill>
                    </w:rPr>
                    <w:t>DA002</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）排放</w:t>
                  </w:r>
                </w:p>
              </w:tc>
            </w:tr>
            <w:tr w14:paraId="6495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vMerge w:val="continue"/>
                  <w:noWrap w:val="0"/>
                  <w:vAlign w:val="center"/>
                </w:tcPr>
                <w:p w14:paraId="4C38D1FA">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398" w:type="pct"/>
                  <w:noWrap w:val="0"/>
                  <w:vAlign w:val="center"/>
                </w:tcPr>
                <w:p w14:paraId="10545211">
                  <w:pPr>
                    <w:adjustRightInd w:val="0"/>
                    <w:snapToGrid w:val="0"/>
                    <w:spacing w:line="240" w:lineRule="auto"/>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t>厨房油烟废气</w:t>
                  </w:r>
                </w:p>
              </w:tc>
              <w:tc>
                <w:tcPr>
                  <w:tcW w:w="1708" w:type="pct"/>
                  <w:noWrap w:val="0"/>
                  <w:vAlign w:val="center"/>
                </w:tcPr>
                <w:p w14:paraId="09D2ABDE">
                  <w:pPr>
                    <w:adjustRightInd w:val="0"/>
                    <w:snapToGrid w:val="0"/>
                    <w:spacing w:line="240" w:lineRule="auto"/>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t>油烟</w:t>
                  </w:r>
                </w:p>
              </w:tc>
              <w:tc>
                <w:tcPr>
                  <w:tcW w:w="1482" w:type="pct"/>
                  <w:noWrap w:val="0"/>
                  <w:vAlign w:val="center"/>
                </w:tcPr>
                <w:p w14:paraId="2882ABF3">
                  <w:pPr>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经</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专用排烟管</w:t>
                  </w:r>
                  <w:r>
                    <w:rPr>
                      <w:rFonts w:hint="eastAsia" w:cs="Times New Roman"/>
                      <w:color w:val="000000" w:themeColor="text1"/>
                      <w:kern w:val="0"/>
                      <w:sz w:val="21"/>
                      <w:szCs w:val="21"/>
                      <w:lang w:val="en-US" w:eastAsia="zh-CN" w:bidi="ar"/>
                      <w14:textFill>
                        <w14:solidFill>
                          <w14:schemeClr w14:val="tx1"/>
                        </w14:solidFill>
                      </w14:textFill>
                    </w:rPr>
                    <w:t>（DA003）</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高空排放</w:t>
                  </w:r>
                </w:p>
              </w:tc>
            </w:tr>
            <w:tr w14:paraId="7895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vMerge w:val="continue"/>
                  <w:noWrap w:val="0"/>
                  <w:vAlign w:val="center"/>
                </w:tcPr>
                <w:p w14:paraId="44B92D8A">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398" w:type="pct"/>
                  <w:noWrap w:val="0"/>
                  <w:vAlign w:val="center"/>
                </w:tcPr>
                <w:p w14:paraId="674C93B4">
                  <w:pPr>
                    <w:adjustRightInd w:val="0"/>
                    <w:snapToGrid w:val="0"/>
                    <w:spacing w:line="240" w:lineRule="auto"/>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污水处理站</w:t>
                  </w:r>
                </w:p>
              </w:tc>
              <w:tc>
                <w:tcPr>
                  <w:tcW w:w="1708" w:type="pct"/>
                  <w:noWrap w:val="0"/>
                  <w:vAlign w:val="center"/>
                </w:tcPr>
                <w:p w14:paraId="1D29B2C0">
                  <w:pPr>
                    <w:adjustRightInd w:val="0"/>
                    <w:snapToGrid w:val="0"/>
                    <w:spacing w:line="240" w:lineRule="auto"/>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氨、硫化氢、臭气浓度</w:t>
                  </w:r>
                </w:p>
              </w:tc>
              <w:tc>
                <w:tcPr>
                  <w:tcW w:w="1482" w:type="pct"/>
                  <w:noWrap w:val="0"/>
                  <w:vAlign w:val="center"/>
                </w:tcPr>
                <w:p w14:paraId="5B65BDD7">
                  <w:pPr>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加盖密闭、加强通风措施后无组织排放</w:t>
                  </w:r>
                </w:p>
              </w:tc>
            </w:tr>
            <w:tr w14:paraId="3DF63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vMerge w:val="restart"/>
                  <w:noWrap w:val="0"/>
                  <w:vAlign w:val="center"/>
                </w:tcPr>
                <w:p w14:paraId="67F235D7">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废水</w:t>
                  </w:r>
                </w:p>
              </w:tc>
              <w:tc>
                <w:tcPr>
                  <w:tcW w:w="1398" w:type="pct"/>
                  <w:noWrap w:val="0"/>
                  <w:vAlign w:val="center"/>
                </w:tcPr>
                <w:p w14:paraId="7EEEC4FC">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厂内员工生活污水</w:t>
                  </w:r>
                </w:p>
              </w:tc>
              <w:tc>
                <w:tcPr>
                  <w:tcW w:w="1708" w:type="pct"/>
                  <w:noWrap w:val="0"/>
                  <w:vAlign w:val="center"/>
                </w:tcPr>
                <w:p w14:paraId="4F6C13E0">
                  <w:pPr>
                    <w:adjustRightInd w:val="0"/>
                    <w:snapToGrid w:val="0"/>
                    <w:spacing w:line="240" w:lineRule="auto"/>
                    <w:jc w:val="center"/>
                    <w:rPr>
                      <w:rFonts w:hint="eastAsia"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pH、COD</w:t>
                  </w:r>
                  <w:r>
                    <w:rPr>
                      <w:rFonts w:hint="default" w:ascii="Times New Roman" w:hAnsi="Times New Roman" w:eastAsia="宋体" w:cs="Times New Roman"/>
                      <w:bCs/>
                      <w:color w:val="000000" w:themeColor="text1"/>
                      <w:sz w:val="21"/>
                      <w:szCs w:val="21"/>
                      <w:vertAlign w:val="subscript"/>
                      <w14:textFill>
                        <w14:solidFill>
                          <w14:schemeClr w14:val="tx1"/>
                        </w14:solidFill>
                      </w14:textFill>
                    </w:rPr>
                    <w:t>Cr</w:t>
                  </w:r>
                  <w:r>
                    <w:rPr>
                      <w:rFonts w:hint="default" w:ascii="Times New Roman" w:hAnsi="Times New Roman" w:eastAsia="宋体" w:cs="Times New Roman"/>
                      <w:bCs/>
                      <w:color w:val="000000" w:themeColor="text1"/>
                      <w:sz w:val="21"/>
                      <w:szCs w:val="21"/>
                      <w14:textFill>
                        <w14:solidFill>
                          <w14:schemeClr w14:val="tx1"/>
                        </w14:solidFill>
                      </w14:textFill>
                    </w:rPr>
                    <w:t>、BOD</w:t>
                  </w:r>
                  <w:r>
                    <w:rPr>
                      <w:rFonts w:hint="default" w:ascii="Times New Roman" w:hAnsi="Times New Roman" w:eastAsia="宋体" w:cs="Times New Roman"/>
                      <w:bCs/>
                      <w:color w:val="000000" w:themeColor="text1"/>
                      <w:sz w:val="21"/>
                      <w:szCs w:val="21"/>
                      <w:vertAlign w:val="subscript"/>
                      <w14:textFill>
                        <w14:solidFill>
                          <w14:schemeClr w14:val="tx1"/>
                        </w14:solidFill>
                      </w14:textFill>
                    </w:rPr>
                    <w:t>5</w:t>
                  </w:r>
                  <w:r>
                    <w:rPr>
                      <w:rFonts w:hint="default" w:ascii="Times New Roman" w:hAnsi="Times New Roman" w:eastAsia="宋体" w:cs="Times New Roman"/>
                      <w:bCs/>
                      <w:color w:val="000000" w:themeColor="text1"/>
                      <w:sz w:val="21"/>
                      <w:szCs w:val="21"/>
                      <w14:textFill>
                        <w14:solidFill>
                          <w14:schemeClr w14:val="tx1"/>
                        </w14:solidFill>
                      </w14:textFill>
                    </w:rPr>
                    <w:t>、SS、氨氮、</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总磷、</w:t>
                  </w:r>
                  <w:r>
                    <w:rPr>
                      <w:rFonts w:hint="eastAsia" w:cs="Times New Roman"/>
                      <w:bCs/>
                      <w:color w:val="000000" w:themeColor="text1"/>
                      <w:sz w:val="21"/>
                      <w:szCs w:val="21"/>
                      <w:lang w:val="en-US" w:eastAsia="zh-CN"/>
                      <w14:textFill>
                        <w14:solidFill>
                          <w14:schemeClr w14:val="tx1"/>
                        </w14:solidFill>
                      </w14:textFill>
                    </w:rPr>
                    <w:t>动植物油</w:t>
                  </w:r>
                </w:p>
              </w:tc>
              <w:tc>
                <w:tcPr>
                  <w:tcW w:w="1482" w:type="pct"/>
                  <w:noWrap w:val="0"/>
                  <w:vAlign w:val="center"/>
                </w:tcPr>
                <w:p w14:paraId="0487BF6F">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经三级化粪池</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+隔油隔渣池</w:t>
                  </w: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处理后排入园区污水处理厂</w:t>
                  </w:r>
                </w:p>
              </w:tc>
            </w:tr>
            <w:tr w14:paraId="7E5A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0" w:type="pct"/>
                  <w:vMerge w:val="continue"/>
                  <w:noWrap w:val="0"/>
                  <w:vAlign w:val="center"/>
                </w:tcPr>
                <w:p w14:paraId="1CE32B62">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398" w:type="pct"/>
                  <w:noWrap w:val="0"/>
                  <w:vAlign w:val="center"/>
                </w:tcPr>
                <w:p w14:paraId="710629BA">
                  <w:pPr>
                    <w:pStyle w:val="109"/>
                    <w:keepNext w:val="0"/>
                    <w:keepLines w:val="0"/>
                    <w:pageBreakBefore w:val="0"/>
                    <w:widowControl/>
                    <w:suppressLineNumbers w:val="0"/>
                    <w:tabs>
                      <w:tab w:val="left" w:pos="-2848"/>
                    </w:tabs>
                    <w:kinsoku/>
                    <w:wordWrap w:val="0"/>
                    <w:overflowPunct/>
                    <w:topLinePunct w:val="0"/>
                    <w:autoSpaceDE w:val="0"/>
                    <w:autoSpaceDN w:val="0"/>
                    <w:bidi w:val="0"/>
                    <w:adjustRightInd/>
                    <w:snapToGrid/>
                    <w:spacing w:before="0" w:beforeAutospacing="0" w:after="0" w:afterAutospacing="0" w:line="240" w:lineRule="auto"/>
                    <w:ind w:left="0" w:leftChars="0" w:right="0" w:rightChars="0"/>
                    <w:textAlignment w:val="center"/>
                    <w:outlineLvl w:val="9"/>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生产废水</w:t>
                  </w:r>
                </w:p>
              </w:tc>
              <w:tc>
                <w:tcPr>
                  <w:tcW w:w="1708" w:type="pct"/>
                  <w:noWrap w:val="0"/>
                  <w:vAlign w:val="center"/>
                </w:tcPr>
                <w:p w14:paraId="41DFF39F">
                  <w:pPr>
                    <w:pStyle w:val="109"/>
                    <w:keepNext w:val="0"/>
                    <w:keepLines w:val="0"/>
                    <w:pageBreakBefore w:val="0"/>
                    <w:widowControl/>
                    <w:suppressLineNumbers w:val="0"/>
                    <w:tabs>
                      <w:tab w:val="left" w:pos="-2848"/>
                    </w:tabs>
                    <w:kinsoku/>
                    <w:wordWrap w:val="0"/>
                    <w:overflowPunct/>
                    <w:topLinePunct w:val="0"/>
                    <w:autoSpaceDE w:val="0"/>
                    <w:autoSpaceDN w:val="0"/>
                    <w:bidi w:val="0"/>
                    <w:adjustRightInd/>
                    <w:snapToGrid/>
                    <w:spacing w:before="0" w:beforeAutospacing="0" w:after="0" w:afterAutospacing="0" w:line="240" w:lineRule="auto"/>
                    <w:ind w:left="0" w:leftChars="0" w:right="0" w:rightChars="0"/>
                    <w:textAlignment w:val="center"/>
                    <w:outlineLvl w:val="9"/>
                    <w:rPr>
                      <w:rFonts w:hint="default" w:ascii="Times New Roman" w:hAnsi="Times New Roman" w:eastAsia="宋体" w:cs="Times New Roman"/>
                      <w:bCs/>
                      <w:color w:val="000000" w:themeColor="text1"/>
                      <w:sz w:val="21"/>
                      <w:szCs w:val="21"/>
                      <w:lang w:val="en-US"/>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pH、COD</w:t>
                  </w:r>
                  <w:r>
                    <w:rPr>
                      <w:rFonts w:hint="default" w:ascii="Times New Roman" w:hAnsi="Times New Roman" w:cs="Times New Roman"/>
                      <w:color w:val="000000" w:themeColor="text1"/>
                      <w:kern w:val="2"/>
                      <w:sz w:val="21"/>
                      <w:szCs w:val="21"/>
                      <w:highlight w:val="none"/>
                      <w:vertAlign w:val="subscript"/>
                      <w14:textFill>
                        <w14:solidFill>
                          <w14:schemeClr w14:val="tx1"/>
                        </w14:solidFill>
                      </w14:textFill>
                    </w:rPr>
                    <w:t>Cr</w:t>
                  </w:r>
                  <w:r>
                    <w:rPr>
                      <w:rFonts w:hint="default" w:ascii="Times New Roman" w:hAnsi="Times New Roman" w:cs="Times New Roman"/>
                      <w:color w:val="000000" w:themeColor="text1"/>
                      <w:kern w:val="2"/>
                      <w:sz w:val="21"/>
                      <w:szCs w:val="21"/>
                      <w:highlight w:val="none"/>
                      <w14:textFill>
                        <w14:solidFill>
                          <w14:schemeClr w14:val="tx1"/>
                        </w14:solidFill>
                      </w14:textFill>
                    </w:rPr>
                    <w:t>、</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BOD</w:t>
                  </w:r>
                  <w:r>
                    <w:rPr>
                      <w:rFonts w:hint="eastAsia" w:ascii="Times New Roman" w:hAnsi="Times New Roman" w:cs="Times New Roman"/>
                      <w:color w:val="000000" w:themeColor="text1"/>
                      <w:sz w:val="21"/>
                      <w:szCs w:val="21"/>
                      <w:highlight w:val="none"/>
                      <w:vertAlign w:val="subscript"/>
                      <w:lang w:val="en-US" w:eastAsia="zh-CN"/>
                      <w14:textFill>
                        <w14:solidFill>
                          <w14:schemeClr w14:val="tx1"/>
                        </w14:solidFill>
                      </w14:textFill>
                    </w:rPr>
                    <w:t>5</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、NH</w:t>
                  </w:r>
                  <w:r>
                    <w:rPr>
                      <w:rFonts w:hint="eastAsia" w:ascii="Times New Roman" w:hAnsi="Times New Roman" w:cs="Times New Roman"/>
                      <w:color w:val="000000" w:themeColor="text1"/>
                      <w:sz w:val="21"/>
                      <w:szCs w:val="21"/>
                      <w:highlight w:val="none"/>
                      <w:vertAlign w:val="subscript"/>
                      <w:lang w:val="en-US" w:eastAsia="zh-CN"/>
                      <w14:textFill>
                        <w14:solidFill>
                          <w14:schemeClr w14:val="tx1"/>
                        </w14:solidFill>
                      </w14:textFill>
                    </w:rPr>
                    <w:t>3</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-N、</w:t>
                  </w:r>
                  <w:r>
                    <w:rPr>
                      <w:rFonts w:hint="default" w:ascii="Times New Roman" w:hAnsi="Times New Roman" w:cs="Times New Roman"/>
                      <w:color w:val="000000" w:themeColor="text1"/>
                      <w:kern w:val="2"/>
                      <w:sz w:val="21"/>
                      <w:szCs w:val="21"/>
                      <w:highlight w:val="none"/>
                      <w14:textFill>
                        <w14:solidFill>
                          <w14:schemeClr w14:val="tx1"/>
                        </w14:solidFill>
                      </w14:textFill>
                    </w:rPr>
                    <w:t>SS、石油类、氟化物、LAS</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TN、TP、总铝</w:t>
                  </w:r>
                </w:p>
              </w:tc>
              <w:tc>
                <w:tcPr>
                  <w:tcW w:w="1482" w:type="pct"/>
                  <w:noWrap w:val="0"/>
                  <w:vAlign w:val="center"/>
                </w:tcPr>
                <w:p w14:paraId="0BE1F31A">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经自建污水处理站处理后</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排入</w:t>
                  </w: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园区污水处理厂</w:t>
                  </w:r>
                </w:p>
              </w:tc>
            </w:tr>
            <w:tr w14:paraId="4BC3C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vMerge w:val="restart"/>
                  <w:noWrap w:val="0"/>
                  <w:vAlign w:val="center"/>
                </w:tcPr>
                <w:p w14:paraId="58C8AD9E">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固体废物</w:t>
                  </w:r>
                </w:p>
              </w:tc>
              <w:tc>
                <w:tcPr>
                  <w:tcW w:w="1398" w:type="pct"/>
                  <w:vMerge w:val="restart"/>
                  <w:noWrap w:val="0"/>
                  <w:vAlign w:val="center"/>
                </w:tcPr>
                <w:p w14:paraId="0D6FDFCE">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员工生活办公</w:t>
                  </w:r>
                </w:p>
              </w:tc>
              <w:tc>
                <w:tcPr>
                  <w:tcW w:w="1708" w:type="pct"/>
                  <w:noWrap w:val="0"/>
                  <w:vAlign w:val="center"/>
                </w:tcPr>
                <w:p w14:paraId="772B7D70">
                  <w:pPr>
                    <w:adjustRightInd w:val="0"/>
                    <w:snapToGrid w:val="0"/>
                    <w:spacing w:line="240" w:lineRule="auto"/>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生活垃圾</w:t>
                  </w:r>
                </w:p>
              </w:tc>
              <w:tc>
                <w:tcPr>
                  <w:tcW w:w="1482" w:type="pct"/>
                  <w:noWrap w:val="0"/>
                  <w:vAlign w:val="center"/>
                </w:tcPr>
                <w:p w14:paraId="23484A9D">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由环卫部门收集处理</w:t>
                  </w:r>
                </w:p>
              </w:tc>
            </w:tr>
            <w:tr w14:paraId="3D14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vMerge w:val="continue"/>
                  <w:noWrap w:val="0"/>
                  <w:vAlign w:val="center"/>
                </w:tcPr>
                <w:p w14:paraId="0062E19A">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398" w:type="pct"/>
                  <w:vMerge w:val="continue"/>
                  <w:noWrap w:val="0"/>
                  <w:vAlign w:val="center"/>
                </w:tcPr>
                <w:p w14:paraId="0BBB6768">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708" w:type="pct"/>
                  <w:noWrap w:val="0"/>
                  <w:vAlign w:val="center"/>
                </w:tcPr>
                <w:p w14:paraId="5BB65DF1">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废油脂</w:t>
                  </w:r>
                </w:p>
              </w:tc>
              <w:tc>
                <w:tcPr>
                  <w:tcW w:w="1482" w:type="pct"/>
                  <w:noWrap w:val="0"/>
                  <w:vAlign w:val="center"/>
                </w:tcPr>
                <w:p w14:paraId="5CE98E17">
                  <w:pPr>
                    <w:adjustRightInd w:val="0"/>
                    <w:snapToGrid w:val="0"/>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交</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专业单位回收处置</w:t>
                  </w:r>
                </w:p>
              </w:tc>
            </w:tr>
            <w:tr w14:paraId="18590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vMerge w:val="continue"/>
                  <w:noWrap w:val="0"/>
                  <w:vAlign w:val="center"/>
                </w:tcPr>
                <w:p w14:paraId="71DC2316">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398" w:type="pct"/>
                  <w:noWrap w:val="0"/>
                  <w:vAlign w:val="center"/>
                </w:tcPr>
                <w:p w14:paraId="5C1B9BEE">
                  <w:pPr>
                    <w:pStyle w:val="109"/>
                    <w:keepNext w:val="0"/>
                    <w:keepLines w:val="0"/>
                    <w:pageBreakBefore w:val="0"/>
                    <w:widowControl/>
                    <w:suppressLineNumbers w:val="0"/>
                    <w:tabs>
                      <w:tab w:val="left" w:pos="-2848"/>
                    </w:tabs>
                    <w:kinsoku/>
                    <w:wordWrap w:val="0"/>
                    <w:overflowPunct/>
                    <w:topLinePunct w:val="0"/>
                    <w:autoSpaceDE w:val="0"/>
                    <w:autoSpaceDN w:val="0"/>
                    <w:bidi w:val="0"/>
                    <w:adjustRightInd/>
                    <w:snapToGrid/>
                    <w:spacing w:before="0" w:beforeAutospacing="0" w:after="0" w:afterAutospacing="0" w:line="240" w:lineRule="auto"/>
                    <w:ind w:left="0" w:leftChars="0" w:right="0" w:rightChars="0"/>
                    <w:textAlignment w:val="center"/>
                    <w:outlineLvl w:val="9"/>
                    <w:rPr>
                      <w:rFonts w:hint="default" w:ascii="Times New Roman" w:hAnsi="Times New Roman" w:eastAsia="宋体" w:cs="Times New Roman"/>
                      <w:color w:val="000000" w:themeColor="text1"/>
                      <w:kern w:val="2"/>
                      <w:position w:val="-1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自建污水处理站</w:t>
                  </w:r>
                </w:p>
              </w:tc>
              <w:tc>
                <w:tcPr>
                  <w:tcW w:w="1708" w:type="pct"/>
                  <w:noWrap w:val="0"/>
                  <w:vAlign w:val="center"/>
                </w:tcPr>
                <w:p w14:paraId="6A416A03">
                  <w:pPr>
                    <w:pStyle w:val="109"/>
                    <w:keepNext w:val="0"/>
                    <w:keepLines w:val="0"/>
                    <w:pageBreakBefore w:val="0"/>
                    <w:widowControl/>
                    <w:suppressLineNumbers w:val="0"/>
                    <w:tabs>
                      <w:tab w:val="left" w:pos="-2848"/>
                    </w:tabs>
                    <w:kinsoku/>
                    <w:wordWrap w:val="0"/>
                    <w:overflowPunct/>
                    <w:topLinePunct w:val="0"/>
                    <w:autoSpaceDE w:val="0"/>
                    <w:autoSpaceDN w:val="0"/>
                    <w:bidi w:val="0"/>
                    <w:adjustRightInd/>
                    <w:snapToGrid/>
                    <w:spacing w:before="0" w:beforeAutospacing="0" w:after="0" w:afterAutospacing="0" w:line="240" w:lineRule="auto"/>
                    <w:ind w:left="0" w:leftChars="0" w:right="0" w:rightChars="0"/>
                    <w:textAlignment w:val="center"/>
                    <w:outlineLvl w:val="9"/>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废水处理站污泥、</w:t>
                  </w:r>
                  <w:r>
                    <w:rPr>
                      <w:rFonts w:hint="default" w:ascii="Times New Roman" w:hAnsi="Times New Roman" w:cs="Times New Roman"/>
                      <w:b w:val="0"/>
                      <w:bCs w:val="0"/>
                      <w:color w:val="000000" w:themeColor="text1"/>
                      <w:kern w:val="2"/>
                      <w:sz w:val="21"/>
                      <w:szCs w:val="21"/>
                      <w:highlight w:val="none"/>
                      <w:lang w:eastAsia="zh-CN"/>
                      <w14:textFill>
                        <w14:solidFill>
                          <w14:schemeClr w14:val="tx1"/>
                        </w14:solidFill>
                      </w14:textFill>
                    </w:rPr>
                    <w:t>废</w:t>
                  </w:r>
                  <w:r>
                    <w:rPr>
                      <w:rFonts w:hint="default" w:ascii="Times New Roman" w:hAnsi="Times New Roman" w:cs="Times New Roman"/>
                      <w:b w:val="0"/>
                      <w:bCs w:val="0"/>
                      <w:color w:val="000000" w:themeColor="text1"/>
                      <w:kern w:val="2"/>
                      <w:sz w:val="21"/>
                      <w:szCs w:val="21"/>
                      <w:highlight w:val="none"/>
                      <w14:textFill>
                        <w14:solidFill>
                          <w14:schemeClr w14:val="tx1"/>
                        </w14:solidFill>
                      </w14:textFill>
                    </w:rPr>
                    <w:t>pH调整剂</w:t>
                  </w:r>
                  <w:r>
                    <w:rPr>
                      <w:rFonts w:hint="default" w:ascii="Times New Roman" w:hAnsi="Times New Roman" w:cs="Times New Roman"/>
                      <w:b w:val="0"/>
                      <w:bCs w:val="0"/>
                      <w:color w:val="000000" w:themeColor="text1"/>
                      <w:kern w:val="2"/>
                      <w:sz w:val="21"/>
                      <w:szCs w:val="21"/>
                      <w:highlight w:val="none"/>
                      <w:lang w:eastAsia="zh-CN"/>
                      <w14:textFill>
                        <w14:solidFill>
                          <w14:schemeClr w14:val="tx1"/>
                        </w14:solidFill>
                      </w14:textFill>
                    </w:rPr>
                    <w:t>包装桶</w:t>
                  </w:r>
                </w:p>
              </w:tc>
              <w:tc>
                <w:tcPr>
                  <w:tcW w:w="1482" w:type="pct"/>
                  <w:vMerge w:val="restart"/>
                  <w:noWrap w:val="0"/>
                  <w:vAlign w:val="center"/>
                </w:tcPr>
                <w:p w14:paraId="18F782F6">
                  <w:pPr>
                    <w:adjustRightInd w:val="0"/>
                    <w:snapToGrid w:val="0"/>
                    <w:spacing w:line="240" w:lineRule="auto"/>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经收集后</w:t>
                  </w: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暂存</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于</w:t>
                  </w:r>
                  <w:r>
                    <w:rPr>
                      <w:rFonts w:hint="eastAsia" w:cs="Times New Roman"/>
                      <w:bCs/>
                      <w:color w:val="000000" w:themeColor="text1"/>
                      <w:sz w:val="21"/>
                      <w:szCs w:val="21"/>
                      <w:lang w:val="en-US" w:eastAsia="zh-CN"/>
                      <w14:textFill>
                        <w14:solidFill>
                          <w14:schemeClr w14:val="tx1"/>
                        </w14:solidFill>
                      </w14:textFill>
                    </w:rPr>
                    <w:t>危险废物贮存间</w:t>
                  </w: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，交有危险废物处理资质单位处理</w:t>
                  </w:r>
                </w:p>
              </w:tc>
            </w:tr>
            <w:tr w14:paraId="4545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vMerge w:val="continue"/>
                  <w:noWrap w:val="0"/>
                  <w:vAlign w:val="center"/>
                </w:tcPr>
                <w:p w14:paraId="7F0D996C">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398" w:type="pct"/>
                  <w:tcBorders>
                    <w:bottom w:val="single" w:color="000000" w:sz="4" w:space="0"/>
                  </w:tcBorders>
                  <w:noWrap w:val="0"/>
                  <w:vAlign w:val="center"/>
                </w:tcPr>
                <w:p w14:paraId="1DF68BBA">
                  <w:pPr>
                    <w:pStyle w:val="109"/>
                    <w:keepNext w:val="0"/>
                    <w:keepLines w:val="0"/>
                    <w:pageBreakBefore w:val="0"/>
                    <w:widowControl/>
                    <w:suppressLineNumbers w:val="0"/>
                    <w:tabs>
                      <w:tab w:val="left" w:pos="-2848"/>
                    </w:tabs>
                    <w:kinsoku/>
                    <w:wordWrap w:val="0"/>
                    <w:overflowPunct/>
                    <w:topLinePunct w:val="0"/>
                    <w:autoSpaceDE w:val="0"/>
                    <w:autoSpaceDN w:val="0"/>
                    <w:bidi w:val="0"/>
                    <w:adjustRightInd/>
                    <w:snapToGrid/>
                    <w:spacing w:before="0" w:beforeAutospacing="0" w:after="0" w:afterAutospacing="0" w:line="240" w:lineRule="auto"/>
                    <w:ind w:left="0" w:leftChars="0" w:right="0" w:rightChars="0"/>
                    <w:textAlignment w:val="center"/>
                    <w:outlineLvl w:val="9"/>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预脱脂池、脱脂池</w:t>
                  </w:r>
                </w:p>
              </w:tc>
              <w:tc>
                <w:tcPr>
                  <w:tcW w:w="1708" w:type="pct"/>
                  <w:tcBorders>
                    <w:bottom w:val="single" w:color="000000" w:sz="4" w:space="0"/>
                  </w:tcBorders>
                  <w:noWrap w:val="0"/>
                  <w:vAlign w:val="center"/>
                </w:tcPr>
                <w:p w14:paraId="3C42B82A">
                  <w:pPr>
                    <w:pStyle w:val="109"/>
                    <w:keepNext w:val="0"/>
                    <w:keepLines w:val="0"/>
                    <w:pageBreakBefore w:val="0"/>
                    <w:widowControl/>
                    <w:suppressLineNumbers w:val="0"/>
                    <w:tabs>
                      <w:tab w:val="left" w:pos="-2848"/>
                    </w:tabs>
                    <w:kinsoku/>
                    <w:wordWrap w:val="0"/>
                    <w:overflowPunct/>
                    <w:topLinePunct w:val="0"/>
                    <w:autoSpaceDE w:val="0"/>
                    <w:autoSpaceDN w:val="0"/>
                    <w:bidi w:val="0"/>
                    <w:adjustRightInd/>
                    <w:snapToGrid/>
                    <w:spacing w:before="0" w:beforeAutospacing="0" w:after="0" w:afterAutospacing="0" w:line="240" w:lineRule="auto"/>
                    <w:ind w:left="0" w:leftChars="0" w:right="0" w:rightChars="0"/>
                    <w:textAlignment w:val="center"/>
                    <w:outlineLvl w:val="9"/>
                    <w:rPr>
                      <w:rFonts w:hint="eastAsia" w:ascii="Times New Roman" w:hAnsi="Times New Roman" w:eastAsia="宋体" w:cs="Times New Roman"/>
                      <w:color w:val="000000" w:themeColor="text1"/>
                      <w:kern w:val="2"/>
                      <w:sz w:val="21"/>
                      <w:szCs w:val="21"/>
                      <w:highlight w:val="none"/>
                      <w:lang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废</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表面处理剂</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包装桶、</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预处理池泥渣及管道循环装置废物</w:t>
                  </w:r>
                </w:p>
              </w:tc>
              <w:tc>
                <w:tcPr>
                  <w:tcW w:w="1482" w:type="pct"/>
                  <w:vMerge w:val="continue"/>
                  <w:noWrap w:val="0"/>
                  <w:vAlign w:val="center"/>
                </w:tcPr>
                <w:p w14:paraId="190B2236">
                  <w:pPr>
                    <w:adjustRightInd w:val="0"/>
                    <w:snapToGrid w:val="0"/>
                    <w:spacing w:line="240" w:lineRule="auto"/>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p>
              </w:tc>
            </w:tr>
            <w:tr w14:paraId="3C4A3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vMerge w:val="continue"/>
                  <w:noWrap w:val="0"/>
                  <w:vAlign w:val="center"/>
                </w:tcPr>
                <w:p w14:paraId="53DD1A02">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398" w:type="pct"/>
                  <w:tcBorders>
                    <w:bottom w:val="single" w:color="000000" w:sz="4" w:space="0"/>
                  </w:tcBorders>
                  <w:noWrap w:val="0"/>
                  <w:vAlign w:val="center"/>
                </w:tcPr>
                <w:p w14:paraId="7FE962F4">
                  <w:pPr>
                    <w:pStyle w:val="109"/>
                    <w:keepNext w:val="0"/>
                    <w:keepLines w:val="0"/>
                    <w:pageBreakBefore w:val="0"/>
                    <w:widowControl/>
                    <w:suppressLineNumbers w:val="0"/>
                    <w:tabs>
                      <w:tab w:val="left" w:pos="-2848"/>
                    </w:tabs>
                    <w:kinsoku/>
                    <w:wordWrap w:val="0"/>
                    <w:overflowPunct/>
                    <w:topLinePunct w:val="0"/>
                    <w:autoSpaceDE w:val="0"/>
                    <w:autoSpaceDN w:val="0"/>
                    <w:bidi w:val="0"/>
                    <w:adjustRightInd/>
                    <w:snapToGrid/>
                    <w:spacing w:before="0" w:beforeAutospacing="0" w:after="0" w:afterAutospacing="0" w:line="240" w:lineRule="auto"/>
                    <w:ind w:left="0" w:leftChars="0" w:right="0" w:rightChars="0"/>
                    <w:textAlignment w:val="center"/>
                    <w:outlineLvl w:val="9"/>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无铬钝化池</w:t>
                  </w:r>
                </w:p>
              </w:tc>
              <w:tc>
                <w:tcPr>
                  <w:tcW w:w="1708" w:type="pct"/>
                  <w:tcBorders>
                    <w:bottom w:val="single" w:color="000000" w:sz="4" w:space="0"/>
                  </w:tcBorders>
                  <w:noWrap w:val="0"/>
                  <w:vAlign w:val="center"/>
                </w:tcPr>
                <w:p w14:paraId="0E4E11CE">
                  <w:pPr>
                    <w:pStyle w:val="109"/>
                    <w:keepNext w:val="0"/>
                    <w:keepLines w:val="0"/>
                    <w:pageBreakBefore w:val="0"/>
                    <w:widowControl/>
                    <w:suppressLineNumbers w:val="0"/>
                    <w:tabs>
                      <w:tab w:val="left" w:pos="-2848"/>
                    </w:tabs>
                    <w:kinsoku/>
                    <w:wordWrap w:val="0"/>
                    <w:overflowPunct/>
                    <w:topLinePunct w:val="0"/>
                    <w:autoSpaceDE w:val="0"/>
                    <w:autoSpaceDN w:val="0"/>
                    <w:bidi w:val="0"/>
                    <w:adjustRightInd/>
                    <w:snapToGrid/>
                    <w:spacing w:before="0" w:beforeAutospacing="0" w:after="0" w:afterAutospacing="0" w:line="240" w:lineRule="auto"/>
                    <w:ind w:left="0" w:leftChars="0" w:right="0" w:rightChars="0"/>
                    <w:textAlignment w:val="center"/>
                    <w:outlineLvl w:val="9"/>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废</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表面处理剂</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包装桶</w:t>
                  </w:r>
                  <w:r>
                    <w:rPr>
                      <w:rFonts w:hint="default" w:ascii="Times New Roman" w:hAnsi="Times New Roman" w:cs="Times New Roman"/>
                      <w:b w:val="0"/>
                      <w:bCs w:val="0"/>
                      <w:color w:val="000000" w:themeColor="text1"/>
                      <w:kern w:val="2"/>
                      <w:sz w:val="21"/>
                      <w:szCs w:val="21"/>
                      <w:highlight w:val="none"/>
                      <w:lang w:eastAsia="zh-CN"/>
                      <w14:textFill>
                        <w14:solidFill>
                          <w14:schemeClr w14:val="tx1"/>
                        </w14:solidFill>
                      </w14:textFill>
                    </w:rPr>
                    <w:t>、</w:t>
                  </w:r>
                  <w:r>
                    <w:rPr>
                      <w:rFonts w:hint="eastAsia" w:ascii="Times New Roman" w:hAnsi="Times New Roman" w:cs="Times New Roman"/>
                      <w:b w:val="0"/>
                      <w:bCs w:val="0"/>
                      <w:color w:val="000000" w:themeColor="text1"/>
                      <w:kern w:val="2"/>
                      <w:sz w:val="21"/>
                      <w:szCs w:val="21"/>
                      <w:highlight w:val="none"/>
                      <w:lang w:val="en-US" w:eastAsia="zh-CN"/>
                      <w14:textFill>
                        <w14:solidFill>
                          <w14:schemeClr w14:val="tx1"/>
                        </w14:solidFill>
                      </w14:textFill>
                    </w:rPr>
                    <w:t>无铬钝化池</w:t>
                  </w: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废槽液</w:t>
                  </w:r>
                </w:p>
              </w:tc>
              <w:tc>
                <w:tcPr>
                  <w:tcW w:w="1482" w:type="pct"/>
                  <w:vMerge w:val="continue"/>
                  <w:noWrap w:val="0"/>
                  <w:vAlign w:val="center"/>
                </w:tcPr>
                <w:p w14:paraId="6E74D96D">
                  <w:pPr>
                    <w:adjustRightInd w:val="0"/>
                    <w:snapToGrid w:val="0"/>
                    <w:spacing w:line="240" w:lineRule="auto"/>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p>
              </w:tc>
            </w:tr>
            <w:tr w14:paraId="623FA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410" w:type="pct"/>
                  <w:vMerge w:val="continue"/>
                  <w:noWrap w:val="0"/>
                  <w:vAlign w:val="center"/>
                </w:tcPr>
                <w:p w14:paraId="08FA54A8">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398" w:type="pct"/>
                  <w:tcBorders>
                    <w:bottom w:val="single" w:color="000000" w:sz="4" w:space="0"/>
                  </w:tcBorders>
                  <w:noWrap w:val="0"/>
                  <w:vAlign w:val="center"/>
                </w:tcPr>
                <w:p w14:paraId="722265BD">
                  <w:pPr>
                    <w:pStyle w:val="109"/>
                    <w:keepNext w:val="0"/>
                    <w:keepLines w:val="0"/>
                    <w:pageBreakBefore w:val="0"/>
                    <w:widowControl/>
                    <w:suppressLineNumbers w:val="0"/>
                    <w:tabs>
                      <w:tab w:val="left" w:pos="-2848"/>
                    </w:tabs>
                    <w:kinsoku/>
                    <w:wordWrap w:val="0"/>
                    <w:overflowPunct/>
                    <w:topLinePunct w:val="0"/>
                    <w:autoSpaceDE w:val="0"/>
                    <w:autoSpaceDN w:val="0"/>
                    <w:bidi w:val="0"/>
                    <w:adjustRightInd/>
                    <w:snapToGrid/>
                    <w:spacing w:before="0" w:beforeAutospacing="0" w:after="0" w:afterAutospacing="0" w:line="240" w:lineRule="auto"/>
                    <w:ind w:left="0" w:leftChars="0" w:right="0" w:rightChars="0"/>
                    <w:textAlignment w:val="center"/>
                    <w:outlineLvl w:val="9"/>
                    <w:rPr>
                      <w:rFonts w:hint="eastAsia" w:ascii="Times New Roman" w:hAnsi="Times New Roman" w:eastAsia="宋体" w:cs="Times New Roman"/>
                      <w:color w:val="000000" w:themeColor="text1"/>
                      <w:kern w:val="2"/>
                      <w:position w:val="-1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设备维修保养</w:t>
                  </w:r>
                </w:p>
              </w:tc>
              <w:tc>
                <w:tcPr>
                  <w:tcW w:w="1708" w:type="pct"/>
                  <w:tcBorders>
                    <w:bottom w:val="single" w:color="000000" w:sz="4" w:space="0"/>
                  </w:tcBorders>
                  <w:noWrap w:val="0"/>
                  <w:vAlign w:val="center"/>
                </w:tcPr>
                <w:p w14:paraId="7F2304F9">
                  <w:pPr>
                    <w:pStyle w:val="109"/>
                    <w:keepNext w:val="0"/>
                    <w:keepLines w:val="0"/>
                    <w:pageBreakBefore w:val="0"/>
                    <w:widowControl/>
                    <w:suppressLineNumbers w:val="0"/>
                    <w:tabs>
                      <w:tab w:val="left" w:pos="-2848"/>
                    </w:tabs>
                    <w:kinsoku/>
                    <w:wordWrap w:val="0"/>
                    <w:overflowPunct/>
                    <w:topLinePunct w:val="0"/>
                    <w:autoSpaceDE w:val="0"/>
                    <w:autoSpaceDN w:val="0"/>
                    <w:bidi w:val="0"/>
                    <w:adjustRightInd/>
                    <w:snapToGrid/>
                    <w:spacing w:before="0" w:beforeAutospacing="0" w:after="0" w:afterAutospacing="0" w:line="240" w:lineRule="auto"/>
                    <w:ind w:left="0" w:leftChars="0" w:right="0" w:rightChars="0"/>
                    <w:textAlignment w:val="center"/>
                    <w:outlineLvl w:val="9"/>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废机油桶、废机油</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废含油手套抹布</w:t>
                  </w:r>
                </w:p>
              </w:tc>
              <w:tc>
                <w:tcPr>
                  <w:tcW w:w="1482" w:type="pct"/>
                  <w:vMerge w:val="continue"/>
                  <w:noWrap w:val="0"/>
                  <w:vAlign w:val="center"/>
                </w:tcPr>
                <w:p w14:paraId="73BD03B1">
                  <w:pPr>
                    <w:adjustRightInd w:val="0"/>
                    <w:snapToGrid w:val="0"/>
                    <w:spacing w:line="240" w:lineRule="auto"/>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p>
              </w:tc>
            </w:tr>
            <w:tr w14:paraId="34822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vMerge w:val="continue"/>
                  <w:noWrap w:val="0"/>
                  <w:vAlign w:val="center"/>
                </w:tcPr>
                <w:p w14:paraId="7BFA88B7">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398" w:type="pct"/>
                  <w:tcBorders>
                    <w:bottom w:val="single" w:color="000000" w:sz="4" w:space="0"/>
                  </w:tcBorders>
                  <w:noWrap w:val="0"/>
                  <w:vAlign w:val="center"/>
                </w:tcPr>
                <w:p w14:paraId="0EC36E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position w:val="-10"/>
                      <w:sz w:val="21"/>
                      <w:szCs w:val="21"/>
                      <w:highlight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钣金成型、喷</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涂</w:t>
                  </w:r>
                </w:p>
              </w:tc>
              <w:tc>
                <w:tcPr>
                  <w:tcW w:w="1708" w:type="pct"/>
                  <w:tcBorders>
                    <w:bottom w:val="single" w:color="000000" w:sz="4" w:space="0"/>
                  </w:tcBorders>
                  <w:noWrap w:val="0"/>
                  <w:vAlign w:val="center"/>
                </w:tcPr>
                <w:p w14:paraId="4FEF75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废液压油桶</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废液压油</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、废原料桶</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、废粉末涂料</w:t>
                  </w:r>
                </w:p>
              </w:tc>
              <w:tc>
                <w:tcPr>
                  <w:tcW w:w="1482" w:type="pct"/>
                  <w:vMerge w:val="continue"/>
                  <w:noWrap w:val="0"/>
                  <w:vAlign w:val="center"/>
                </w:tcPr>
                <w:p w14:paraId="28F41C9E">
                  <w:pPr>
                    <w:adjustRightInd w:val="0"/>
                    <w:snapToGrid w:val="0"/>
                    <w:spacing w:line="240" w:lineRule="auto"/>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p>
              </w:tc>
            </w:tr>
            <w:tr w14:paraId="6568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vMerge w:val="continue"/>
                  <w:noWrap w:val="0"/>
                  <w:vAlign w:val="center"/>
                </w:tcPr>
                <w:p w14:paraId="4F1D499E">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398" w:type="pct"/>
                  <w:tcBorders>
                    <w:top w:val="single" w:color="000000" w:sz="4" w:space="0"/>
                  </w:tcBorders>
                  <w:noWrap w:val="0"/>
                  <w:vAlign w:val="center"/>
                </w:tcPr>
                <w:p w14:paraId="1A54130A">
                  <w:pPr>
                    <w:pStyle w:val="109"/>
                    <w:keepNext w:val="0"/>
                    <w:keepLines w:val="0"/>
                    <w:pageBreakBefore w:val="0"/>
                    <w:widowControl/>
                    <w:suppressLineNumbers w:val="0"/>
                    <w:tabs>
                      <w:tab w:val="left" w:pos="-2848"/>
                    </w:tabs>
                    <w:kinsoku/>
                    <w:wordWrap w:val="0"/>
                    <w:overflowPunct/>
                    <w:topLinePunct w:val="0"/>
                    <w:autoSpaceDE w:val="0"/>
                    <w:autoSpaceDN w:val="0"/>
                    <w:bidi w:val="0"/>
                    <w:adjustRightInd/>
                    <w:snapToGrid/>
                    <w:spacing w:before="0" w:beforeAutospacing="0" w:after="0" w:afterAutospacing="0" w:line="240" w:lineRule="auto"/>
                    <w:ind w:left="0" w:leftChars="0" w:right="0" w:rightChars="0"/>
                    <w:textAlignment w:val="center"/>
                    <w:outlineLvl w:val="9"/>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机加工</w:t>
                  </w:r>
                </w:p>
              </w:tc>
              <w:tc>
                <w:tcPr>
                  <w:tcW w:w="1708" w:type="pct"/>
                  <w:tcBorders>
                    <w:top w:val="single" w:color="000000" w:sz="4" w:space="0"/>
                  </w:tcBorders>
                  <w:noWrap w:val="0"/>
                  <w:vAlign w:val="center"/>
                </w:tcPr>
                <w:p w14:paraId="27378989">
                  <w:pPr>
                    <w:pStyle w:val="109"/>
                    <w:keepNext w:val="0"/>
                    <w:keepLines w:val="0"/>
                    <w:pageBreakBefore w:val="0"/>
                    <w:widowControl/>
                    <w:suppressLineNumbers w:val="0"/>
                    <w:tabs>
                      <w:tab w:val="left" w:pos="-2848"/>
                    </w:tabs>
                    <w:kinsoku/>
                    <w:wordWrap w:val="0"/>
                    <w:overflowPunct/>
                    <w:topLinePunct w:val="0"/>
                    <w:autoSpaceDE w:val="0"/>
                    <w:autoSpaceDN w:val="0"/>
                    <w:bidi w:val="0"/>
                    <w:adjustRightInd/>
                    <w:snapToGrid/>
                    <w:spacing w:before="0" w:beforeAutospacing="0" w:after="0" w:afterAutospacing="0" w:line="240" w:lineRule="auto"/>
                    <w:ind w:left="0" w:leftChars="0" w:right="0" w:rightChars="0"/>
                    <w:textAlignment w:val="center"/>
                    <w:outlineLvl w:val="9"/>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包装废料</w:t>
                  </w:r>
                  <w:r>
                    <w:rPr>
                      <w:rFonts w:hint="default" w:ascii="Times New Roman" w:hAnsi="Times New Roman" w:cs="Times New Roman"/>
                      <w:color w:val="000000" w:themeColor="text1"/>
                      <w:kern w:val="2"/>
                      <w:sz w:val="21"/>
                      <w:szCs w:val="21"/>
                      <w:highlight w:val="none"/>
                      <w14:textFill>
                        <w14:solidFill>
                          <w14:schemeClr w14:val="tx1"/>
                        </w14:solidFill>
                      </w14:textFill>
                    </w:rPr>
                    <w:t>、机加工边角料</w:t>
                  </w:r>
                </w:p>
              </w:tc>
              <w:tc>
                <w:tcPr>
                  <w:tcW w:w="1482" w:type="pct"/>
                  <w:vMerge w:val="restart"/>
                  <w:noWrap w:val="0"/>
                  <w:vAlign w:val="center"/>
                </w:tcPr>
                <w:p w14:paraId="7FB77C80">
                  <w:pPr>
                    <w:adjustRightInd w:val="0"/>
                    <w:snapToGrid w:val="0"/>
                    <w:spacing w:line="240" w:lineRule="auto"/>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经收集后暂存</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于一般固废暂存</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间，交专业单位回收处理</w:t>
                  </w:r>
                </w:p>
              </w:tc>
            </w:tr>
            <w:tr w14:paraId="27F7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vMerge w:val="continue"/>
                  <w:noWrap w:val="0"/>
                  <w:vAlign w:val="center"/>
                </w:tcPr>
                <w:p w14:paraId="488C21B0">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398" w:type="pct"/>
                  <w:vMerge w:val="restart"/>
                  <w:noWrap w:val="0"/>
                  <w:vAlign w:val="center"/>
                </w:tcPr>
                <w:p w14:paraId="29FD5C02">
                  <w:pPr>
                    <w:pStyle w:val="109"/>
                    <w:keepNext w:val="0"/>
                    <w:keepLines w:val="0"/>
                    <w:pageBreakBefore w:val="0"/>
                    <w:widowControl/>
                    <w:suppressLineNumbers w:val="0"/>
                    <w:tabs>
                      <w:tab w:val="left" w:pos="-2848"/>
                    </w:tabs>
                    <w:kinsoku/>
                    <w:wordWrap w:val="0"/>
                    <w:overflowPunct/>
                    <w:topLinePunct w:val="0"/>
                    <w:autoSpaceDE w:val="0"/>
                    <w:autoSpaceDN w:val="0"/>
                    <w:bidi w:val="0"/>
                    <w:adjustRightInd/>
                    <w:snapToGrid/>
                    <w:spacing w:before="0" w:beforeAutospacing="0" w:after="0" w:afterAutospacing="0" w:line="240" w:lineRule="auto"/>
                    <w:ind w:left="0" w:leftChars="0" w:right="0" w:rightChars="0"/>
                    <w:textAlignment w:val="center"/>
                    <w:outlineLvl w:val="9"/>
                    <w:rPr>
                      <w:rFonts w:hint="default" w:ascii="Times New Roman" w:hAnsi="Times New Roman" w:eastAsia="宋体" w:cs="Times New Roman"/>
                      <w:color w:val="000000" w:themeColor="text1"/>
                      <w:kern w:val="2"/>
                      <w:position w:val="-10"/>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14:textFill>
                        <w14:solidFill>
                          <w14:schemeClr w14:val="tx1"/>
                        </w14:solidFill>
                      </w14:textFill>
                    </w:rPr>
                    <w:t>废气处理设施</w:t>
                  </w:r>
                </w:p>
              </w:tc>
              <w:tc>
                <w:tcPr>
                  <w:tcW w:w="1708" w:type="pct"/>
                  <w:noWrap w:val="0"/>
                  <w:vAlign w:val="center"/>
                </w:tcPr>
                <w:p w14:paraId="69D1949E">
                  <w:pPr>
                    <w:pStyle w:val="109"/>
                    <w:keepNext w:val="0"/>
                    <w:keepLines w:val="0"/>
                    <w:pageBreakBefore w:val="0"/>
                    <w:widowControl/>
                    <w:suppressLineNumbers w:val="0"/>
                    <w:tabs>
                      <w:tab w:val="left" w:pos="-2848"/>
                    </w:tabs>
                    <w:kinsoku/>
                    <w:wordWrap w:val="0"/>
                    <w:overflowPunct/>
                    <w:topLinePunct w:val="0"/>
                    <w:autoSpaceDE w:val="0"/>
                    <w:autoSpaceDN w:val="0"/>
                    <w:bidi w:val="0"/>
                    <w:adjustRightInd/>
                    <w:snapToGrid/>
                    <w:spacing w:before="0" w:beforeAutospacing="0" w:after="0" w:afterAutospacing="0" w:line="240" w:lineRule="auto"/>
                    <w:ind w:left="0" w:leftChars="0" w:right="0" w:rightChars="0"/>
                    <w:textAlignment w:val="center"/>
                    <w:outlineLvl w:val="9"/>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14:textFill>
                        <w14:solidFill>
                          <w14:schemeClr w14:val="tx1"/>
                        </w14:solidFill>
                      </w14:textFill>
                    </w:rPr>
                    <w:t>废金属粉尘、废滤芯</w:t>
                  </w:r>
                </w:p>
              </w:tc>
              <w:tc>
                <w:tcPr>
                  <w:tcW w:w="1482" w:type="pct"/>
                  <w:vMerge w:val="continue"/>
                  <w:noWrap w:val="0"/>
                  <w:vAlign w:val="center"/>
                </w:tcPr>
                <w:p w14:paraId="447733A5">
                  <w:pPr>
                    <w:adjustRightInd w:val="0"/>
                    <w:snapToGrid w:val="0"/>
                    <w:spacing w:line="240" w:lineRule="auto"/>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p>
              </w:tc>
            </w:tr>
            <w:tr w14:paraId="7008D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vMerge w:val="continue"/>
                  <w:noWrap w:val="0"/>
                  <w:vAlign w:val="center"/>
                </w:tcPr>
                <w:p w14:paraId="50B1148C">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398" w:type="pct"/>
                  <w:vMerge w:val="continue"/>
                  <w:noWrap w:val="0"/>
                  <w:vAlign w:val="center"/>
                </w:tcPr>
                <w:p w14:paraId="5EB1EA67">
                  <w:pPr>
                    <w:pStyle w:val="109"/>
                    <w:keepNext w:val="0"/>
                    <w:keepLines w:val="0"/>
                    <w:pageBreakBefore w:val="0"/>
                    <w:widowControl/>
                    <w:suppressLineNumbers w:val="0"/>
                    <w:tabs>
                      <w:tab w:val="left" w:pos="-2848"/>
                    </w:tabs>
                    <w:kinsoku/>
                    <w:wordWrap w:val="0"/>
                    <w:overflowPunct/>
                    <w:topLinePunct w:val="0"/>
                    <w:autoSpaceDE w:val="0"/>
                    <w:autoSpaceDN w:val="0"/>
                    <w:bidi w:val="0"/>
                    <w:adjustRightInd/>
                    <w:snapToGrid/>
                    <w:spacing w:before="0" w:beforeAutospacing="0" w:after="0" w:afterAutospacing="0" w:line="240" w:lineRule="auto"/>
                    <w:ind w:left="0" w:leftChars="0" w:right="0" w:rightChars="0"/>
                    <w:textAlignment w:val="center"/>
                    <w:outlineLvl w:val="9"/>
                    <w:rPr>
                      <w:rFonts w:hint="eastAsia" w:cs="Times New Roman"/>
                      <w:color w:val="000000" w:themeColor="text1"/>
                      <w:kern w:val="2"/>
                      <w:sz w:val="21"/>
                      <w:szCs w:val="21"/>
                      <w:highlight w:val="none"/>
                      <w:lang w:val="en-US" w:eastAsia="zh-CN"/>
                      <w14:textFill>
                        <w14:solidFill>
                          <w14:schemeClr w14:val="tx1"/>
                        </w14:solidFill>
                      </w14:textFill>
                    </w:rPr>
                  </w:pPr>
                </w:p>
              </w:tc>
              <w:tc>
                <w:tcPr>
                  <w:tcW w:w="1708" w:type="pct"/>
                  <w:noWrap w:val="0"/>
                  <w:vAlign w:val="center"/>
                </w:tcPr>
                <w:p w14:paraId="496A9037">
                  <w:pPr>
                    <w:pStyle w:val="109"/>
                    <w:keepNext w:val="0"/>
                    <w:keepLines w:val="0"/>
                    <w:pageBreakBefore w:val="0"/>
                    <w:widowControl/>
                    <w:suppressLineNumbers w:val="0"/>
                    <w:tabs>
                      <w:tab w:val="left" w:pos="-2848"/>
                    </w:tabs>
                    <w:kinsoku/>
                    <w:wordWrap w:val="0"/>
                    <w:overflowPunct/>
                    <w:topLinePunct w:val="0"/>
                    <w:autoSpaceDE w:val="0"/>
                    <w:autoSpaceDN w:val="0"/>
                    <w:bidi w:val="0"/>
                    <w:adjustRightInd/>
                    <w:snapToGrid/>
                    <w:spacing w:before="0" w:beforeAutospacing="0" w:after="0" w:afterAutospacing="0" w:line="240" w:lineRule="auto"/>
                    <w:ind w:left="0" w:leftChars="0" w:right="0" w:rightChars="0"/>
                    <w:textAlignment w:val="center"/>
                    <w:outlineLvl w:val="9"/>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eastAsia" w:cs="Times New Roman"/>
                      <w:color w:val="000000" w:themeColor="text1"/>
                      <w:kern w:val="2"/>
                      <w:sz w:val="21"/>
                      <w:szCs w:val="21"/>
                      <w:highlight w:val="none"/>
                      <w:lang w:val="en-US" w:eastAsia="zh-CN"/>
                      <w14:textFill>
                        <w14:solidFill>
                          <w14:schemeClr w14:val="tx1"/>
                        </w14:solidFill>
                      </w14:textFill>
                    </w:rPr>
                    <w:t>废过滤棉、废活性炭、喷淋废液及沉渣、喷枪清洗废液、废静电喷粉滤芯、废催化剂</w:t>
                  </w:r>
                </w:p>
              </w:tc>
              <w:tc>
                <w:tcPr>
                  <w:tcW w:w="1482" w:type="pct"/>
                  <w:noWrap w:val="0"/>
                  <w:vAlign w:val="center"/>
                </w:tcPr>
                <w:p w14:paraId="3A5A89A2">
                  <w:pPr>
                    <w:adjustRightInd w:val="0"/>
                    <w:snapToGrid w:val="0"/>
                    <w:spacing w:line="240" w:lineRule="auto"/>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经收集后</w:t>
                  </w: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暂存</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于</w:t>
                  </w:r>
                  <w:r>
                    <w:rPr>
                      <w:rFonts w:hint="eastAsia" w:cs="Times New Roman"/>
                      <w:bCs/>
                      <w:color w:val="000000" w:themeColor="text1"/>
                      <w:sz w:val="21"/>
                      <w:szCs w:val="21"/>
                      <w:lang w:val="en-US" w:eastAsia="zh-CN"/>
                      <w14:textFill>
                        <w14:solidFill>
                          <w14:schemeClr w14:val="tx1"/>
                        </w14:solidFill>
                      </w14:textFill>
                    </w:rPr>
                    <w:t>危险废物贮存间</w:t>
                  </w: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，交有危险废物处理资质单位处理</w:t>
                  </w:r>
                </w:p>
              </w:tc>
            </w:tr>
            <w:tr w14:paraId="7A7F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noWrap w:val="0"/>
                  <w:vAlign w:val="center"/>
                </w:tcPr>
                <w:p w14:paraId="3862FFDA">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噪声</w:t>
                  </w:r>
                </w:p>
              </w:tc>
              <w:tc>
                <w:tcPr>
                  <w:tcW w:w="1398" w:type="pct"/>
                  <w:noWrap w:val="0"/>
                  <w:vAlign w:val="center"/>
                </w:tcPr>
                <w:p w14:paraId="7E00A2A8">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各类生产设备、</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污水泵、</w:t>
                  </w:r>
                  <w:r>
                    <w:rPr>
                      <w:rFonts w:hint="eastAsia" w:cs="Times New Roman"/>
                      <w:color w:val="000000" w:themeColor="text1"/>
                      <w:sz w:val="21"/>
                      <w:szCs w:val="21"/>
                      <w:lang w:val="en-US" w:eastAsia="zh-CN"/>
                      <w14:textFill>
                        <w14:solidFill>
                          <w14:schemeClr w14:val="tx1"/>
                        </w14:solidFill>
                      </w14:textFill>
                    </w:rPr>
                    <w:t>风机</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等</w:t>
                  </w:r>
                  <w:r>
                    <w:rPr>
                      <w:rFonts w:hint="default" w:ascii="Times New Roman" w:hAnsi="Times New Roman" w:eastAsia="宋体" w:cs="Times New Roman"/>
                      <w:bCs/>
                      <w:color w:val="000000" w:themeColor="text1"/>
                      <w:sz w:val="21"/>
                      <w:szCs w:val="21"/>
                      <w14:textFill>
                        <w14:solidFill>
                          <w14:schemeClr w14:val="tx1"/>
                        </w14:solidFill>
                      </w14:textFill>
                    </w:rPr>
                    <w:t>设备运行</w:t>
                  </w:r>
                </w:p>
              </w:tc>
              <w:tc>
                <w:tcPr>
                  <w:tcW w:w="1708" w:type="pct"/>
                  <w:noWrap w:val="0"/>
                  <w:vAlign w:val="center"/>
                </w:tcPr>
                <w:p w14:paraId="2F8B7D91">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噪声</w:t>
                  </w:r>
                </w:p>
              </w:tc>
              <w:tc>
                <w:tcPr>
                  <w:tcW w:w="1482" w:type="pct"/>
                  <w:noWrap w:val="0"/>
                  <w:vAlign w:val="center"/>
                </w:tcPr>
                <w:p w14:paraId="28EB1A6B">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基础减振、墙体隔声、距离衰减</w:t>
                  </w:r>
                </w:p>
              </w:tc>
            </w:tr>
          </w:tbl>
          <w:p w14:paraId="32CA5189">
            <w:pPr>
              <w:spacing w:line="360" w:lineRule="auto"/>
              <w:ind w:firstLine="720" w:firstLineChars="200"/>
              <w:rPr>
                <w:rFonts w:ascii="黑体" w:hAnsi="黑体" w:eastAsia="黑体"/>
                <w:snapToGrid w:val="0"/>
                <w:color w:val="000000" w:themeColor="text1"/>
                <w:sz w:val="36"/>
                <w:szCs w:val="36"/>
                <w:highlight w:val="none"/>
                <w:vertAlign w:val="baseline"/>
                <w14:textFill>
                  <w14:solidFill>
                    <w14:schemeClr w14:val="tx1"/>
                  </w14:solidFill>
                </w14:textFill>
              </w:rPr>
            </w:pPr>
          </w:p>
        </w:tc>
      </w:tr>
      <w:tr w14:paraId="6A994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0" w:hRule="atLeast"/>
        </w:trPr>
        <w:tc>
          <w:tcPr>
            <w:tcW w:w="575" w:type="dxa"/>
            <w:noWrap w:val="0"/>
            <w:vAlign w:val="center"/>
          </w:tcPr>
          <w:p w14:paraId="3F62E2E6">
            <w:pPr>
              <w:pStyle w:val="41"/>
              <w:adjustRightInd w:val="0"/>
              <w:snapToGrid w:val="0"/>
              <w:spacing w:before="0" w:beforeAutospacing="0" w:after="0" w:afterAutospacing="0"/>
              <w:rPr>
                <w:rFonts w:ascii="黑体" w:hAnsi="黑体" w:eastAsia="黑体"/>
                <w:snapToGrid w:val="0"/>
                <w:color w:val="000000" w:themeColor="text1"/>
                <w:sz w:val="36"/>
                <w:szCs w:val="36"/>
                <w:highlight w:val="none"/>
                <w:vertAlign w:val="baseline"/>
                <w14:textFill>
                  <w14:solidFill>
                    <w14:schemeClr w14:val="tx1"/>
                  </w14:solidFill>
                </w14:textFill>
              </w:rPr>
            </w:pPr>
            <w:r>
              <w:rPr>
                <w:rFonts w:hint="default" w:ascii="Times New Roman" w:hAnsi="Times New Roman" w:cs="Times New Roman"/>
                <w:bCs/>
                <w:color w:val="000000" w:themeColor="text1"/>
                <w:kern w:val="2"/>
                <w:szCs w:val="24"/>
                <w:highlight w:val="none"/>
                <w14:textFill>
                  <w14:solidFill>
                    <w14:schemeClr w14:val="tx1"/>
                  </w14:solidFill>
                </w14:textFill>
              </w:rPr>
              <w:t>与项目有关的原有环境污染问题</w:t>
            </w:r>
          </w:p>
        </w:tc>
        <w:tc>
          <w:tcPr>
            <w:tcW w:w="8485" w:type="dxa"/>
            <w:noWrap w:val="0"/>
            <w:vAlign w:val="center"/>
          </w:tcPr>
          <w:p w14:paraId="4FB402AA">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color w:val="000000" w:themeColor="text1"/>
                <w:sz w:val="24"/>
                <w:szCs w:val="21"/>
                <w:highlight w:val="none"/>
                <w14:textFill>
                  <w14:solidFill>
                    <w14:schemeClr w14:val="tx1"/>
                  </w14:solidFill>
                </w14:textFill>
              </w:rPr>
            </w:pPr>
            <w:r>
              <w:rPr>
                <w:rFonts w:hint="default" w:ascii="Times New Roman" w:hAnsi="Times New Roman" w:eastAsia="宋体" w:cs="Times New Roman"/>
                <w:b/>
                <w:color w:val="000000" w:themeColor="text1"/>
                <w:sz w:val="24"/>
                <w:szCs w:val="21"/>
                <w:highlight w:val="none"/>
                <w14:textFill>
                  <w14:solidFill>
                    <w14:schemeClr w14:val="tx1"/>
                  </w14:solidFill>
                </w14:textFill>
              </w:rPr>
              <w:t>1.</w:t>
            </w:r>
            <w:r>
              <w:rPr>
                <w:rFonts w:hint="default" w:ascii="Times New Roman" w:hAnsi="Times New Roman" w:eastAsia="宋体" w:cs="Times New Roman"/>
                <w:b/>
                <w:color w:val="000000" w:themeColor="text1"/>
                <w:sz w:val="24"/>
                <w:highlight w:val="none"/>
                <w14:textFill>
                  <w14:solidFill>
                    <w14:schemeClr w14:val="tx1"/>
                  </w14:solidFill>
                </w14:textFill>
              </w:rPr>
              <w:t>与本项目有关的原有污染情况</w:t>
            </w:r>
          </w:p>
          <w:p w14:paraId="63EA804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szCs w:val="21"/>
                <w:highlight w:val="none"/>
                <w14:textFill>
                  <w14:solidFill>
                    <w14:schemeClr w14:val="tx1"/>
                  </w14:solidFill>
                </w14:textFill>
              </w:rPr>
              <w:t>本项目属新建项目，无与本项目有关的原有污染情况。</w:t>
            </w:r>
          </w:p>
          <w:p w14:paraId="1F4E134F">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b/>
                <w:color w:val="000000" w:themeColor="text1"/>
                <w:sz w:val="24"/>
                <w:szCs w:val="21"/>
                <w:highlight w:val="none"/>
                <w14:textFill>
                  <w14:solidFill>
                    <w14:schemeClr w14:val="tx1"/>
                  </w14:solidFill>
                </w14:textFill>
              </w:rPr>
            </w:pPr>
            <w:r>
              <w:rPr>
                <w:rFonts w:hint="default" w:ascii="Times New Roman" w:hAnsi="Times New Roman" w:eastAsia="宋体" w:cs="Times New Roman"/>
                <w:b/>
                <w:color w:val="000000" w:themeColor="text1"/>
                <w:sz w:val="24"/>
                <w:szCs w:val="21"/>
                <w:highlight w:val="none"/>
                <w14:textFill>
                  <w14:solidFill>
                    <w14:schemeClr w14:val="tx1"/>
                  </w14:solidFill>
                </w14:textFill>
              </w:rPr>
              <w:t>2.园区现状污染源情况</w:t>
            </w:r>
          </w:p>
          <w:p w14:paraId="51B30B4E">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截至202</w:t>
            </w:r>
            <w:r>
              <w:rPr>
                <w:rFonts w:hint="eastAsia" w:cs="Times New Roman"/>
                <w:color w:val="000000" w:themeColor="text1"/>
                <w:kern w:val="2"/>
                <w:sz w:val="24"/>
                <w:szCs w:val="24"/>
                <w:highlight w:val="none"/>
                <w:lang w:val="en-US" w:eastAsia="zh-CN" w:bidi="ar-SA"/>
                <w14:textFill>
                  <w14:solidFill>
                    <w14:schemeClr w14:val="tx1"/>
                  </w14:solidFill>
                </w14:textFill>
              </w:rPr>
              <w:t>6</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年</w:t>
            </w:r>
            <w:r>
              <w:rPr>
                <w:rFonts w:hint="eastAsia" w:cs="Times New Roman"/>
                <w:color w:val="000000" w:themeColor="text1"/>
                <w:kern w:val="2"/>
                <w:sz w:val="24"/>
                <w:szCs w:val="24"/>
                <w:highlight w:val="none"/>
                <w:lang w:val="en-US" w:eastAsia="zh-CN" w:bidi="ar-SA"/>
                <w14:textFill>
                  <w14:solidFill>
                    <w14:schemeClr w14:val="tx1"/>
                  </w14:solidFill>
                </w14:textFill>
              </w:rPr>
              <w:t>2</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月，乐昌产业转移工业园范围内产业现状基本以工业产业为主，共涉及</w:t>
            </w:r>
            <w:r>
              <w:rPr>
                <w:rFonts w:hint="eastAsia" w:cs="Times New Roman"/>
                <w:color w:val="000000" w:themeColor="text1"/>
                <w:kern w:val="2"/>
                <w:sz w:val="24"/>
                <w:szCs w:val="24"/>
                <w:highlight w:val="none"/>
                <w:lang w:val="en-US" w:eastAsia="zh-CN" w:bidi="ar-SA"/>
                <w14:textFill>
                  <w14:solidFill>
                    <w14:schemeClr w14:val="tx1"/>
                  </w14:solidFill>
                </w14:textFill>
              </w:rPr>
              <w:t>114</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家企业，其中</w:t>
            </w:r>
            <w:r>
              <w:rPr>
                <w:rFonts w:hint="eastAsia" w:cs="Times New Roman"/>
                <w:color w:val="000000" w:themeColor="text1"/>
                <w:kern w:val="2"/>
                <w:sz w:val="24"/>
                <w:szCs w:val="24"/>
                <w:highlight w:val="none"/>
                <w:lang w:val="en-US" w:eastAsia="zh-CN" w:bidi="ar-SA"/>
                <w14:textFill>
                  <w14:solidFill>
                    <w14:schemeClr w14:val="tx1"/>
                  </w14:solidFill>
                </w14:textFill>
              </w:rPr>
              <w:t>6家企业</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已经停产。本评价根据环评情况和建设生产情况，将企业分为已建、在建、停产三大类：已建企业为已经投产运行或正在试运行的企业；在建企业为已通过环评，正在建设的企业；停产企业为已经建成，但停产的企业。产业园内企业情况详见下表。</w:t>
            </w:r>
          </w:p>
          <w:p w14:paraId="4334A0F3">
            <w:pPr>
              <w:pStyle w:val="17"/>
              <w:pageBreakBefore w:val="0"/>
              <w:numPr>
                <w:ilvl w:val="0"/>
                <w:numId w:val="10"/>
              </w:numPr>
              <w:tabs>
                <w:tab w:val="clear" w:pos="3240"/>
                <w:tab w:val="clear" w:pos="6120"/>
              </w:tabs>
              <w:kinsoku/>
              <w:overflowPunct/>
              <w:topLinePunct w:val="0"/>
              <w:bidi w:val="0"/>
              <w:snapToGrid/>
              <w:spacing w:line="240" w:lineRule="auto"/>
              <w:ind w:left="0" w:leftChars="0" w:firstLine="40" w:firstLineChars="0"/>
              <w:jc w:val="center"/>
              <w:outlineLvl w:val="9"/>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园区通过环评审批企业情况统计</w:t>
            </w:r>
          </w:p>
          <w:tbl>
            <w:tblPr>
              <w:tblStyle w:val="132"/>
              <w:tblW w:w="831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30"/>
              <w:gridCol w:w="1301"/>
              <w:gridCol w:w="372"/>
              <w:gridCol w:w="1015"/>
              <w:gridCol w:w="904"/>
              <w:gridCol w:w="2499"/>
              <w:gridCol w:w="1897"/>
            </w:tblGrid>
            <w:tr w14:paraId="79843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30" w:type="dxa"/>
                  <w:vAlign w:val="center"/>
                </w:tcPr>
                <w:p w14:paraId="7278E2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kern w:val="0"/>
                      <w:sz w:val="21"/>
                      <w:szCs w:val="21"/>
                      <w:highlight w:val="none"/>
                      <w:u w:val="none"/>
                      <w:lang w:val="en-US" w:eastAsia="zh-CN"/>
                      <w14:textFill>
                        <w14:solidFill>
                          <w14:schemeClr w14:val="tx1"/>
                        </w14:solidFill>
                      </w14:textFill>
                    </w:rPr>
                  </w:pPr>
                  <w:bookmarkStart w:id="12" w:name="_Ref11703236"/>
                  <w:r>
                    <w:rPr>
                      <w:rFonts w:hint="default" w:ascii="Times New Roman" w:hAnsi="Times New Roman" w:eastAsia="宋体" w:cs="Times New Roman"/>
                      <w:b/>
                      <w:bCs/>
                      <w:i w:val="0"/>
                      <w:iCs w:val="0"/>
                      <w:color w:val="000000" w:themeColor="text1"/>
                      <w:kern w:val="0"/>
                      <w:sz w:val="21"/>
                      <w:szCs w:val="21"/>
                      <w:highlight w:val="none"/>
                      <w:u w:val="none"/>
                      <w:lang w:val="en-US" w:eastAsia="zh-CN"/>
                      <w14:textFill>
                        <w14:solidFill>
                          <w14:schemeClr w14:val="tx1"/>
                        </w14:solidFill>
                      </w14:textFill>
                    </w:rPr>
                    <w:t>序号</w:t>
                  </w:r>
                </w:p>
              </w:tc>
              <w:tc>
                <w:tcPr>
                  <w:tcW w:w="1301" w:type="dxa"/>
                  <w:vAlign w:val="center"/>
                </w:tcPr>
                <w:p w14:paraId="7579DF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14:textFill>
                        <w14:solidFill>
                          <w14:schemeClr w14:val="tx1"/>
                        </w14:solidFill>
                      </w14:textFill>
                    </w:rPr>
                    <w:t>企业名称</w:t>
                  </w:r>
                </w:p>
              </w:tc>
              <w:tc>
                <w:tcPr>
                  <w:tcW w:w="372" w:type="dxa"/>
                  <w:vAlign w:val="center"/>
                </w:tcPr>
                <w:p w14:paraId="472CC3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14:textFill>
                        <w14:solidFill>
                          <w14:schemeClr w14:val="tx1"/>
                        </w14:solidFill>
                      </w14:textFill>
                    </w:rPr>
                    <w:t>建设情况</w:t>
                  </w:r>
                </w:p>
              </w:tc>
              <w:tc>
                <w:tcPr>
                  <w:tcW w:w="1015" w:type="dxa"/>
                  <w:vAlign w:val="center"/>
                </w:tcPr>
                <w:p w14:paraId="7EFB6D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14:textFill>
                        <w14:solidFill>
                          <w14:schemeClr w14:val="tx1"/>
                        </w14:solidFill>
                      </w14:textFill>
                    </w:rPr>
                    <w:t>产业类型</w:t>
                  </w:r>
                </w:p>
              </w:tc>
              <w:tc>
                <w:tcPr>
                  <w:tcW w:w="904" w:type="dxa"/>
                  <w:vAlign w:val="center"/>
                </w:tcPr>
                <w:p w14:paraId="3DC509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14:textFill>
                        <w14:solidFill>
                          <w14:schemeClr w14:val="tx1"/>
                        </w14:solidFill>
                      </w14:textFill>
                    </w:rPr>
                    <w:t>占地面积（平方米）</w:t>
                  </w:r>
                </w:p>
              </w:tc>
              <w:tc>
                <w:tcPr>
                  <w:tcW w:w="2499" w:type="dxa"/>
                  <w:vAlign w:val="center"/>
                </w:tcPr>
                <w:p w14:paraId="7E6CA0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14:textFill>
                        <w14:solidFill>
                          <w14:schemeClr w14:val="tx1"/>
                        </w14:solidFill>
                      </w14:textFill>
                    </w:rPr>
                    <w:t>主要产品及规模</w:t>
                  </w:r>
                </w:p>
              </w:tc>
              <w:tc>
                <w:tcPr>
                  <w:tcW w:w="1897" w:type="dxa"/>
                  <w:vAlign w:val="center"/>
                </w:tcPr>
                <w:p w14:paraId="30E0DE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14:textFill>
                        <w14:solidFill>
                          <w14:schemeClr w14:val="tx1"/>
                        </w14:solidFill>
                      </w14:textFill>
                    </w:rPr>
                    <w:t>环评批复</w:t>
                  </w:r>
                </w:p>
              </w:tc>
            </w:tr>
            <w:tr w14:paraId="1D9075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5800C9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w:t>
                  </w:r>
                </w:p>
              </w:tc>
              <w:tc>
                <w:tcPr>
                  <w:tcW w:w="1301" w:type="dxa"/>
                  <w:vAlign w:val="center"/>
                </w:tcPr>
                <w:p w14:paraId="123DAC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乐昌市金丰机械有限公司</w:t>
                  </w:r>
                </w:p>
              </w:tc>
              <w:tc>
                <w:tcPr>
                  <w:tcW w:w="372" w:type="dxa"/>
                  <w:vAlign w:val="center"/>
                </w:tcPr>
                <w:p w14:paraId="190463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155C28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金属制品业、通用设备制造业</w:t>
                  </w:r>
                </w:p>
              </w:tc>
              <w:tc>
                <w:tcPr>
                  <w:tcW w:w="904" w:type="dxa"/>
                  <w:vAlign w:val="center"/>
                </w:tcPr>
                <w:p w14:paraId="6F65E8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38528.3</w:t>
                  </w:r>
                </w:p>
              </w:tc>
              <w:tc>
                <w:tcPr>
                  <w:tcW w:w="2499" w:type="dxa"/>
                  <w:vAlign w:val="center"/>
                </w:tcPr>
                <w:p w14:paraId="7F17CC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 2.4 万吨金属铸件，年加工 1800 吨机械零部件</w:t>
                  </w:r>
                </w:p>
              </w:tc>
              <w:tc>
                <w:tcPr>
                  <w:tcW w:w="1897" w:type="dxa"/>
                  <w:vAlign w:val="center"/>
                </w:tcPr>
                <w:p w14:paraId="40B6F85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"bookmark202"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2018</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]33 号、韶环乐审〔2022〕01 号</w:t>
                  </w:r>
                </w:p>
              </w:tc>
            </w:tr>
            <w:tr w14:paraId="324D0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778C1B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w:t>
                  </w:r>
                </w:p>
              </w:tc>
              <w:tc>
                <w:tcPr>
                  <w:tcW w:w="1301" w:type="dxa"/>
                  <w:vAlign w:val="center"/>
                </w:tcPr>
                <w:p w14:paraId="7AE100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乐昌市捷凯家具有限公司</w:t>
                  </w:r>
                </w:p>
              </w:tc>
              <w:tc>
                <w:tcPr>
                  <w:tcW w:w="372" w:type="dxa"/>
                  <w:vAlign w:val="center"/>
                </w:tcPr>
                <w:p w14:paraId="2EC4DA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7442E6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3D3ADA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19980</w:t>
                  </w:r>
                </w:p>
              </w:tc>
              <w:tc>
                <w:tcPr>
                  <w:tcW w:w="2499" w:type="dxa"/>
                  <w:vAlign w:val="center"/>
                </w:tcPr>
                <w:p w14:paraId="1CACBA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年产家具铸铁件 1.2 万件</w:t>
                  </w:r>
                </w:p>
              </w:tc>
              <w:tc>
                <w:tcPr>
                  <w:tcW w:w="1897" w:type="dxa"/>
                  <w:vAlign w:val="center"/>
                </w:tcPr>
                <w:p w14:paraId="201B41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"bookmark203"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2017</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]38 号</w:t>
                  </w:r>
                </w:p>
              </w:tc>
            </w:tr>
            <w:tr w14:paraId="5DE6C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5E4109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w:t>
                  </w:r>
                </w:p>
              </w:tc>
              <w:tc>
                <w:tcPr>
                  <w:tcW w:w="1301" w:type="dxa"/>
                  <w:vAlign w:val="center"/>
                </w:tcPr>
                <w:p w14:paraId="0E774D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乐昌市瑞创精工制造有限公</w:t>
                  </w:r>
                </w:p>
                <w:p w14:paraId="4367EE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33E526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279BA9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479DA1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19600</w:t>
                  </w:r>
                </w:p>
              </w:tc>
              <w:tc>
                <w:tcPr>
                  <w:tcW w:w="2499" w:type="dxa"/>
                  <w:vAlign w:val="center"/>
                </w:tcPr>
                <w:p w14:paraId="59D6DE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年产铸铁电饭煲内胆 10 万件、水泵铸件20 万件、铸铁烤网100 万件、铸铁发热板 220 万件、搪瓷炉架 100 万件</w:t>
                  </w:r>
                </w:p>
              </w:tc>
              <w:tc>
                <w:tcPr>
                  <w:tcW w:w="1897" w:type="dxa"/>
                  <w:vAlign w:val="center"/>
                </w:tcPr>
                <w:p w14:paraId="4A5FA9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"bookmark204"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2017</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]48 号</w:t>
                  </w:r>
                </w:p>
              </w:tc>
            </w:tr>
            <w:tr w14:paraId="39B78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330" w:type="dxa"/>
                  <w:vAlign w:val="center"/>
                </w:tcPr>
                <w:p w14:paraId="48779E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w:t>
                  </w:r>
                </w:p>
              </w:tc>
              <w:tc>
                <w:tcPr>
                  <w:tcW w:w="1301" w:type="dxa"/>
                  <w:vAlign w:val="center"/>
                </w:tcPr>
                <w:p w14:paraId="6A75A6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乐昌市瑛龙高精铸造有限公</w:t>
                  </w:r>
                </w:p>
                <w:p w14:paraId="31E679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26A088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7A654C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0E0BD5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10702.96</w:t>
                  </w:r>
                </w:p>
              </w:tc>
              <w:tc>
                <w:tcPr>
                  <w:tcW w:w="2499" w:type="dxa"/>
                  <w:vAlign w:val="center"/>
                </w:tcPr>
                <w:p w14:paraId="04F0F7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年产机械设备类的机械设备 1.1 万吨</w:t>
                  </w:r>
                </w:p>
              </w:tc>
              <w:tc>
                <w:tcPr>
                  <w:tcW w:w="1897" w:type="dxa"/>
                  <w:vAlign w:val="center"/>
                </w:tcPr>
                <w:p w14:paraId="7EF591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"bookmark205"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2017</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]40 号</w:t>
                  </w:r>
                </w:p>
              </w:tc>
            </w:tr>
            <w:tr w14:paraId="549F7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30" w:type="dxa"/>
                  <w:vAlign w:val="center"/>
                </w:tcPr>
                <w:p w14:paraId="076290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w:t>
                  </w:r>
                </w:p>
              </w:tc>
              <w:tc>
                <w:tcPr>
                  <w:tcW w:w="1301" w:type="dxa"/>
                  <w:vAlign w:val="center"/>
                </w:tcPr>
                <w:p w14:paraId="5740FE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乐昌市湘源金属制品有限公</w:t>
                  </w:r>
                </w:p>
                <w:p w14:paraId="1FD164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73FCE3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684708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60CC6D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13339.8</w:t>
                  </w:r>
                </w:p>
              </w:tc>
              <w:tc>
                <w:tcPr>
                  <w:tcW w:w="2499" w:type="dxa"/>
                  <w:vAlign w:val="center"/>
                </w:tcPr>
                <w:p w14:paraId="3B185F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年产铸件 11500 吨</w:t>
                  </w:r>
                </w:p>
              </w:tc>
              <w:tc>
                <w:tcPr>
                  <w:tcW w:w="1897" w:type="dxa"/>
                  <w:vAlign w:val="center"/>
                </w:tcPr>
                <w:p w14:paraId="03E410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"bookmark206"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2017</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]43 号、韶环乐审〔2022〕13 号</w:t>
                  </w:r>
                </w:p>
              </w:tc>
            </w:tr>
            <w:tr w14:paraId="1E10C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jc w:val="center"/>
              </w:trPr>
              <w:tc>
                <w:tcPr>
                  <w:tcW w:w="330" w:type="dxa"/>
                  <w:vAlign w:val="center"/>
                </w:tcPr>
                <w:p w14:paraId="234423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p>
                <w:p w14:paraId="4B4F95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6</w:t>
                  </w:r>
                </w:p>
              </w:tc>
              <w:tc>
                <w:tcPr>
                  <w:tcW w:w="1301" w:type="dxa"/>
                  <w:vAlign w:val="center"/>
                </w:tcPr>
                <w:p w14:paraId="06C2EA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乐昌市钜宝科技制造有限公</w:t>
                  </w:r>
                </w:p>
                <w:p w14:paraId="7134C3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4BC374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p>
                <w:p w14:paraId="6B3431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647768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金属制品业、通用设备制造业</w:t>
                  </w:r>
                </w:p>
              </w:tc>
              <w:tc>
                <w:tcPr>
                  <w:tcW w:w="904" w:type="dxa"/>
                  <w:vAlign w:val="center"/>
                </w:tcPr>
                <w:p w14:paraId="0DC084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p>
                <w:p w14:paraId="5C9CDE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23539.9</w:t>
                  </w:r>
                </w:p>
              </w:tc>
              <w:tc>
                <w:tcPr>
                  <w:tcW w:w="2499" w:type="dxa"/>
                  <w:vAlign w:val="center"/>
                </w:tcPr>
                <w:p w14:paraId="7B9B20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年产户外家具 49.8 万件、水泵铸件 6.52 万件、铸铁烤网 51</w:t>
                  </w:r>
                </w:p>
                <w:p w14:paraId="4131B7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万件、铸铁发热板 161 万件、机加工铸铁件 4000 吨、喷粉铸</w:t>
                  </w:r>
                </w:p>
                <w:p w14:paraId="077B15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铁件 1000 吨、搪瓷铸铁件 1000 吨</w:t>
                  </w:r>
                </w:p>
              </w:tc>
              <w:tc>
                <w:tcPr>
                  <w:tcW w:w="1897" w:type="dxa"/>
                  <w:vAlign w:val="center"/>
                </w:tcPr>
                <w:p w14:paraId="0997CF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"bookmark207"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2017</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]47 号、韶环乐审</w:t>
                  </w:r>
                </w:p>
                <w:p w14:paraId="1E7A78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"bookmark208"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2021</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]30 号</w:t>
                  </w:r>
                </w:p>
              </w:tc>
            </w:tr>
            <w:tr w14:paraId="4B88D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07BB9A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7</w:t>
                  </w:r>
                </w:p>
              </w:tc>
              <w:tc>
                <w:tcPr>
                  <w:tcW w:w="1301" w:type="dxa"/>
                  <w:vAlign w:val="center"/>
                </w:tcPr>
                <w:p w14:paraId="4BF241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乐昌胜旗精工科技有限公司</w:t>
                  </w:r>
                </w:p>
              </w:tc>
              <w:tc>
                <w:tcPr>
                  <w:tcW w:w="372" w:type="dxa"/>
                  <w:vAlign w:val="center"/>
                </w:tcPr>
                <w:p w14:paraId="534328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1A3903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648F73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13322</w:t>
                  </w:r>
                </w:p>
              </w:tc>
              <w:tc>
                <w:tcPr>
                  <w:tcW w:w="2499" w:type="dxa"/>
                  <w:vAlign w:val="center"/>
                </w:tcPr>
                <w:p w14:paraId="0CB69B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年产炉架 10 万件、炉排、炉头、家具件、机械件、减速机波</w:t>
                  </w:r>
                </w:p>
                <w:p w14:paraId="67DFF3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箱各 5 万件、发热盘 3 万件</w:t>
                  </w:r>
                </w:p>
              </w:tc>
              <w:tc>
                <w:tcPr>
                  <w:tcW w:w="1897" w:type="dxa"/>
                  <w:vAlign w:val="center"/>
                </w:tcPr>
                <w:p w14:paraId="14E007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"bookmark209"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2017</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]44 号</w:t>
                  </w:r>
                </w:p>
              </w:tc>
            </w:tr>
            <w:tr w14:paraId="17EB6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0E2918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8</w:t>
                  </w:r>
                </w:p>
              </w:tc>
              <w:tc>
                <w:tcPr>
                  <w:tcW w:w="1301" w:type="dxa"/>
                  <w:vAlign w:val="center"/>
                </w:tcPr>
                <w:p w14:paraId="2FB25D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乐昌市钜烽机械制造有限公</w:t>
                  </w:r>
                </w:p>
                <w:p w14:paraId="09F1A8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12BB2F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558D5F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348962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10000</w:t>
                  </w:r>
                </w:p>
              </w:tc>
              <w:tc>
                <w:tcPr>
                  <w:tcW w:w="2499" w:type="dxa"/>
                  <w:vAlign w:val="center"/>
                </w:tcPr>
                <w:p w14:paraId="4E2A58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年产机械铸件 1 万吨</w:t>
                  </w:r>
                </w:p>
              </w:tc>
              <w:tc>
                <w:tcPr>
                  <w:tcW w:w="1897" w:type="dxa"/>
                  <w:vAlign w:val="center"/>
                </w:tcPr>
                <w:p w14:paraId="312AD4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"bookmark210"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2017</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]41 号</w:t>
                  </w:r>
                </w:p>
              </w:tc>
            </w:tr>
            <w:tr w14:paraId="3BF5AB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104BCD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9</w:t>
                  </w:r>
                </w:p>
              </w:tc>
              <w:tc>
                <w:tcPr>
                  <w:tcW w:w="1301" w:type="dxa"/>
                  <w:vAlign w:val="center"/>
                </w:tcPr>
                <w:p w14:paraId="5D4440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乐昌市金利华机械制造有限</w:t>
                  </w:r>
                </w:p>
                <w:p w14:paraId="7A21F4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公司</w:t>
                  </w:r>
                </w:p>
              </w:tc>
              <w:tc>
                <w:tcPr>
                  <w:tcW w:w="372" w:type="dxa"/>
                  <w:vAlign w:val="center"/>
                </w:tcPr>
                <w:p w14:paraId="63BE54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2D39D8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27890B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10000</w:t>
                  </w:r>
                </w:p>
              </w:tc>
              <w:tc>
                <w:tcPr>
                  <w:tcW w:w="2499" w:type="dxa"/>
                  <w:vAlign w:val="center"/>
                </w:tcPr>
                <w:p w14:paraId="4FAD13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年产食品机械铸件 1 万件</w:t>
                  </w:r>
                </w:p>
              </w:tc>
              <w:tc>
                <w:tcPr>
                  <w:tcW w:w="1897" w:type="dxa"/>
                  <w:vAlign w:val="center"/>
                </w:tcPr>
                <w:p w14:paraId="299D0C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"bookmark211"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2017</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]42 号</w:t>
                  </w:r>
                </w:p>
              </w:tc>
            </w:tr>
            <w:tr w14:paraId="5F036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30" w:type="dxa"/>
                  <w:vAlign w:val="center"/>
                </w:tcPr>
                <w:p w14:paraId="0DCBD6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10</w:t>
                  </w:r>
                </w:p>
              </w:tc>
              <w:tc>
                <w:tcPr>
                  <w:tcW w:w="1301" w:type="dxa"/>
                  <w:vAlign w:val="center"/>
                </w:tcPr>
                <w:p w14:paraId="66A9A1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乐昌市宏信精工制造有限公</w:t>
                  </w:r>
                </w:p>
                <w:p w14:paraId="2ACC59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11EF1B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2C344B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004405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10000</w:t>
                  </w:r>
                </w:p>
              </w:tc>
              <w:tc>
                <w:tcPr>
                  <w:tcW w:w="2499" w:type="dxa"/>
                  <w:vAlign w:val="center"/>
                </w:tcPr>
                <w:p w14:paraId="7E0338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年产球墨模具、零件 4000 吨、灰口模具、零件 6000 吨</w:t>
                  </w:r>
                </w:p>
              </w:tc>
              <w:tc>
                <w:tcPr>
                  <w:tcW w:w="1897" w:type="dxa"/>
                  <w:vAlign w:val="center"/>
                </w:tcPr>
                <w:p w14:paraId="644276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"bookmark212"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2017</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]39 号、韶环乐审</w:t>
                  </w:r>
                </w:p>
                <w:p w14:paraId="368802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"bookmark213"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2022</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]23 号</w:t>
                  </w:r>
                </w:p>
              </w:tc>
            </w:tr>
            <w:tr w14:paraId="207940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4B802E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11</w:t>
                  </w:r>
                </w:p>
              </w:tc>
              <w:tc>
                <w:tcPr>
                  <w:tcW w:w="1301" w:type="dxa"/>
                  <w:vAlign w:val="center"/>
                </w:tcPr>
                <w:p w14:paraId="12E4B5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乐昌市金来得实业有限公司</w:t>
                  </w:r>
                </w:p>
              </w:tc>
              <w:tc>
                <w:tcPr>
                  <w:tcW w:w="372" w:type="dxa"/>
                  <w:vAlign w:val="center"/>
                </w:tcPr>
                <w:p w14:paraId="170B44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5042A0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橡胶和塑料制品业、家具制造业</w:t>
                  </w:r>
                </w:p>
              </w:tc>
              <w:tc>
                <w:tcPr>
                  <w:tcW w:w="904" w:type="dxa"/>
                  <w:vAlign w:val="center"/>
                </w:tcPr>
                <w:p w14:paraId="17ADFB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23018.4</w:t>
                  </w:r>
                </w:p>
              </w:tc>
              <w:tc>
                <w:tcPr>
                  <w:tcW w:w="2499" w:type="dxa"/>
                  <w:vAlign w:val="center"/>
                </w:tcPr>
                <w:p w14:paraId="4F7B2F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年产卫浴、衣柜 1.6 万套；聚乙烯高分子材料 4.8 万立方米</w:t>
                  </w:r>
                </w:p>
              </w:tc>
              <w:tc>
                <w:tcPr>
                  <w:tcW w:w="1897" w:type="dxa"/>
                  <w:vAlign w:val="center"/>
                </w:tcPr>
                <w:p w14:paraId="51C473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"bookmark214"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2018</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]03 号、乐环审〔2020〕</w:t>
                  </w:r>
                </w:p>
                <w:p w14:paraId="2852D3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14 号</w:t>
                  </w:r>
                </w:p>
              </w:tc>
            </w:tr>
            <w:tr w14:paraId="65D4D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jc w:val="center"/>
              </w:trPr>
              <w:tc>
                <w:tcPr>
                  <w:tcW w:w="330" w:type="dxa"/>
                  <w:vAlign w:val="center"/>
                </w:tcPr>
                <w:p w14:paraId="64A450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p>
                <w:p w14:paraId="0B52D3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12</w:t>
                  </w:r>
                </w:p>
              </w:tc>
              <w:tc>
                <w:tcPr>
                  <w:tcW w:w="1301" w:type="dxa"/>
                  <w:vAlign w:val="center"/>
                </w:tcPr>
                <w:p w14:paraId="60C473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广东沃府实业有限公司</w:t>
                  </w:r>
                </w:p>
              </w:tc>
              <w:tc>
                <w:tcPr>
                  <w:tcW w:w="372" w:type="dxa"/>
                  <w:vAlign w:val="center"/>
                </w:tcPr>
                <w:p w14:paraId="130E4D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2FEE59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橡胶和塑料制品</w:t>
                  </w:r>
                </w:p>
                <w:p w14:paraId="2FCA6D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业、废弃资源综合</w:t>
                  </w:r>
                </w:p>
                <w:p w14:paraId="12EEA1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利用业</w:t>
                  </w:r>
                </w:p>
              </w:tc>
              <w:tc>
                <w:tcPr>
                  <w:tcW w:w="904" w:type="dxa"/>
                  <w:vAlign w:val="center"/>
                </w:tcPr>
                <w:p w14:paraId="64A4AB7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73337</w:t>
                  </w:r>
                </w:p>
              </w:tc>
              <w:tc>
                <w:tcPr>
                  <w:tcW w:w="2499" w:type="dxa"/>
                  <w:vAlign w:val="center"/>
                </w:tcPr>
                <w:p w14:paraId="4EB2DB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年产改性塑料 10 万吨、家电塑料配件2000 吨</w:t>
                  </w:r>
                </w:p>
              </w:tc>
              <w:tc>
                <w:tcPr>
                  <w:tcW w:w="1897" w:type="dxa"/>
                  <w:vAlign w:val="center"/>
                </w:tcPr>
                <w:p w14:paraId="081BE4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"bookmark215"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2017</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 177 号、乐环审</w:t>
                  </w:r>
                </w:p>
                <w:p w14:paraId="7386D2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〔2021〕05 号、韶环乐审〔2025〕</w:t>
                  </w:r>
                </w:p>
                <w:p w14:paraId="304558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17 号</w:t>
                  </w:r>
                </w:p>
              </w:tc>
            </w:tr>
            <w:tr w14:paraId="0A49F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330" w:type="dxa"/>
                  <w:vAlign w:val="center"/>
                </w:tcPr>
                <w:p w14:paraId="5280EA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p>
                <w:p w14:paraId="163C10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13</w:t>
                  </w:r>
                </w:p>
              </w:tc>
              <w:tc>
                <w:tcPr>
                  <w:tcW w:w="1301" w:type="dxa"/>
                  <w:vAlign w:val="center"/>
                </w:tcPr>
                <w:p w14:paraId="4980BF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韶关乐淇包装材料有限公司</w:t>
                  </w:r>
                </w:p>
              </w:tc>
              <w:tc>
                <w:tcPr>
                  <w:tcW w:w="372" w:type="dxa"/>
                  <w:vAlign w:val="center"/>
                </w:tcPr>
                <w:p w14:paraId="6028D2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69880B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橡胶和塑料制品</w:t>
                  </w:r>
                </w:p>
                <w:p w14:paraId="4A2FC9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业、废弃资源综合</w:t>
                  </w:r>
                </w:p>
                <w:p w14:paraId="021182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利用业</w:t>
                  </w:r>
                </w:p>
              </w:tc>
              <w:tc>
                <w:tcPr>
                  <w:tcW w:w="904" w:type="dxa"/>
                  <w:vAlign w:val="center"/>
                </w:tcPr>
                <w:p w14:paraId="170049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50991.9</w:t>
                  </w:r>
                </w:p>
              </w:tc>
              <w:tc>
                <w:tcPr>
                  <w:tcW w:w="2499" w:type="dxa"/>
                  <w:vAlign w:val="center"/>
                </w:tcPr>
                <w:p w14:paraId="707019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年产塑料新材料 7.22 万吨</w:t>
                  </w:r>
                </w:p>
              </w:tc>
              <w:tc>
                <w:tcPr>
                  <w:tcW w:w="1897" w:type="dxa"/>
                  <w:vAlign w:val="center"/>
                </w:tcPr>
                <w:p w14:paraId="4C4D3E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"bookmark216"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2018</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]04 号</w:t>
                  </w:r>
                </w:p>
              </w:tc>
            </w:tr>
            <w:tr w14:paraId="266FA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30" w:type="dxa"/>
                  <w:vAlign w:val="center"/>
                </w:tcPr>
                <w:p w14:paraId="4B75DE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14</w:t>
                  </w:r>
                </w:p>
              </w:tc>
              <w:tc>
                <w:tcPr>
                  <w:tcW w:w="1301" w:type="dxa"/>
                  <w:vAlign w:val="center"/>
                </w:tcPr>
                <w:p w14:paraId="4B4CE8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乐昌市华国艺术装饰建材有</w:t>
                  </w:r>
                </w:p>
                <w:p w14:paraId="410ED5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限公司</w:t>
                  </w:r>
                </w:p>
              </w:tc>
              <w:tc>
                <w:tcPr>
                  <w:tcW w:w="372" w:type="dxa"/>
                  <w:vAlign w:val="center"/>
                </w:tcPr>
                <w:p w14:paraId="3DDC7D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65D403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橡胶和塑料制品业</w:t>
                  </w:r>
                </w:p>
              </w:tc>
              <w:tc>
                <w:tcPr>
                  <w:tcW w:w="904" w:type="dxa"/>
                  <w:vAlign w:val="center"/>
                </w:tcPr>
                <w:p w14:paraId="203CF7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27375.05</w:t>
                  </w:r>
                </w:p>
              </w:tc>
              <w:tc>
                <w:tcPr>
                  <w:tcW w:w="2499" w:type="dxa"/>
                  <w:vAlign w:val="center"/>
                </w:tcPr>
                <w:p w14:paraId="5C4990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 PU 装饰线条 1500 吨、聚氨酯装饰制品 250 吨</w:t>
                  </w:r>
                </w:p>
              </w:tc>
              <w:tc>
                <w:tcPr>
                  <w:tcW w:w="1897" w:type="dxa"/>
                  <w:vAlign w:val="center"/>
                </w:tcPr>
                <w:p w14:paraId="04A125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"bookmark217"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2017</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]35 号</w:t>
                  </w:r>
                </w:p>
              </w:tc>
            </w:tr>
            <w:tr w14:paraId="6FB93E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330" w:type="dxa"/>
                  <w:vAlign w:val="center"/>
                </w:tcPr>
                <w:p w14:paraId="55D5C7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15</w:t>
                  </w:r>
                </w:p>
              </w:tc>
              <w:tc>
                <w:tcPr>
                  <w:tcW w:w="1301" w:type="dxa"/>
                  <w:vAlign w:val="center"/>
                </w:tcPr>
                <w:p w14:paraId="6E76B1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汇隽新材料科技（乐昌）有限</w:t>
                  </w:r>
                </w:p>
                <w:p w14:paraId="0A0C74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公司</w:t>
                  </w:r>
                </w:p>
              </w:tc>
              <w:tc>
                <w:tcPr>
                  <w:tcW w:w="372" w:type="dxa"/>
                  <w:vAlign w:val="center"/>
                </w:tcPr>
                <w:p w14:paraId="759672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730268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橡胶和塑料制品业</w:t>
                  </w:r>
                </w:p>
              </w:tc>
              <w:tc>
                <w:tcPr>
                  <w:tcW w:w="904" w:type="dxa"/>
                  <w:vAlign w:val="center"/>
                </w:tcPr>
                <w:p w14:paraId="1D408D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7349.3</w:t>
                  </w:r>
                </w:p>
              </w:tc>
              <w:tc>
                <w:tcPr>
                  <w:tcW w:w="2499" w:type="dxa"/>
                  <w:vAlign w:val="center"/>
                </w:tcPr>
                <w:p w14:paraId="6DF50D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 PU 装饰线条 750 吨、聚氨酯装饰制品 250 吨</w:t>
                  </w:r>
                </w:p>
              </w:tc>
              <w:tc>
                <w:tcPr>
                  <w:tcW w:w="1897" w:type="dxa"/>
                  <w:vAlign w:val="center"/>
                </w:tcPr>
                <w:p w14:paraId="0CF68FE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"bookmark218"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2018</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 13 号</w:t>
                  </w:r>
                </w:p>
              </w:tc>
            </w:tr>
            <w:tr w14:paraId="304C8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4" w:hRule="atLeast"/>
                <w:jc w:val="center"/>
              </w:trPr>
              <w:tc>
                <w:tcPr>
                  <w:tcW w:w="330" w:type="dxa"/>
                  <w:vAlign w:val="center"/>
                </w:tcPr>
                <w:p w14:paraId="35CA82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16</w:t>
                  </w:r>
                </w:p>
              </w:tc>
              <w:tc>
                <w:tcPr>
                  <w:tcW w:w="1301" w:type="dxa"/>
                  <w:vAlign w:val="center"/>
                </w:tcPr>
                <w:p w14:paraId="10DD44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广东宝创环保新材料制品有</w:t>
                  </w:r>
                </w:p>
                <w:p w14:paraId="132EB3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限公司</w:t>
                  </w:r>
                </w:p>
              </w:tc>
              <w:tc>
                <w:tcPr>
                  <w:tcW w:w="372" w:type="dxa"/>
                  <w:vAlign w:val="center"/>
                </w:tcPr>
                <w:p w14:paraId="56AFB7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11AC1D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纺织业</w:t>
                  </w:r>
                </w:p>
              </w:tc>
              <w:tc>
                <w:tcPr>
                  <w:tcW w:w="904" w:type="dxa"/>
                  <w:vAlign w:val="center"/>
                </w:tcPr>
                <w:p w14:paraId="145DB8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32671.2</w:t>
                  </w:r>
                </w:p>
              </w:tc>
              <w:tc>
                <w:tcPr>
                  <w:tcW w:w="2499" w:type="dxa"/>
                  <w:vAlign w:val="center"/>
                </w:tcPr>
                <w:p w14:paraId="515ECB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年产热轧无纺布 2800 吨、口罩 30000 万片、纺粘熔喷无纺布</w:t>
                  </w:r>
                </w:p>
                <w:p w14:paraId="21B3A8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7440 吨、衬布 5720 万米、热风无纺布 860 吨、复合芯体 1430</w:t>
                  </w:r>
                </w:p>
                <w:p w14:paraId="0B490F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吨、湿巾 360 万包、熔喷无纺布 1500 吨、网膜无纺布 825</w:t>
                  </w:r>
                </w:p>
                <w:p w14:paraId="37F503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万米、无纺布抽取式干巾 57 万盒、无纺布床单 570 万张、口</w:t>
                  </w:r>
                </w:p>
                <w:p w14:paraId="5F0240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罩衬布 2000 万米、其他衬布 7000 万米</w:t>
                  </w:r>
                </w:p>
              </w:tc>
              <w:tc>
                <w:tcPr>
                  <w:tcW w:w="1897" w:type="dxa"/>
                  <w:vAlign w:val="center"/>
                </w:tcPr>
                <w:p w14:paraId="7CD2D6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"bookmark219"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2017</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]50 号、乐环审〔2020〕 23 号、韶环乐审〔2021〕26 号</w:t>
                  </w:r>
                </w:p>
              </w:tc>
            </w:tr>
            <w:tr w14:paraId="480336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5D0656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17</w:t>
                  </w:r>
                </w:p>
              </w:tc>
              <w:tc>
                <w:tcPr>
                  <w:tcW w:w="1301" w:type="dxa"/>
                  <w:vAlign w:val="center"/>
                </w:tcPr>
                <w:p w14:paraId="7FB6DE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广东泰邦耐磨金属科技有限</w:t>
                  </w:r>
                </w:p>
                <w:p w14:paraId="4D012D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公司</w:t>
                  </w:r>
                </w:p>
              </w:tc>
              <w:tc>
                <w:tcPr>
                  <w:tcW w:w="372" w:type="dxa"/>
                  <w:vAlign w:val="center"/>
                </w:tcPr>
                <w:p w14:paraId="06369C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45771E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40C8D4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33583</w:t>
                  </w:r>
                </w:p>
              </w:tc>
              <w:tc>
                <w:tcPr>
                  <w:tcW w:w="2499" w:type="dxa"/>
                  <w:vAlign w:val="center"/>
                </w:tcPr>
                <w:p w14:paraId="2A6BC8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年产铸钢 1 万吨</w:t>
                  </w:r>
                </w:p>
              </w:tc>
              <w:tc>
                <w:tcPr>
                  <w:tcW w:w="1897" w:type="dxa"/>
                  <w:vAlign w:val="center"/>
                </w:tcPr>
                <w:p w14:paraId="0D75DD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乐环函[</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"bookmark220"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2011</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]25 号、乐环审[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"bookmark221"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2018</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 17 号</w:t>
                  </w:r>
                </w:p>
              </w:tc>
            </w:tr>
            <w:tr w14:paraId="1FE7FE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2" w:hRule="atLeast"/>
                <w:jc w:val="center"/>
              </w:trPr>
              <w:tc>
                <w:tcPr>
                  <w:tcW w:w="330" w:type="dxa"/>
                  <w:vAlign w:val="center"/>
                </w:tcPr>
                <w:p w14:paraId="39E849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18</w:t>
                  </w:r>
                </w:p>
              </w:tc>
              <w:tc>
                <w:tcPr>
                  <w:tcW w:w="1301" w:type="dxa"/>
                  <w:vAlign w:val="center"/>
                </w:tcPr>
                <w:p w14:paraId="5A14EC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乐昌市明俊铸造有限公司</w:t>
                  </w:r>
                </w:p>
              </w:tc>
              <w:tc>
                <w:tcPr>
                  <w:tcW w:w="372" w:type="dxa"/>
                  <w:vAlign w:val="center"/>
                </w:tcPr>
                <w:p w14:paraId="2CA856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4E6D3C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66A0EA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12666</w:t>
                  </w:r>
                </w:p>
              </w:tc>
              <w:tc>
                <w:tcPr>
                  <w:tcW w:w="2499" w:type="dxa"/>
                  <w:vAlign w:val="center"/>
                </w:tcPr>
                <w:p w14:paraId="44AF62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年产水泵类铸件、油泵 6000 吨</w:t>
                  </w:r>
                </w:p>
              </w:tc>
              <w:tc>
                <w:tcPr>
                  <w:tcW w:w="1897" w:type="dxa"/>
                  <w:vAlign w:val="center"/>
                </w:tcPr>
                <w:p w14:paraId="70A5AF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乐环函[</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"bookmark222"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2008</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 12 号、乐环审</w:t>
                  </w:r>
                </w:p>
                <w:p w14:paraId="68DC53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"bookmark223"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2018</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]38 号、韶环乐审〔2022〕14</w:t>
                  </w:r>
                </w:p>
                <w:p w14:paraId="6ACB83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号</w:t>
                  </w:r>
                </w:p>
              </w:tc>
            </w:tr>
            <w:tr w14:paraId="543924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756F28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19</w:t>
                  </w:r>
                </w:p>
              </w:tc>
              <w:tc>
                <w:tcPr>
                  <w:tcW w:w="1301" w:type="dxa"/>
                  <w:vAlign w:val="center"/>
                </w:tcPr>
                <w:p w14:paraId="1CCF4A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乐昌市翔辉皮革有限公司</w:t>
                  </w:r>
                </w:p>
              </w:tc>
              <w:tc>
                <w:tcPr>
                  <w:tcW w:w="372" w:type="dxa"/>
                  <w:vAlign w:val="center"/>
                </w:tcPr>
                <w:p w14:paraId="386C64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189198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皮革、毛皮、羽毛及其制品和制鞋业</w:t>
                  </w:r>
                </w:p>
              </w:tc>
              <w:tc>
                <w:tcPr>
                  <w:tcW w:w="904" w:type="dxa"/>
                  <w:vAlign w:val="center"/>
                </w:tcPr>
                <w:p w14:paraId="62B616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14014.6</w:t>
                  </w:r>
                </w:p>
              </w:tc>
              <w:tc>
                <w:tcPr>
                  <w:tcW w:w="2499" w:type="dxa"/>
                  <w:vAlign w:val="center"/>
                </w:tcPr>
                <w:p w14:paraId="5A31D8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年产二层贴膜榔皮 200 万呎、3 贴膜 PU0 万码</w:t>
                  </w:r>
                </w:p>
              </w:tc>
              <w:tc>
                <w:tcPr>
                  <w:tcW w:w="1897" w:type="dxa"/>
                  <w:vAlign w:val="center"/>
                </w:tcPr>
                <w:p w14:paraId="7F96D7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"bookmark224"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2017</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]07 号</w:t>
                  </w:r>
                </w:p>
              </w:tc>
            </w:tr>
            <w:tr w14:paraId="1A44F3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4090D6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w:t>
                  </w:r>
                </w:p>
              </w:tc>
              <w:tc>
                <w:tcPr>
                  <w:tcW w:w="1301" w:type="dxa"/>
                  <w:vAlign w:val="center"/>
                </w:tcPr>
                <w:p w14:paraId="1052D0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广东欧匹特智能装备有限公</w:t>
                  </w:r>
                </w:p>
                <w:p w14:paraId="5DB9F4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144C0C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1E5252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通用设备制造业</w:t>
                  </w:r>
                </w:p>
              </w:tc>
              <w:tc>
                <w:tcPr>
                  <w:tcW w:w="904" w:type="dxa"/>
                  <w:vAlign w:val="center"/>
                </w:tcPr>
                <w:p w14:paraId="1602D8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26032</w:t>
                  </w:r>
                </w:p>
              </w:tc>
              <w:tc>
                <w:tcPr>
                  <w:tcW w:w="2499" w:type="dxa"/>
                  <w:vAlign w:val="center"/>
                </w:tcPr>
                <w:p w14:paraId="779D6B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年产数控机床 450 台</w:t>
                  </w:r>
                </w:p>
              </w:tc>
              <w:tc>
                <w:tcPr>
                  <w:tcW w:w="1897" w:type="dxa"/>
                  <w:vAlign w:val="center"/>
                </w:tcPr>
                <w:p w14:paraId="35CFEE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乐环审〔2020〕16 号</w:t>
                  </w:r>
                </w:p>
              </w:tc>
            </w:tr>
            <w:tr w14:paraId="2DA55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3291B7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21</w:t>
                  </w:r>
                </w:p>
              </w:tc>
              <w:tc>
                <w:tcPr>
                  <w:tcW w:w="1301" w:type="dxa"/>
                  <w:vAlign w:val="center"/>
                </w:tcPr>
                <w:p w14:paraId="05743D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乐昌市泰瑞菲实业有限公司</w:t>
                  </w:r>
                </w:p>
              </w:tc>
              <w:tc>
                <w:tcPr>
                  <w:tcW w:w="372" w:type="dxa"/>
                  <w:vAlign w:val="center"/>
                </w:tcPr>
                <w:p w14:paraId="0D157F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4A99E5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橡胶和塑料制品业</w:t>
                  </w:r>
                </w:p>
              </w:tc>
              <w:tc>
                <w:tcPr>
                  <w:tcW w:w="904" w:type="dxa"/>
                  <w:vAlign w:val="center"/>
                </w:tcPr>
                <w:p w14:paraId="20C01FE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15266</w:t>
                  </w:r>
                </w:p>
              </w:tc>
              <w:tc>
                <w:tcPr>
                  <w:tcW w:w="2499" w:type="dxa"/>
                  <w:vAlign w:val="center"/>
                </w:tcPr>
                <w:p w14:paraId="4A2867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年产新型塑料装饰材料 1 万吨</w:t>
                  </w:r>
                </w:p>
              </w:tc>
              <w:tc>
                <w:tcPr>
                  <w:tcW w:w="1897" w:type="dxa"/>
                  <w:vAlign w:val="center"/>
                </w:tcPr>
                <w:p w14:paraId="0A074E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"bookmark225"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2017</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]55 号</w:t>
                  </w:r>
                </w:p>
              </w:tc>
            </w:tr>
            <w:tr w14:paraId="5F9D8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68A20F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22</w:t>
                  </w:r>
                </w:p>
              </w:tc>
              <w:tc>
                <w:tcPr>
                  <w:tcW w:w="1301" w:type="dxa"/>
                  <w:vAlign w:val="center"/>
                </w:tcPr>
                <w:p w14:paraId="6396B5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韶关韶瑞铸钢有限公司</w:t>
                  </w:r>
                </w:p>
              </w:tc>
              <w:tc>
                <w:tcPr>
                  <w:tcW w:w="372" w:type="dxa"/>
                  <w:vAlign w:val="center"/>
                </w:tcPr>
                <w:p w14:paraId="6703DB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216D08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22ACFD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75085</w:t>
                  </w:r>
                </w:p>
              </w:tc>
              <w:tc>
                <w:tcPr>
                  <w:tcW w:w="2499" w:type="dxa"/>
                  <w:vAlign w:val="center"/>
                </w:tcPr>
                <w:p w14:paraId="4EF6E3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年产铸钢件、铸铁件 4.1 万吨</w:t>
                  </w:r>
                </w:p>
              </w:tc>
              <w:tc>
                <w:tcPr>
                  <w:tcW w:w="1897" w:type="dxa"/>
                  <w:vAlign w:val="center"/>
                </w:tcPr>
                <w:p w14:paraId="49D0F3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乐环函[</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"bookmark226"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2011</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 163 号、乐环审 [</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"bookmark227"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2017</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]01 号、乐环审[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"bookmark228"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2018</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 19 号</w:t>
                  </w:r>
                </w:p>
              </w:tc>
            </w:tr>
            <w:tr w14:paraId="2E442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1D0B2A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23</w:t>
                  </w:r>
                </w:p>
              </w:tc>
              <w:tc>
                <w:tcPr>
                  <w:tcW w:w="1301" w:type="dxa"/>
                  <w:vAlign w:val="center"/>
                </w:tcPr>
                <w:p w14:paraId="5622F1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精信（乐昌）机械有限公司</w:t>
                  </w:r>
                </w:p>
              </w:tc>
              <w:tc>
                <w:tcPr>
                  <w:tcW w:w="372" w:type="dxa"/>
                  <w:vAlign w:val="center"/>
                </w:tcPr>
                <w:p w14:paraId="3D5F56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190EC3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215E3E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16950.3</w:t>
                  </w:r>
                </w:p>
              </w:tc>
              <w:tc>
                <w:tcPr>
                  <w:tcW w:w="2499" w:type="dxa"/>
                  <w:vAlign w:val="center"/>
                </w:tcPr>
                <w:p w14:paraId="459AF8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年产人防门配件 11250 套</w:t>
                  </w:r>
                </w:p>
              </w:tc>
              <w:tc>
                <w:tcPr>
                  <w:tcW w:w="1897" w:type="dxa"/>
                  <w:vAlign w:val="center"/>
                </w:tcPr>
                <w:p w14:paraId="57A205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韶环乐审〔2021〕25 号</w:t>
                  </w:r>
                </w:p>
              </w:tc>
            </w:tr>
            <w:tr w14:paraId="3DC58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30" w:type="dxa"/>
                  <w:vAlign w:val="center"/>
                </w:tcPr>
                <w:p w14:paraId="524F86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24</w:t>
                  </w:r>
                </w:p>
              </w:tc>
              <w:tc>
                <w:tcPr>
                  <w:tcW w:w="1301" w:type="dxa"/>
                  <w:vAlign w:val="center"/>
                </w:tcPr>
                <w:p w14:paraId="75D600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韶关高尔德防雷科技有限公</w:t>
                  </w:r>
                </w:p>
                <w:p w14:paraId="75F6F2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2E709D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161168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电气机械和器材制造业</w:t>
                  </w:r>
                </w:p>
              </w:tc>
              <w:tc>
                <w:tcPr>
                  <w:tcW w:w="904" w:type="dxa"/>
                  <w:vAlign w:val="center"/>
                </w:tcPr>
                <w:p w14:paraId="0F46F3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15561.5</w:t>
                  </w:r>
                </w:p>
              </w:tc>
              <w:tc>
                <w:tcPr>
                  <w:tcW w:w="2499" w:type="dxa"/>
                  <w:vAlign w:val="center"/>
                </w:tcPr>
                <w:p w14:paraId="7C2EB9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年产防雷电子器件 10 万套、3 万台移动通信基站电源、 480</w:t>
                  </w:r>
                </w:p>
                <w:p w14:paraId="0EB876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万 AH 铁锂电池</w:t>
                  </w:r>
                </w:p>
              </w:tc>
              <w:tc>
                <w:tcPr>
                  <w:tcW w:w="1897" w:type="dxa"/>
                  <w:vAlign w:val="center"/>
                </w:tcPr>
                <w:p w14:paraId="7162FE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"bookmark229"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2015</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]240 号、乐环审〔2020〕12 号</w:t>
                  </w:r>
                </w:p>
              </w:tc>
            </w:tr>
            <w:tr w14:paraId="2B5E95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7CA849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25</w:t>
                  </w:r>
                </w:p>
              </w:tc>
              <w:tc>
                <w:tcPr>
                  <w:tcW w:w="1301" w:type="dxa"/>
                  <w:vAlign w:val="center"/>
                </w:tcPr>
                <w:p w14:paraId="6D243B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韶关博尔兹阀门工业有限公</w:t>
                  </w:r>
                </w:p>
                <w:p w14:paraId="0FA3BA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5FFCB1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709619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75B940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20198.7</w:t>
                  </w:r>
                </w:p>
              </w:tc>
              <w:tc>
                <w:tcPr>
                  <w:tcW w:w="2499" w:type="dxa"/>
                  <w:vAlign w:val="center"/>
                </w:tcPr>
                <w:p w14:paraId="2DEAA6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年产阀门 5000 件、铸钢件 1.2 万件、铸铁件2.3 万件、机械</w:t>
                  </w:r>
                </w:p>
                <w:p w14:paraId="3425F6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配件 1 万件</w:t>
                  </w:r>
                </w:p>
              </w:tc>
              <w:tc>
                <w:tcPr>
                  <w:tcW w:w="1897" w:type="dxa"/>
                  <w:vAlign w:val="center"/>
                </w:tcPr>
                <w:p w14:paraId="741A7E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乐环函[</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"bookmark230"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2009</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]94 号、乐环审〔2018〕</w:t>
                  </w:r>
                </w:p>
                <w:p w14:paraId="4428D1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65 号</w:t>
                  </w:r>
                </w:p>
              </w:tc>
            </w:tr>
            <w:tr w14:paraId="27243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486F90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26</w:t>
                  </w:r>
                </w:p>
              </w:tc>
              <w:tc>
                <w:tcPr>
                  <w:tcW w:w="1301" w:type="dxa"/>
                  <w:vAlign w:val="center"/>
                </w:tcPr>
                <w:p w14:paraId="01BDAB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广东科拓电子元件有限公司</w:t>
                  </w:r>
                </w:p>
              </w:tc>
              <w:tc>
                <w:tcPr>
                  <w:tcW w:w="372" w:type="dxa"/>
                  <w:vAlign w:val="center"/>
                </w:tcPr>
                <w:p w14:paraId="57103F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025965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电气机械和器材制造业</w:t>
                  </w:r>
                </w:p>
              </w:tc>
              <w:tc>
                <w:tcPr>
                  <w:tcW w:w="904" w:type="dxa"/>
                  <w:vAlign w:val="center"/>
                </w:tcPr>
                <w:p w14:paraId="683F49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1720.83</w:t>
                  </w:r>
                </w:p>
              </w:tc>
              <w:tc>
                <w:tcPr>
                  <w:tcW w:w="2499" w:type="dxa"/>
                  <w:vAlign w:val="center"/>
                </w:tcPr>
                <w:p w14:paraId="2BFCDB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年产电容、电阻器 8 亿只</w:t>
                  </w:r>
                </w:p>
              </w:tc>
              <w:tc>
                <w:tcPr>
                  <w:tcW w:w="1897" w:type="dxa"/>
                  <w:vAlign w:val="center"/>
                </w:tcPr>
                <w:p w14:paraId="3E6E2F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韶环乐审〔2021〕13 号</w:t>
                  </w:r>
                </w:p>
              </w:tc>
            </w:tr>
            <w:tr w14:paraId="7BCF5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020A70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27</w:t>
                  </w:r>
                </w:p>
              </w:tc>
              <w:tc>
                <w:tcPr>
                  <w:tcW w:w="1301" w:type="dxa"/>
                  <w:vAlign w:val="center"/>
                </w:tcPr>
                <w:p w14:paraId="2AC19F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宇创箱包制品（韶关市乐昌）</w:t>
                  </w:r>
                </w:p>
                <w:p w14:paraId="3ACF9B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有限公司</w:t>
                  </w:r>
                </w:p>
              </w:tc>
              <w:tc>
                <w:tcPr>
                  <w:tcW w:w="372" w:type="dxa"/>
                  <w:vAlign w:val="center"/>
                </w:tcPr>
                <w:p w14:paraId="291AA4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2375FA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皮革、毛皮、羽毛及其制品和制鞋业</w:t>
                  </w:r>
                </w:p>
              </w:tc>
              <w:tc>
                <w:tcPr>
                  <w:tcW w:w="904" w:type="dxa"/>
                  <w:vAlign w:val="center"/>
                </w:tcPr>
                <w:p w14:paraId="4DF98E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1200</w:t>
                  </w:r>
                </w:p>
              </w:tc>
              <w:tc>
                <w:tcPr>
                  <w:tcW w:w="2499" w:type="dxa"/>
                  <w:vAlign w:val="center"/>
                </w:tcPr>
                <w:p w14:paraId="3DF097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年产钱包 30 万个，手袋 50 万个</w:t>
                  </w:r>
                </w:p>
              </w:tc>
              <w:tc>
                <w:tcPr>
                  <w:tcW w:w="1897" w:type="dxa"/>
                  <w:vAlign w:val="center"/>
                </w:tcPr>
                <w:p w14:paraId="2D79BF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乐环审〔2020〕09 号</w:t>
                  </w:r>
                </w:p>
              </w:tc>
            </w:tr>
            <w:tr w14:paraId="57D742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399783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28</w:t>
                  </w:r>
                </w:p>
              </w:tc>
              <w:tc>
                <w:tcPr>
                  <w:tcW w:w="1301" w:type="dxa"/>
                  <w:vAlign w:val="center"/>
                </w:tcPr>
                <w:p w14:paraId="194E9D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广东启轮金属制品有限公司</w:t>
                  </w:r>
                </w:p>
              </w:tc>
              <w:tc>
                <w:tcPr>
                  <w:tcW w:w="372" w:type="dxa"/>
                  <w:vAlign w:val="center"/>
                </w:tcPr>
                <w:p w14:paraId="7EA540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729517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72D071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10679.3</w:t>
                  </w:r>
                </w:p>
              </w:tc>
              <w:tc>
                <w:tcPr>
                  <w:tcW w:w="2499" w:type="dxa"/>
                  <w:vAlign w:val="center"/>
                </w:tcPr>
                <w:p w14:paraId="4A9F83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年产脚轮 100 万个</w:t>
                  </w:r>
                </w:p>
              </w:tc>
              <w:tc>
                <w:tcPr>
                  <w:tcW w:w="1897" w:type="dxa"/>
                  <w:vAlign w:val="center"/>
                </w:tcPr>
                <w:p w14:paraId="3BE82D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韶环乐审〔2021〕22 号、韶环乐审〔2025〕09 号</w:t>
                  </w:r>
                </w:p>
              </w:tc>
            </w:tr>
            <w:tr w14:paraId="1B84B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2" w:hRule="atLeast"/>
                <w:jc w:val="center"/>
              </w:trPr>
              <w:tc>
                <w:tcPr>
                  <w:tcW w:w="330" w:type="dxa"/>
                  <w:vAlign w:val="center"/>
                </w:tcPr>
                <w:p w14:paraId="76A1E5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29</w:t>
                  </w:r>
                </w:p>
              </w:tc>
              <w:tc>
                <w:tcPr>
                  <w:tcW w:w="1301" w:type="dxa"/>
                  <w:vAlign w:val="center"/>
                </w:tcPr>
                <w:p w14:paraId="3F43FF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深圳艾尔康电子元器件有限公司乐昌分公司</w:t>
                  </w:r>
                </w:p>
              </w:tc>
              <w:tc>
                <w:tcPr>
                  <w:tcW w:w="372" w:type="dxa"/>
                  <w:vAlign w:val="center"/>
                </w:tcPr>
                <w:p w14:paraId="1F79FE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5C706B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计算机、通信和其他电子设备制造业</w:t>
                  </w:r>
                </w:p>
              </w:tc>
              <w:tc>
                <w:tcPr>
                  <w:tcW w:w="904" w:type="dxa"/>
                  <w:vAlign w:val="center"/>
                </w:tcPr>
                <w:p w14:paraId="340818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20006.9</w:t>
                  </w:r>
                </w:p>
              </w:tc>
              <w:tc>
                <w:tcPr>
                  <w:tcW w:w="2499" w:type="dxa"/>
                  <w:vAlign w:val="center"/>
                </w:tcPr>
                <w:p w14:paraId="13A80E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年产探针 422 万、接线端子及其零部件 36000 万、感应器及其零部件 200 万、接插件及其零部件 2500 万、模具 50 套、五金产品 30000 万、塑胶配件 30000 万、自动化装备 50 台</w:t>
                  </w:r>
                </w:p>
              </w:tc>
              <w:tc>
                <w:tcPr>
                  <w:tcW w:w="1897" w:type="dxa"/>
                  <w:vAlign w:val="center"/>
                </w:tcPr>
                <w:p w14:paraId="1AD71F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"bookmark231"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2018</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]32 号</w:t>
                  </w:r>
                </w:p>
              </w:tc>
            </w:tr>
            <w:tr w14:paraId="1DA5D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3D465E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30</w:t>
                  </w:r>
                </w:p>
              </w:tc>
              <w:tc>
                <w:tcPr>
                  <w:tcW w:w="1301" w:type="dxa"/>
                  <w:vAlign w:val="center"/>
                </w:tcPr>
                <w:p w14:paraId="791320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乐昌市缔恒科技有限公司</w:t>
                  </w:r>
                </w:p>
              </w:tc>
              <w:tc>
                <w:tcPr>
                  <w:tcW w:w="372" w:type="dxa"/>
                  <w:vAlign w:val="center"/>
                </w:tcPr>
                <w:p w14:paraId="4E6A5A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768FAC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通用设备制造业</w:t>
                  </w:r>
                </w:p>
              </w:tc>
              <w:tc>
                <w:tcPr>
                  <w:tcW w:w="904" w:type="dxa"/>
                  <w:vAlign w:val="center"/>
                </w:tcPr>
                <w:p w14:paraId="7AF82B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5000</w:t>
                  </w:r>
                </w:p>
              </w:tc>
              <w:tc>
                <w:tcPr>
                  <w:tcW w:w="2499" w:type="dxa"/>
                  <w:vAlign w:val="center"/>
                </w:tcPr>
                <w:p w14:paraId="3BC562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年产金刚石复合片 50 万片</w:t>
                  </w:r>
                </w:p>
              </w:tc>
              <w:tc>
                <w:tcPr>
                  <w:tcW w:w="1897" w:type="dxa"/>
                  <w:vAlign w:val="center"/>
                </w:tcPr>
                <w:p w14:paraId="269487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乐环函[</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"bookmark232"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2009</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 16 号</w:t>
                  </w:r>
                </w:p>
              </w:tc>
            </w:tr>
            <w:tr w14:paraId="2DAF96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330" w:type="dxa"/>
                  <w:vAlign w:val="center"/>
                </w:tcPr>
                <w:p w14:paraId="67F3E8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31</w:t>
                  </w:r>
                </w:p>
              </w:tc>
              <w:tc>
                <w:tcPr>
                  <w:tcW w:w="1301" w:type="dxa"/>
                  <w:vAlign w:val="center"/>
                </w:tcPr>
                <w:p w14:paraId="057011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乐昌市盛昌钢构有限公司</w:t>
                  </w:r>
                </w:p>
              </w:tc>
              <w:tc>
                <w:tcPr>
                  <w:tcW w:w="372" w:type="dxa"/>
                  <w:vAlign w:val="center"/>
                </w:tcPr>
                <w:p w14:paraId="3A6901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4E9E2A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6B04CF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9000</w:t>
                  </w:r>
                </w:p>
              </w:tc>
              <w:tc>
                <w:tcPr>
                  <w:tcW w:w="2499" w:type="dxa"/>
                  <w:vAlign w:val="center"/>
                </w:tcPr>
                <w:p w14:paraId="6AC139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年加工 500 吨钢结构</w:t>
                  </w:r>
                </w:p>
              </w:tc>
              <w:tc>
                <w:tcPr>
                  <w:tcW w:w="1897" w:type="dxa"/>
                  <w:vAlign w:val="center"/>
                </w:tcPr>
                <w:p w14:paraId="6E4104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乐环函[</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"bookmark233"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2011</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]80 号</w:t>
                  </w:r>
                </w:p>
              </w:tc>
            </w:tr>
            <w:tr w14:paraId="2142B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30" w:type="dxa"/>
                  <w:vAlign w:val="center"/>
                </w:tcPr>
                <w:p w14:paraId="29F84D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32</w:t>
                  </w:r>
                </w:p>
              </w:tc>
              <w:tc>
                <w:tcPr>
                  <w:tcW w:w="1301" w:type="dxa"/>
                  <w:vAlign w:val="center"/>
                </w:tcPr>
                <w:p w14:paraId="44A70F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乐昌市安莉琪服饰有限公司</w:t>
                  </w:r>
                </w:p>
              </w:tc>
              <w:tc>
                <w:tcPr>
                  <w:tcW w:w="372" w:type="dxa"/>
                  <w:vAlign w:val="center"/>
                </w:tcPr>
                <w:p w14:paraId="32502B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57378F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纺织服装、服饰业</w:t>
                  </w:r>
                </w:p>
              </w:tc>
              <w:tc>
                <w:tcPr>
                  <w:tcW w:w="904" w:type="dxa"/>
                  <w:vAlign w:val="center"/>
                </w:tcPr>
                <w:p w14:paraId="0221CC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13164.82</w:t>
                  </w:r>
                </w:p>
              </w:tc>
              <w:tc>
                <w:tcPr>
                  <w:tcW w:w="2499" w:type="dxa"/>
                  <w:vAlign w:val="center"/>
                </w:tcPr>
                <w:p w14:paraId="5C5237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 600 万件服装</w:t>
                  </w:r>
                </w:p>
              </w:tc>
              <w:tc>
                <w:tcPr>
                  <w:tcW w:w="1897" w:type="dxa"/>
                  <w:vAlign w:val="center"/>
                </w:tcPr>
                <w:p w14:paraId="4D89E2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"bookmark234"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2018</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]61 号</w:t>
                  </w:r>
                </w:p>
              </w:tc>
            </w:tr>
            <w:tr w14:paraId="788810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7740CD5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33</w:t>
                  </w:r>
                </w:p>
              </w:tc>
              <w:tc>
                <w:tcPr>
                  <w:tcW w:w="1301" w:type="dxa"/>
                  <w:vAlign w:val="center"/>
                </w:tcPr>
                <w:p w14:paraId="379724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乐昌市宏泰机械制造有限公</w:t>
                  </w:r>
                </w:p>
                <w:p w14:paraId="715B44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4BE658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220289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4BF7E6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17320</w:t>
                  </w:r>
                </w:p>
              </w:tc>
              <w:tc>
                <w:tcPr>
                  <w:tcW w:w="2499" w:type="dxa"/>
                  <w:vAlign w:val="center"/>
                </w:tcPr>
                <w:p w14:paraId="441F24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年产铸钢件 1.5 万吨、铸铁件 5000 吨</w:t>
                  </w:r>
                </w:p>
              </w:tc>
              <w:tc>
                <w:tcPr>
                  <w:tcW w:w="1897" w:type="dxa"/>
                  <w:vAlign w:val="center"/>
                </w:tcPr>
                <w:p w14:paraId="6DA65E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乐环函[</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"bookmark235"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2009</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]36 号、乐环审〔2019〕</w:t>
                  </w:r>
                </w:p>
                <w:p w14:paraId="26D208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43 号</w:t>
                  </w:r>
                </w:p>
              </w:tc>
            </w:tr>
            <w:tr w14:paraId="7950F5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0" w:hRule="atLeast"/>
                <w:jc w:val="center"/>
              </w:trPr>
              <w:tc>
                <w:tcPr>
                  <w:tcW w:w="330" w:type="dxa"/>
                  <w:vAlign w:val="center"/>
                </w:tcPr>
                <w:p w14:paraId="749346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34</w:t>
                  </w:r>
                </w:p>
              </w:tc>
              <w:tc>
                <w:tcPr>
                  <w:tcW w:w="1301" w:type="dxa"/>
                  <w:vAlign w:val="center"/>
                </w:tcPr>
                <w:p w14:paraId="567CA7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乐昌市特安消防器材有限公</w:t>
                  </w:r>
                </w:p>
                <w:p w14:paraId="5ABABC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28BFD5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63B073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专用设备制造业</w:t>
                  </w:r>
                </w:p>
              </w:tc>
              <w:tc>
                <w:tcPr>
                  <w:tcW w:w="904" w:type="dxa"/>
                  <w:vAlign w:val="center"/>
                </w:tcPr>
                <w:p w14:paraId="0E15FA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1283.1</w:t>
                  </w:r>
                </w:p>
              </w:tc>
              <w:tc>
                <w:tcPr>
                  <w:tcW w:w="2499" w:type="dxa"/>
                  <w:vAlign w:val="center"/>
                </w:tcPr>
                <w:p w14:paraId="6F2F81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年产过滤式消防自救呼吸器 60 万件（含霍加拉特剂生产 600</w:t>
                  </w:r>
                </w:p>
                <w:p w14:paraId="512FDE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吨），逃生缓降器 3000 套，急逃生绳 3000 条，消防防护服2</w:t>
                  </w:r>
                </w:p>
                <w:p w14:paraId="5B21B2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万套，家庭应急供氧组合装备 1500 台，灭火毯 3000 张，箔</w:t>
                  </w:r>
                </w:p>
                <w:p w14:paraId="7094A0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隔热服 3000 套，以及应急包、应急箱 6000 套等</w:t>
                  </w:r>
                </w:p>
              </w:tc>
              <w:tc>
                <w:tcPr>
                  <w:tcW w:w="1897" w:type="dxa"/>
                  <w:vAlign w:val="center"/>
                </w:tcPr>
                <w:p w14:paraId="5496C7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"bookmark236"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2017</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]79 号</w:t>
                  </w:r>
                </w:p>
              </w:tc>
            </w:tr>
            <w:tr w14:paraId="472F0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330" w:type="dxa"/>
                  <w:vAlign w:val="center"/>
                </w:tcPr>
                <w:p w14:paraId="5D69B9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35</w:t>
                  </w:r>
                </w:p>
              </w:tc>
              <w:tc>
                <w:tcPr>
                  <w:tcW w:w="1301" w:type="dxa"/>
                  <w:vAlign w:val="center"/>
                </w:tcPr>
                <w:p w14:paraId="512211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乐昌市同路单采血浆有限公</w:t>
                  </w:r>
                </w:p>
                <w:p w14:paraId="530C3C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100FFD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12889D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卫生</w:t>
                  </w:r>
                </w:p>
              </w:tc>
              <w:tc>
                <w:tcPr>
                  <w:tcW w:w="904" w:type="dxa"/>
                  <w:vAlign w:val="center"/>
                </w:tcPr>
                <w:p w14:paraId="5C6974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9379</w:t>
                  </w:r>
                </w:p>
              </w:tc>
              <w:tc>
                <w:tcPr>
                  <w:tcW w:w="2499" w:type="dxa"/>
                  <w:vAlign w:val="center"/>
                </w:tcPr>
                <w:p w14:paraId="10A6F4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采浆量为 40t/a</w:t>
                  </w:r>
                </w:p>
              </w:tc>
              <w:tc>
                <w:tcPr>
                  <w:tcW w:w="1897" w:type="dxa"/>
                  <w:vAlign w:val="center"/>
                </w:tcPr>
                <w:p w14:paraId="47A23F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"bookmark237"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2016</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 号</w:t>
                  </w:r>
                </w:p>
              </w:tc>
            </w:tr>
            <w:tr w14:paraId="49274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30" w:type="dxa"/>
                  <w:vAlign w:val="center"/>
                </w:tcPr>
                <w:p w14:paraId="39BA9B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36</w:t>
                  </w:r>
                </w:p>
              </w:tc>
              <w:tc>
                <w:tcPr>
                  <w:tcW w:w="1301" w:type="dxa"/>
                  <w:vAlign w:val="center"/>
                </w:tcPr>
                <w:p w14:paraId="401924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韶关鑫瑞智能装备有限公司</w:t>
                  </w:r>
                </w:p>
              </w:tc>
              <w:tc>
                <w:tcPr>
                  <w:tcW w:w="372" w:type="dxa"/>
                  <w:vAlign w:val="center"/>
                </w:tcPr>
                <w:p w14:paraId="043EC0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2FD4E3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专用设备制造业</w:t>
                  </w:r>
                </w:p>
              </w:tc>
              <w:tc>
                <w:tcPr>
                  <w:tcW w:w="904" w:type="dxa"/>
                  <w:vAlign w:val="center"/>
                </w:tcPr>
                <w:p w14:paraId="72365D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17693</w:t>
                  </w:r>
                </w:p>
              </w:tc>
              <w:tc>
                <w:tcPr>
                  <w:tcW w:w="2499" w:type="dxa"/>
                  <w:vAlign w:val="center"/>
                </w:tcPr>
                <w:p w14:paraId="4F94CC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年产破碎、筛分单机设备，移动式破碎筛分装备和模块化装</w:t>
                  </w:r>
                </w:p>
                <w:p w14:paraId="1E0688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备 803 台</w:t>
                  </w:r>
                </w:p>
              </w:tc>
              <w:tc>
                <w:tcPr>
                  <w:tcW w:w="1897" w:type="dxa"/>
                  <w:vAlign w:val="center"/>
                </w:tcPr>
                <w:p w14:paraId="141E9A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乐环审〔2019〕25 号</w:t>
                  </w:r>
                </w:p>
              </w:tc>
            </w:tr>
            <w:tr w14:paraId="7BA258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28070A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37</w:t>
                  </w:r>
                </w:p>
              </w:tc>
              <w:tc>
                <w:tcPr>
                  <w:tcW w:w="1301" w:type="dxa"/>
                  <w:vAlign w:val="center"/>
                </w:tcPr>
                <w:p w14:paraId="1538E6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韶关龙督装饰材料有限公司</w:t>
                  </w:r>
                </w:p>
              </w:tc>
              <w:tc>
                <w:tcPr>
                  <w:tcW w:w="372" w:type="dxa"/>
                  <w:vAlign w:val="center"/>
                </w:tcPr>
                <w:p w14:paraId="48A9EF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3B80B6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18E4B5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33812.1</w:t>
                  </w:r>
                </w:p>
              </w:tc>
              <w:tc>
                <w:tcPr>
                  <w:tcW w:w="2499" w:type="dxa"/>
                  <w:vAlign w:val="center"/>
                </w:tcPr>
                <w:p w14:paraId="0267B5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年产彩涂铝卷 400 万平方米，铝幕墙板、铝天花板 100 万平</w:t>
                  </w:r>
                </w:p>
                <w:p w14:paraId="10651A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方米</w:t>
                  </w:r>
                </w:p>
              </w:tc>
              <w:tc>
                <w:tcPr>
                  <w:tcW w:w="1897" w:type="dxa"/>
                  <w:vAlign w:val="center"/>
                </w:tcPr>
                <w:p w14:paraId="1DCC19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"bookmark238"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2018</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]50 号</w:t>
                  </w:r>
                </w:p>
              </w:tc>
            </w:tr>
            <w:tr w14:paraId="3B247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24213A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38</w:t>
                  </w:r>
                </w:p>
              </w:tc>
              <w:tc>
                <w:tcPr>
                  <w:tcW w:w="1301" w:type="dxa"/>
                  <w:vAlign w:val="center"/>
                </w:tcPr>
                <w:p w14:paraId="1BEF72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乐昌市胜兴新材料有限公司</w:t>
                  </w:r>
                </w:p>
              </w:tc>
              <w:tc>
                <w:tcPr>
                  <w:tcW w:w="372" w:type="dxa"/>
                  <w:vAlign w:val="center"/>
                </w:tcPr>
                <w:p w14:paraId="52ADE4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18952C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纺织业</w:t>
                  </w:r>
                </w:p>
              </w:tc>
              <w:tc>
                <w:tcPr>
                  <w:tcW w:w="904" w:type="dxa"/>
                  <w:vAlign w:val="center"/>
                </w:tcPr>
                <w:p w14:paraId="1989A9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5760</w:t>
                  </w:r>
                </w:p>
              </w:tc>
              <w:tc>
                <w:tcPr>
                  <w:tcW w:w="2499" w:type="dxa"/>
                  <w:vAlign w:val="center"/>
                </w:tcPr>
                <w:p w14:paraId="2F12D1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年产衬布 6000 万米</w:t>
                  </w:r>
                </w:p>
              </w:tc>
              <w:tc>
                <w:tcPr>
                  <w:tcW w:w="1897" w:type="dxa"/>
                  <w:vAlign w:val="center"/>
                </w:tcPr>
                <w:p w14:paraId="76F04F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"bookmark239"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2023</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 18 号</w:t>
                  </w:r>
                </w:p>
              </w:tc>
            </w:tr>
            <w:tr w14:paraId="132B6C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73A278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39</w:t>
                  </w:r>
                </w:p>
              </w:tc>
              <w:tc>
                <w:tcPr>
                  <w:tcW w:w="1301" w:type="dxa"/>
                  <w:vAlign w:val="center"/>
                </w:tcPr>
                <w:p w14:paraId="38450A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乐昌市鸿鑫机械设备有限公</w:t>
                  </w:r>
                </w:p>
                <w:p w14:paraId="7F947D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3175C6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626B68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通用设备制造业</w:t>
                  </w:r>
                </w:p>
              </w:tc>
              <w:tc>
                <w:tcPr>
                  <w:tcW w:w="904" w:type="dxa"/>
                  <w:vAlign w:val="center"/>
                </w:tcPr>
                <w:p w14:paraId="5E9B63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700</w:t>
                  </w:r>
                </w:p>
              </w:tc>
              <w:tc>
                <w:tcPr>
                  <w:tcW w:w="2499" w:type="dxa"/>
                  <w:vAlign w:val="center"/>
                </w:tcPr>
                <w:p w14:paraId="6FAAC6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年产液压元件 1000 套</w:t>
                  </w:r>
                </w:p>
              </w:tc>
              <w:tc>
                <w:tcPr>
                  <w:tcW w:w="1897" w:type="dxa"/>
                  <w:vAlign w:val="center"/>
                </w:tcPr>
                <w:p w14:paraId="111C59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乐环审〔2019〕38 号</w:t>
                  </w:r>
                </w:p>
              </w:tc>
            </w:tr>
            <w:tr w14:paraId="4A638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0060BB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40</w:t>
                  </w:r>
                </w:p>
              </w:tc>
              <w:tc>
                <w:tcPr>
                  <w:tcW w:w="1301" w:type="dxa"/>
                  <w:vAlign w:val="center"/>
                </w:tcPr>
                <w:p w14:paraId="7AF390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广东柏创智能装备有限公司</w:t>
                  </w:r>
                </w:p>
              </w:tc>
              <w:tc>
                <w:tcPr>
                  <w:tcW w:w="372" w:type="dxa"/>
                  <w:vAlign w:val="center"/>
                </w:tcPr>
                <w:p w14:paraId="5E3D4A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44A0DA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电气机械和器材制造业</w:t>
                  </w:r>
                </w:p>
              </w:tc>
              <w:tc>
                <w:tcPr>
                  <w:tcW w:w="904" w:type="dxa"/>
                  <w:vAlign w:val="center"/>
                </w:tcPr>
                <w:p w14:paraId="679022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23334.5</w:t>
                  </w:r>
                </w:p>
              </w:tc>
              <w:tc>
                <w:tcPr>
                  <w:tcW w:w="2499" w:type="dxa"/>
                  <w:vAlign w:val="center"/>
                </w:tcPr>
                <w:p w14:paraId="576938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年产单晶炉热交换器 1.2 万套、腔体部件 200 套、晶棒相关</w:t>
                  </w:r>
                </w:p>
                <w:p w14:paraId="1AF956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自动化设备 200 套</w:t>
                  </w:r>
                </w:p>
              </w:tc>
              <w:tc>
                <w:tcPr>
                  <w:tcW w:w="1897" w:type="dxa"/>
                  <w:vAlign w:val="center"/>
                </w:tcPr>
                <w:p w14:paraId="119B54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韶环乐审〔2023〕33 号</w:t>
                  </w:r>
                </w:p>
              </w:tc>
            </w:tr>
            <w:tr w14:paraId="4BAA0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71C373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41</w:t>
                  </w:r>
                </w:p>
              </w:tc>
              <w:tc>
                <w:tcPr>
                  <w:tcW w:w="1301" w:type="dxa"/>
                  <w:vAlign w:val="center"/>
                </w:tcPr>
                <w:p w14:paraId="7FB62F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广东中衡能源设备有限公司</w:t>
                  </w:r>
                </w:p>
              </w:tc>
              <w:tc>
                <w:tcPr>
                  <w:tcW w:w="372" w:type="dxa"/>
                  <w:vAlign w:val="center"/>
                </w:tcPr>
                <w:p w14:paraId="59DB84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2F8B71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354C55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13940.57</w:t>
                  </w:r>
                </w:p>
              </w:tc>
              <w:tc>
                <w:tcPr>
                  <w:tcW w:w="2499" w:type="dxa"/>
                  <w:vAlign w:val="center"/>
                </w:tcPr>
                <w:p w14:paraId="0D477A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年产移动通信基站设备 3 万套、移动通信机柜 2 万套</w:t>
                  </w:r>
                </w:p>
              </w:tc>
              <w:tc>
                <w:tcPr>
                  <w:tcW w:w="1897" w:type="dxa"/>
                  <w:vAlign w:val="center"/>
                </w:tcPr>
                <w:p w14:paraId="5EB734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韶环乐审〔2022〕12 号</w:t>
                  </w:r>
                </w:p>
              </w:tc>
            </w:tr>
            <w:tr w14:paraId="5A384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4" w:hRule="atLeast"/>
                <w:jc w:val="center"/>
              </w:trPr>
              <w:tc>
                <w:tcPr>
                  <w:tcW w:w="330" w:type="dxa"/>
                  <w:vAlign w:val="center"/>
                </w:tcPr>
                <w:p w14:paraId="01E570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42</w:t>
                  </w:r>
                </w:p>
              </w:tc>
              <w:tc>
                <w:tcPr>
                  <w:tcW w:w="1301" w:type="dxa"/>
                  <w:vAlign w:val="center"/>
                </w:tcPr>
                <w:p w14:paraId="697E88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韶关欧亚特电子制品有限公</w:t>
                  </w:r>
                </w:p>
                <w:p w14:paraId="7D6F95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42E790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3139AB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计算机、通信和其</w:t>
                  </w:r>
                </w:p>
                <w:p w14:paraId="0ED820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他电子设备制造</w:t>
                  </w:r>
                </w:p>
                <w:p w14:paraId="2F3EEC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业、电气机械和器</w:t>
                  </w:r>
                </w:p>
                <w:p w14:paraId="599D4A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材制造业、橡胶和</w:t>
                  </w:r>
                </w:p>
                <w:p w14:paraId="78BD87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塑料制品业</w:t>
                  </w:r>
                </w:p>
              </w:tc>
              <w:tc>
                <w:tcPr>
                  <w:tcW w:w="904" w:type="dxa"/>
                  <w:vAlign w:val="center"/>
                </w:tcPr>
                <w:p w14:paraId="7B3BAE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18664</w:t>
                  </w:r>
                </w:p>
              </w:tc>
              <w:tc>
                <w:tcPr>
                  <w:tcW w:w="2499" w:type="dxa"/>
                  <w:vAlign w:val="center"/>
                </w:tcPr>
                <w:p w14:paraId="35B12B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 1000 万支热熔胶枪及 1000 万根插头线、3000 万条热熔</w:t>
                  </w:r>
                </w:p>
                <w:p w14:paraId="56E3AA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胶条</w:t>
                  </w:r>
                </w:p>
              </w:tc>
              <w:tc>
                <w:tcPr>
                  <w:tcW w:w="1897" w:type="dxa"/>
                  <w:vAlign w:val="center"/>
                </w:tcPr>
                <w:p w14:paraId="4CE9CE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乐环函[</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"bookmark240"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2011</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]79 号、乐环审</w:t>
                  </w:r>
                </w:p>
                <w:p w14:paraId="7A83F2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"bookmark241"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2018</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]09 号、乐环审[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"bookmark241"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2018</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]52 号、</w:t>
                  </w:r>
                </w:p>
                <w:p w14:paraId="72F7E5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乐环审〔2020〕05 号</w:t>
                  </w:r>
                </w:p>
              </w:tc>
            </w:tr>
            <w:tr w14:paraId="1FA901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609D5F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43</w:t>
                  </w:r>
                </w:p>
              </w:tc>
              <w:tc>
                <w:tcPr>
                  <w:tcW w:w="1301" w:type="dxa"/>
                  <w:vAlign w:val="center"/>
                </w:tcPr>
                <w:p w14:paraId="6FE3EF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德尔安科技（广东）有限公司</w:t>
                  </w:r>
                </w:p>
              </w:tc>
              <w:tc>
                <w:tcPr>
                  <w:tcW w:w="372" w:type="dxa"/>
                  <w:vAlign w:val="center"/>
                </w:tcPr>
                <w:p w14:paraId="7D0740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248EBC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专用设备制造业</w:t>
                  </w:r>
                </w:p>
              </w:tc>
              <w:tc>
                <w:tcPr>
                  <w:tcW w:w="904" w:type="dxa"/>
                  <w:vAlign w:val="center"/>
                </w:tcPr>
                <w:p w14:paraId="4E7D9C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27672.2</w:t>
                  </w:r>
                </w:p>
              </w:tc>
              <w:tc>
                <w:tcPr>
                  <w:tcW w:w="2499" w:type="dxa"/>
                  <w:vAlign w:val="center"/>
                </w:tcPr>
                <w:p w14:paraId="411527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年产过滤式消防自救呼吸器 400 万具，水基型灭火器 100 万具，催化剂 600 吨和水系灭火剂2400 吨等</w:t>
                  </w:r>
                </w:p>
              </w:tc>
              <w:tc>
                <w:tcPr>
                  <w:tcW w:w="1897" w:type="dxa"/>
                  <w:vAlign w:val="center"/>
                </w:tcPr>
                <w:p w14:paraId="0DCE8D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韶环乐审〔2021〕23 号</w:t>
                  </w:r>
                </w:p>
              </w:tc>
            </w:tr>
            <w:tr w14:paraId="56011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001B6F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44</w:t>
                  </w:r>
                </w:p>
              </w:tc>
              <w:tc>
                <w:tcPr>
                  <w:tcW w:w="1301" w:type="dxa"/>
                  <w:vAlign w:val="center"/>
                </w:tcPr>
                <w:p w14:paraId="5BD1B5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广东东田实业有限公司</w:t>
                  </w:r>
                </w:p>
              </w:tc>
              <w:tc>
                <w:tcPr>
                  <w:tcW w:w="372" w:type="dxa"/>
                  <w:vAlign w:val="center"/>
                </w:tcPr>
                <w:p w14:paraId="2810D3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4B19B3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电气机械和器材制造业</w:t>
                  </w:r>
                </w:p>
              </w:tc>
              <w:tc>
                <w:tcPr>
                  <w:tcW w:w="904" w:type="dxa"/>
                  <w:vAlign w:val="center"/>
                </w:tcPr>
                <w:p w14:paraId="4A2EEE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1557.48</w:t>
                  </w:r>
                </w:p>
              </w:tc>
              <w:tc>
                <w:tcPr>
                  <w:tcW w:w="2499" w:type="dxa"/>
                  <w:vAlign w:val="center"/>
                </w:tcPr>
                <w:p w14:paraId="45A6A5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年产移动通信基站电源钣金件 5 万套</w:t>
                  </w:r>
                </w:p>
              </w:tc>
              <w:tc>
                <w:tcPr>
                  <w:tcW w:w="1897" w:type="dxa"/>
                  <w:vAlign w:val="center"/>
                </w:tcPr>
                <w:p w14:paraId="6E5A0E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乐环审〔2020〕27 号</w:t>
                  </w:r>
                </w:p>
              </w:tc>
            </w:tr>
            <w:tr w14:paraId="344C1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30" w:type="dxa"/>
                  <w:vAlign w:val="center"/>
                </w:tcPr>
                <w:p w14:paraId="525BE6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45</w:t>
                  </w:r>
                </w:p>
              </w:tc>
              <w:tc>
                <w:tcPr>
                  <w:tcW w:w="1301" w:type="dxa"/>
                  <w:vAlign w:val="center"/>
                </w:tcPr>
                <w:p w14:paraId="672EBE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广东弘德宝厨具有限公司</w:t>
                  </w:r>
                </w:p>
              </w:tc>
              <w:tc>
                <w:tcPr>
                  <w:tcW w:w="372" w:type="dxa"/>
                  <w:vAlign w:val="center"/>
                </w:tcPr>
                <w:p w14:paraId="08F3E2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548E3B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5634C5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26640</w:t>
                  </w:r>
                </w:p>
              </w:tc>
              <w:tc>
                <w:tcPr>
                  <w:tcW w:w="2499" w:type="dxa"/>
                  <w:vAlign w:val="center"/>
                </w:tcPr>
                <w:p w14:paraId="260CBE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年产铸铁厨房用具 2.5 万吨</w:t>
                  </w:r>
                </w:p>
              </w:tc>
              <w:tc>
                <w:tcPr>
                  <w:tcW w:w="1897" w:type="dxa"/>
                  <w:vAlign w:val="center"/>
                </w:tcPr>
                <w:p w14:paraId="503B1E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韶环乐审〔2022〕18 号</w:t>
                  </w:r>
                </w:p>
              </w:tc>
            </w:tr>
            <w:tr w14:paraId="6AE51B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330" w:type="dxa"/>
                  <w:vAlign w:val="center"/>
                </w:tcPr>
                <w:p w14:paraId="41DD6C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46</w:t>
                  </w:r>
                </w:p>
              </w:tc>
              <w:tc>
                <w:tcPr>
                  <w:tcW w:w="1301" w:type="dxa"/>
                  <w:vAlign w:val="center"/>
                </w:tcPr>
                <w:p w14:paraId="0C49A7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冠荣科技（韶关）有限公司</w:t>
                  </w:r>
                </w:p>
              </w:tc>
              <w:tc>
                <w:tcPr>
                  <w:tcW w:w="372" w:type="dxa"/>
                  <w:vAlign w:val="center"/>
                </w:tcPr>
                <w:p w14:paraId="6248F8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37856B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橡胶和塑料制品</w:t>
                  </w:r>
                </w:p>
                <w:p w14:paraId="0E0D85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业、印刷和记录媒</w:t>
                  </w:r>
                </w:p>
                <w:p w14:paraId="6B66FE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介复制业</w:t>
                  </w:r>
                </w:p>
              </w:tc>
              <w:tc>
                <w:tcPr>
                  <w:tcW w:w="904" w:type="dxa"/>
                  <w:vAlign w:val="center"/>
                </w:tcPr>
                <w:p w14:paraId="212C6F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23334.5</w:t>
                  </w:r>
                </w:p>
              </w:tc>
              <w:tc>
                <w:tcPr>
                  <w:tcW w:w="2499" w:type="dxa"/>
                  <w:vAlign w:val="center"/>
                </w:tcPr>
                <w:p w14:paraId="3251F0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年产商标 18000 万个、TPU 材料和硅胶材料 50 万平方米</w:t>
                  </w:r>
                </w:p>
              </w:tc>
              <w:tc>
                <w:tcPr>
                  <w:tcW w:w="1897" w:type="dxa"/>
                  <w:vAlign w:val="center"/>
                </w:tcPr>
                <w:p w14:paraId="6023DC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韶环乐审〔2023〕07 号</w:t>
                  </w:r>
                </w:p>
              </w:tc>
            </w:tr>
            <w:tr w14:paraId="68054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330" w:type="dxa"/>
                  <w:vAlign w:val="center"/>
                </w:tcPr>
                <w:p w14:paraId="54CCAD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47</w:t>
                  </w:r>
                </w:p>
              </w:tc>
              <w:tc>
                <w:tcPr>
                  <w:tcW w:w="1301" w:type="dxa"/>
                  <w:vAlign w:val="center"/>
                </w:tcPr>
                <w:p w14:paraId="683890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添亿包装（广东）有限公司</w:t>
                  </w:r>
                </w:p>
              </w:tc>
              <w:tc>
                <w:tcPr>
                  <w:tcW w:w="372" w:type="dxa"/>
                  <w:vAlign w:val="center"/>
                </w:tcPr>
                <w:p w14:paraId="7F41E9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3C178E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纸制品制造</w:t>
                  </w:r>
                </w:p>
              </w:tc>
              <w:tc>
                <w:tcPr>
                  <w:tcW w:w="904" w:type="dxa"/>
                  <w:vAlign w:val="center"/>
                </w:tcPr>
                <w:p w14:paraId="4E85A4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16564.72</w:t>
                  </w:r>
                </w:p>
              </w:tc>
              <w:tc>
                <w:tcPr>
                  <w:tcW w:w="2499" w:type="dxa"/>
                  <w:vAlign w:val="center"/>
                </w:tcPr>
                <w:p w14:paraId="3428EF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年产彩盒 10 亿套</w:t>
                  </w:r>
                </w:p>
              </w:tc>
              <w:tc>
                <w:tcPr>
                  <w:tcW w:w="1897" w:type="dxa"/>
                  <w:vAlign w:val="center"/>
                </w:tcPr>
                <w:p w14:paraId="1EE186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韶环乐审〔2021〕24 号</w:t>
                  </w:r>
                </w:p>
              </w:tc>
            </w:tr>
            <w:tr w14:paraId="4E414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30" w:type="dxa"/>
                  <w:vAlign w:val="center"/>
                </w:tcPr>
                <w:p w14:paraId="0E5D2D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48</w:t>
                  </w:r>
                </w:p>
              </w:tc>
              <w:tc>
                <w:tcPr>
                  <w:tcW w:w="1301" w:type="dxa"/>
                  <w:vAlign w:val="center"/>
                </w:tcPr>
                <w:p w14:paraId="458A8F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广东光宝微电子有限公司</w:t>
                  </w:r>
                </w:p>
              </w:tc>
              <w:tc>
                <w:tcPr>
                  <w:tcW w:w="372" w:type="dxa"/>
                  <w:vAlign w:val="center"/>
                </w:tcPr>
                <w:p w14:paraId="65B750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68C7A8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计算机、通信和其他电子设备制造业</w:t>
                  </w:r>
                </w:p>
              </w:tc>
              <w:tc>
                <w:tcPr>
                  <w:tcW w:w="904" w:type="dxa"/>
                  <w:vAlign w:val="center"/>
                </w:tcPr>
                <w:p w14:paraId="75E9A05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3600</w:t>
                  </w:r>
                </w:p>
              </w:tc>
              <w:tc>
                <w:tcPr>
                  <w:tcW w:w="2499" w:type="dxa"/>
                  <w:vAlign w:val="center"/>
                </w:tcPr>
                <w:p w14:paraId="1C0123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年产发光二极管 1.2 亿个、光电耦合器件 1500 万个</w:t>
                  </w:r>
                </w:p>
              </w:tc>
              <w:tc>
                <w:tcPr>
                  <w:tcW w:w="1897" w:type="dxa"/>
                  <w:vAlign w:val="center"/>
                </w:tcPr>
                <w:p w14:paraId="4A58F4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韶环乐审〔2024〕21 号</w:t>
                  </w:r>
                </w:p>
              </w:tc>
            </w:tr>
            <w:tr w14:paraId="6825B3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763872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49</w:t>
                  </w:r>
                </w:p>
              </w:tc>
              <w:tc>
                <w:tcPr>
                  <w:tcW w:w="1301" w:type="dxa"/>
                  <w:vAlign w:val="center"/>
                </w:tcPr>
                <w:p w14:paraId="5709B1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韶关博鑫工程服务有限公司</w:t>
                  </w:r>
                </w:p>
              </w:tc>
              <w:tc>
                <w:tcPr>
                  <w:tcW w:w="372" w:type="dxa"/>
                  <w:vAlign w:val="center"/>
                </w:tcPr>
                <w:p w14:paraId="4D9953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395D44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27F2F8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51544.6</w:t>
                  </w:r>
                </w:p>
              </w:tc>
              <w:tc>
                <w:tcPr>
                  <w:tcW w:w="2499" w:type="dxa"/>
                  <w:vAlign w:val="center"/>
                </w:tcPr>
                <w:p w14:paraId="397DF6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年产铝合金模板 20 万立方米、翻新铝合金模板20 万立方米、</w:t>
                  </w:r>
                </w:p>
                <w:p w14:paraId="6C6931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翻新背楞 2000 吨、其他配套产品 3000 吨</w:t>
                  </w:r>
                </w:p>
              </w:tc>
              <w:tc>
                <w:tcPr>
                  <w:tcW w:w="1897" w:type="dxa"/>
                  <w:vAlign w:val="center"/>
                </w:tcPr>
                <w:p w14:paraId="79412E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韶环乐审〔2024〕34 号</w:t>
                  </w:r>
                </w:p>
              </w:tc>
            </w:tr>
            <w:tr w14:paraId="17C26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419D82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50</w:t>
                  </w:r>
                </w:p>
              </w:tc>
              <w:tc>
                <w:tcPr>
                  <w:tcW w:w="1301" w:type="dxa"/>
                  <w:vAlign w:val="center"/>
                </w:tcPr>
                <w:p w14:paraId="26D97D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乐昌市安顺达管道天然气有</w:t>
                  </w:r>
                </w:p>
                <w:p w14:paraId="5721CB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限公司</w:t>
                  </w:r>
                </w:p>
              </w:tc>
              <w:tc>
                <w:tcPr>
                  <w:tcW w:w="372" w:type="dxa"/>
                  <w:vAlign w:val="center"/>
                </w:tcPr>
                <w:p w14:paraId="38EBA4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09F0E7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燃气生产和供应业</w:t>
                  </w:r>
                </w:p>
              </w:tc>
              <w:tc>
                <w:tcPr>
                  <w:tcW w:w="904" w:type="dxa"/>
                  <w:vAlign w:val="center"/>
                </w:tcPr>
                <w:p w14:paraId="660C62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20080</w:t>
                  </w:r>
                </w:p>
              </w:tc>
              <w:tc>
                <w:tcPr>
                  <w:tcW w:w="2499" w:type="dxa"/>
                  <w:vAlign w:val="center"/>
                </w:tcPr>
                <w:p w14:paraId="74EB805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日供气量约 15 万立方</w:t>
                  </w:r>
                </w:p>
              </w:tc>
              <w:tc>
                <w:tcPr>
                  <w:tcW w:w="1897" w:type="dxa"/>
                  <w:vAlign w:val="center"/>
                </w:tcPr>
                <w:p w14:paraId="3BE06D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乐环函[</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"bookmark242"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2012</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]53 号</w:t>
                  </w:r>
                </w:p>
              </w:tc>
            </w:tr>
            <w:tr w14:paraId="5776EB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327BE5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51</w:t>
                  </w:r>
                </w:p>
              </w:tc>
              <w:tc>
                <w:tcPr>
                  <w:tcW w:w="1301" w:type="dxa"/>
                  <w:vAlign w:val="center"/>
                </w:tcPr>
                <w:p w14:paraId="06CEAC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广东利生源生物饲料有限公</w:t>
                  </w:r>
                </w:p>
                <w:p w14:paraId="0A5907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0D59BC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2546FE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农副食品加工业</w:t>
                  </w:r>
                </w:p>
              </w:tc>
              <w:tc>
                <w:tcPr>
                  <w:tcW w:w="904" w:type="dxa"/>
                  <w:vAlign w:val="center"/>
                </w:tcPr>
                <w:p w14:paraId="1EE531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10770</w:t>
                  </w:r>
                </w:p>
              </w:tc>
              <w:tc>
                <w:tcPr>
                  <w:tcW w:w="2499" w:type="dxa"/>
                  <w:vAlign w:val="center"/>
                </w:tcPr>
                <w:p w14:paraId="60A681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年产优能乳 10800 吨、利生宝 3000 吨</w:t>
                  </w:r>
                </w:p>
              </w:tc>
              <w:tc>
                <w:tcPr>
                  <w:tcW w:w="1897" w:type="dxa"/>
                  <w:vAlign w:val="center"/>
                </w:tcPr>
                <w:p w14:paraId="388700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乐环函[</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"bookmark243"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2011</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 103 号</w:t>
                  </w:r>
                </w:p>
              </w:tc>
            </w:tr>
            <w:tr w14:paraId="6FBAC8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330" w:type="dxa"/>
                  <w:vAlign w:val="center"/>
                </w:tcPr>
                <w:p w14:paraId="5D5FF7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52</w:t>
                  </w:r>
                </w:p>
              </w:tc>
              <w:tc>
                <w:tcPr>
                  <w:tcW w:w="1301" w:type="dxa"/>
                  <w:vAlign w:val="center"/>
                </w:tcPr>
                <w:p w14:paraId="50257E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乐昌市自来水有限公司</w:t>
                  </w:r>
                </w:p>
              </w:tc>
              <w:tc>
                <w:tcPr>
                  <w:tcW w:w="372" w:type="dxa"/>
                  <w:vAlign w:val="center"/>
                </w:tcPr>
                <w:p w14:paraId="05422F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3965C6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自来水生产和供应业</w:t>
                  </w:r>
                </w:p>
              </w:tc>
              <w:tc>
                <w:tcPr>
                  <w:tcW w:w="904" w:type="dxa"/>
                  <w:vAlign w:val="center"/>
                </w:tcPr>
                <w:p w14:paraId="5EF1B6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9303.8</w:t>
                  </w:r>
                </w:p>
              </w:tc>
              <w:tc>
                <w:tcPr>
                  <w:tcW w:w="2499" w:type="dxa"/>
                  <w:vAlign w:val="center"/>
                </w:tcPr>
                <w:p w14:paraId="0EC1535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加压泵站建设，供应水量 5000 立方</w:t>
                  </w:r>
                </w:p>
              </w:tc>
              <w:tc>
                <w:tcPr>
                  <w:tcW w:w="1897" w:type="dxa"/>
                  <w:vAlign w:val="center"/>
                </w:tcPr>
                <w:p w14:paraId="5B0922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乐环函[</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"bookmark244"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2012</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 103 号</w:t>
                  </w:r>
                </w:p>
              </w:tc>
            </w:tr>
            <w:tr w14:paraId="1F5C63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62B881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53</w:t>
                  </w:r>
                </w:p>
              </w:tc>
              <w:tc>
                <w:tcPr>
                  <w:tcW w:w="1301" w:type="dxa"/>
                  <w:vAlign w:val="center"/>
                </w:tcPr>
                <w:p w14:paraId="70A31F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东莞东坑（乐昌）产业转移园</w:t>
                  </w:r>
                </w:p>
                <w:p w14:paraId="1808A0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污水处理厂</w:t>
                  </w:r>
                </w:p>
              </w:tc>
              <w:tc>
                <w:tcPr>
                  <w:tcW w:w="372" w:type="dxa"/>
                  <w:vAlign w:val="center"/>
                </w:tcPr>
                <w:p w14:paraId="17F985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189D2B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污水处理及其再生利用业</w:t>
                  </w:r>
                </w:p>
              </w:tc>
              <w:tc>
                <w:tcPr>
                  <w:tcW w:w="904" w:type="dxa"/>
                  <w:vAlign w:val="center"/>
                </w:tcPr>
                <w:p w14:paraId="0997F5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15400</w:t>
                  </w:r>
                </w:p>
              </w:tc>
              <w:tc>
                <w:tcPr>
                  <w:tcW w:w="2499" w:type="dxa"/>
                  <w:vAlign w:val="center"/>
                </w:tcPr>
                <w:p w14:paraId="287ACA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处理水量 10000 立方米/d</w:t>
                  </w:r>
                </w:p>
              </w:tc>
              <w:tc>
                <w:tcPr>
                  <w:tcW w:w="1897" w:type="dxa"/>
                  <w:vAlign w:val="center"/>
                </w:tcPr>
                <w:p w14:paraId="5DB9C9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乐环函[</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"bookmark245"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2010</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 107 号</w:t>
                  </w:r>
                </w:p>
              </w:tc>
            </w:tr>
            <w:tr w14:paraId="6A1FA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30" w:type="dxa"/>
                  <w:vAlign w:val="center"/>
                </w:tcPr>
                <w:p w14:paraId="345075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54</w:t>
                  </w:r>
                </w:p>
              </w:tc>
              <w:tc>
                <w:tcPr>
                  <w:tcW w:w="1301" w:type="dxa"/>
                  <w:vAlign w:val="center"/>
                </w:tcPr>
                <w:p w14:paraId="2B877B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乐昌市玉煌科技有限公司</w:t>
                  </w:r>
                </w:p>
              </w:tc>
              <w:tc>
                <w:tcPr>
                  <w:tcW w:w="372" w:type="dxa"/>
                  <w:vAlign w:val="center"/>
                </w:tcPr>
                <w:p w14:paraId="43B2CA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209A23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29C34D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15291.1</w:t>
                  </w:r>
                </w:p>
              </w:tc>
              <w:tc>
                <w:tcPr>
                  <w:tcW w:w="2499" w:type="dxa"/>
                  <w:vAlign w:val="center"/>
                </w:tcPr>
                <w:p w14:paraId="36FAC7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年产螺丝紧固件 2000 吨</w:t>
                  </w:r>
                </w:p>
              </w:tc>
              <w:tc>
                <w:tcPr>
                  <w:tcW w:w="1897" w:type="dxa"/>
                  <w:vAlign w:val="center"/>
                </w:tcPr>
                <w:p w14:paraId="77F9CF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"bookmark246"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2018</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]54 号</w:t>
                  </w:r>
                </w:p>
              </w:tc>
            </w:tr>
            <w:tr w14:paraId="34B5B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330" w:type="dxa"/>
                  <w:vAlign w:val="center"/>
                </w:tcPr>
                <w:p w14:paraId="2B396B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55</w:t>
                  </w:r>
                </w:p>
              </w:tc>
              <w:tc>
                <w:tcPr>
                  <w:tcW w:w="1301" w:type="dxa"/>
                  <w:vAlign w:val="center"/>
                </w:tcPr>
                <w:p w14:paraId="354204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广东科优精密机械制造有限</w:t>
                  </w:r>
                </w:p>
                <w:p w14:paraId="393B535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公司</w:t>
                  </w:r>
                </w:p>
              </w:tc>
              <w:tc>
                <w:tcPr>
                  <w:tcW w:w="372" w:type="dxa"/>
                  <w:vAlign w:val="center"/>
                </w:tcPr>
                <w:p w14:paraId="2671A4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717DD7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通用设备制造业</w:t>
                  </w:r>
                </w:p>
              </w:tc>
              <w:tc>
                <w:tcPr>
                  <w:tcW w:w="904" w:type="dxa"/>
                  <w:vAlign w:val="center"/>
                </w:tcPr>
                <w:p w14:paraId="2CF25A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12528.8</w:t>
                  </w:r>
                </w:p>
              </w:tc>
              <w:tc>
                <w:tcPr>
                  <w:tcW w:w="2499" w:type="dxa"/>
                  <w:vAlign w:val="center"/>
                </w:tcPr>
                <w:p w14:paraId="2FCE6B2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年产电磁阀用汇流板 5000 吨、精抽加工铝制品 400 吨，表面</w:t>
                  </w:r>
                </w:p>
                <w:p w14:paraId="281421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处理汇流板产品 1800 吨</w:t>
                  </w:r>
                </w:p>
              </w:tc>
              <w:tc>
                <w:tcPr>
                  <w:tcW w:w="1897" w:type="dxa"/>
                  <w:vAlign w:val="center"/>
                </w:tcPr>
                <w:p w14:paraId="61F8CB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"bookmark247"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2017</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]03 号、乐环审</w:t>
                  </w:r>
                </w:p>
                <w:p w14:paraId="06C812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"bookmark248"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2018</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]24 号、韶环乐审〔2024〕04</w:t>
                  </w:r>
                </w:p>
                <w:p w14:paraId="67E132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号</w:t>
                  </w:r>
                </w:p>
              </w:tc>
            </w:tr>
            <w:tr w14:paraId="2FA03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29B461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56</w:t>
                  </w:r>
                </w:p>
              </w:tc>
              <w:tc>
                <w:tcPr>
                  <w:tcW w:w="1301" w:type="dxa"/>
                  <w:vAlign w:val="center"/>
                </w:tcPr>
                <w:p w14:paraId="59DF81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广东中博交通环保设备有限</w:t>
                  </w:r>
                </w:p>
                <w:p w14:paraId="724A3E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公司</w:t>
                  </w:r>
                </w:p>
              </w:tc>
              <w:tc>
                <w:tcPr>
                  <w:tcW w:w="372" w:type="dxa"/>
                  <w:vAlign w:val="center"/>
                </w:tcPr>
                <w:p w14:paraId="192C6A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756CE8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专用设备制造业</w:t>
                  </w:r>
                </w:p>
              </w:tc>
              <w:tc>
                <w:tcPr>
                  <w:tcW w:w="904" w:type="dxa"/>
                  <w:vAlign w:val="center"/>
                </w:tcPr>
                <w:p w14:paraId="1F9FEC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20059.4</w:t>
                  </w:r>
                </w:p>
              </w:tc>
              <w:tc>
                <w:tcPr>
                  <w:tcW w:w="2499" w:type="dxa"/>
                  <w:vAlign w:val="center"/>
                </w:tcPr>
                <w:p w14:paraId="1CB241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年加工生产交通环保材料 50 万件</w:t>
                  </w:r>
                </w:p>
              </w:tc>
              <w:tc>
                <w:tcPr>
                  <w:tcW w:w="1897" w:type="dxa"/>
                  <w:vAlign w:val="center"/>
                </w:tcPr>
                <w:p w14:paraId="1DD5EB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"bookmark249"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2017</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]59 号</w:t>
                  </w:r>
                </w:p>
              </w:tc>
            </w:tr>
            <w:tr w14:paraId="419C5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6DEF1D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57</w:t>
                  </w:r>
                </w:p>
              </w:tc>
              <w:tc>
                <w:tcPr>
                  <w:tcW w:w="1301" w:type="dxa"/>
                  <w:vAlign w:val="center"/>
                </w:tcPr>
                <w:p w14:paraId="2DDB1F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乐昌欧典高分子装饰材料有</w:t>
                  </w:r>
                </w:p>
                <w:p w14:paraId="0FDB7B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限公司</w:t>
                  </w:r>
                </w:p>
              </w:tc>
              <w:tc>
                <w:tcPr>
                  <w:tcW w:w="372" w:type="dxa"/>
                  <w:vAlign w:val="center"/>
                </w:tcPr>
                <w:p w14:paraId="291F38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3A4437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橡胶和塑料制品业</w:t>
                  </w:r>
                </w:p>
              </w:tc>
              <w:tc>
                <w:tcPr>
                  <w:tcW w:w="904" w:type="dxa"/>
                  <w:vAlign w:val="center"/>
                </w:tcPr>
                <w:p w14:paraId="4F9AB1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8631.1</w:t>
                  </w:r>
                </w:p>
              </w:tc>
              <w:tc>
                <w:tcPr>
                  <w:tcW w:w="2499" w:type="dxa"/>
                  <w:vAlign w:val="center"/>
                </w:tcPr>
                <w:p w14:paraId="754598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 PVC 墙板 300 万平方、PVC 墙板配套线条约 200 万米</w:t>
                  </w:r>
                </w:p>
              </w:tc>
              <w:tc>
                <w:tcPr>
                  <w:tcW w:w="1897" w:type="dxa"/>
                  <w:vAlign w:val="center"/>
                </w:tcPr>
                <w:p w14:paraId="4F805D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"bookmark250"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2019</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]68 号</w:t>
                  </w:r>
                </w:p>
              </w:tc>
            </w:tr>
            <w:tr w14:paraId="057B9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jc w:val="center"/>
              </w:trPr>
              <w:tc>
                <w:tcPr>
                  <w:tcW w:w="330" w:type="dxa"/>
                  <w:vAlign w:val="center"/>
                </w:tcPr>
                <w:p w14:paraId="6E7939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p>
                <w:p w14:paraId="7BE701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58</w:t>
                  </w:r>
                </w:p>
              </w:tc>
              <w:tc>
                <w:tcPr>
                  <w:tcW w:w="1301" w:type="dxa"/>
                  <w:vAlign w:val="center"/>
                </w:tcPr>
                <w:p w14:paraId="43E0EF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韶关豪立再生资源利用有限</w:t>
                  </w:r>
                </w:p>
                <w:p w14:paraId="1B7CE0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公司</w:t>
                  </w:r>
                </w:p>
              </w:tc>
              <w:tc>
                <w:tcPr>
                  <w:tcW w:w="372" w:type="dxa"/>
                  <w:vAlign w:val="center"/>
                </w:tcPr>
                <w:p w14:paraId="0F4DA2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066A56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非金属矿物制品业</w:t>
                  </w:r>
                </w:p>
              </w:tc>
              <w:tc>
                <w:tcPr>
                  <w:tcW w:w="904" w:type="dxa"/>
                  <w:vAlign w:val="center"/>
                </w:tcPr>
                <w:p w14:paraId="6E8007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17646</w:t>
                  </w:r>
                </w:p>
              </w:tc>
              <w:tc>
                <w:tcPr>
                  <w:tcW w:w="2499" w:type="dxa"/>
                  <w:vAlign w:val="center"/>
                </w:tcPr>
                <w:p w14:paraId="7CD3BC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年处理废金属 79760 吨、废纸 5982 吨、拆解设备 2000 台，</w:t>
                  </w:r>
                </w:p>
                <w:p w14:paraId="2D50D4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年产再生玻璃 11.4 万吨、玻璃纤维 3 万吨、玻璃纤维增强塑</w:t>
                  </w:r>
                </w:p>
                <w:p w14:paraId="0023F3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料制品 7200 吨</w:t>
                  </w:r>
                </w:p>
              </w:tc>
              <w:tc>
                <w:tcPr>
                  <w:tcW w:w="1897" w:type="dxa"/>
                  <w:vAlign w:val="center"/>
                </w:tcPr>
                <w:p w14:paraId="7E040C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"bookmark251"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2017</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]69 号、韶环乐审</w:t>
                  </w:r>
                </w:p>
                <w:p w14:paraId="0F780B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〔2021〕06 号、韶环乐审〔2023〕</w:t>
                  </w:r>
                </w:p>
                <w:p w14:paraId="6BAE03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23 号</w:t>
                  </w:r>
                </w:p>
              </w:tc>
            </w:tr>
            <w:tr w14:paraId="5FE3F0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6E1863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59</w:t>
                  </w:r>
                </w:p>
              </w:tc>
              <w:tc>
                <w:tcPr>
                  <w:tcW w:w="1301" w:type="dxa"/>
                  <w:vAlign w:val="center"/>
                </w:tcPr>
                <w:p w14:paraId="32F84A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乐昌市优泰德电器有限公司</w:t>
                  </w:r>
                </w:p>
                <w:p w14:paraId="047409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（创业就业基地）</w:t>
                  </w:r>
                </w:p>
              </w:tc>
              <w:tc>
                <w:tcPr>
                  <w:tcW w:w="372" w:type="dxa"/>
                  <w:vAlign w:val="center"/>
                </w:tcPr>
                <w:p w14:paraId="344956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736CED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橡胶和塑料制品业</w:t>
                  </w:r>
                </w:p>
              </w:tc>
              <w:tc>
                <w:tcPr>
                  <w:tcW w:w="904" w:type="dxa"/>
                  <w:vAlign w:val="center"/>
                </w:tcPr>
                <w:p w14:paraId="5071AB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3504</w:t>
                  </w:r>
                </w:p>
              </w:tc>
              <w:tc>
                <w:tcPr>
                  <w:tcW w:w="2499" w:type="dxa"/>
                  <w:vAlign w:val="center"/>
                </w:tcPr>
                <w:p w14:paraId="0490D9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年产塑料及五金制品 280 万件</w:t>
                  </w:r>
                </w:p>
              </w:tc>
              <w:tc>
                <w:tcPr>
                  <w:tcW w:w="1897" w:type="dxa"/>
                  <w:vAlign w:val="center"/>
                </w:tcPr>
                <w:p w14:paraId="49E32A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乐环审〔2019〕28 号</w:t>
                  </w:r>
                </w:p>
              </w:tc>
            </w:tr>
            <w:tr w14:paraId="1C449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3C248B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60</w:t>
                  </w:r>
                </w:p>
              </w:tc>
              <w:tc>
                <w:tcPr>
                  <w:tcW w:w="1301" w:type="dxa"/>
                  <w:vAlign w:val="center"/>
                </w:tcPr>
                <w:p w14:paraId="510BDA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乐昌市优泰德电器有限公司</w:t>
                  </w:r>
                </w:p>
                <w:p w14:paraId="11A086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(金玲三路）</w:t>
                  </w:r>
                </w:p>
              </w:tc>
              <w:tc>
                <w:tcPr>
                  <w:tcW w:w="372" w:type="dxa"/>
                  <w:vAlign w:val="center"/>
                </w:tcPr>
                <w:p w14:paraId="588AF4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69608B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专用设备制造业</w:t>
                  </w:r>
                </w:p>
              </w:tc>
              <w:tc>
                <w:tcPr>
                  <w:tcW w:w="904" w:type="dxa"/>
                  <w:vAlign w:val="center"/>
                </w:tcPr>
                <w:p w14:paraId="29DB47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15173</w:t>
                  </w:r>
                </w:p>
              </w:tc>
              <w:tc>
                <w:tcPr>
                  <w:tcW w:w="2499" w:type="dxa"/>
                  <w:vAlign w:val="center"/>
                </w:tcPr>
                <w:p w14:paraId="6DB014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年产家用小电器（电吹风、直发器、卷发器等）250 万台</w:t>
                  </w:r>
                </w:p>
              </w:tc>
              <w:tc>
                <w:tcPr>
                  <w:tcW w:w="1897" w:type="dxa"/>
                  <w:vAlign w:val="center"/>
                </w:tcPr>
                <w:p w14:paraId="368C2D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乐环审〔2019〕40 号</w:t>
                  </w:r>
                </w:p>
              </w:tc>
            </w:tr>
            <w:tr w14:paraId="10CE1E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707B54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61</w:t>
                  </w:r>
                </w:p>
              </w:tc>
              <w:tc>
                <w:tcPr>
                  <w:tcW w:w="1301" w:type="dxa"/>
                  <w:vAlign w:val="center"/>
                </w:tcPr>
                <w:p w14:paraId="713907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广东昊奕智能科技有限公司</w:t>
                  </w:r>
                </w:p>
              </w:tc>
              <w:tc>
                <w:tcPr>
                  <w:tcW w:w="372" w:type="dxa"/>
                  <w:vAlign w:val="center"/>
                </w:tcPr>
                <w:p w14:paraId="5F681A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063E26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1F7F7A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9533.38</w:t>
                  </w:r>
                </w:p>
              </w:tc>
              <w:tc>
                <w:tcPr>
                  <w:tcW w:w="2499" w:type="dxa"/>
                  <w:vAlign w:val="center"/>
                </w:tcPr>
                <w:p w14:paraId="1379D8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年产不锈钢线材 5000 吨</w:t>
                  </w:r>
                </w:p>
              </w:tc>
              <w:tc>
                <w:tcPr>
                  <w:tcW w:w="1897" w:type="dxa"/>
                  <w:vAlign w:val="center"/>
                </w:tcPr>
                <w:p w14:paraId="429A79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韶环乐审〔2023〕01 号</w:t>
                  </w:r>
                </w:p>
              </w:tc>
            </w:tr>
            <w:tr w14:paraId="5145E3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6A95B4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62</w:t>
                  </w:r>
                </w:p>
              </w:tc>
              <w:tc>
                <w:tcPr>
                  <w:tcW w:w="1301" w:type="dxa"/>
                  <w:vAlign w:val="center"/>
                </w:tcPr>
                <w:p w14:paraId="4B9E50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三创复合材料(乐昌)有限公司</w:t>
                  </w:r>
                </w:p>
              </w:tc>
              <w:tc>
                <w:tcPr>
                  <w:tcW w:w="372" w:type="dxa"/>
                  <w:vAlign w:val="center"/>
                </w:tcPr>
                <w:p w14:paraId="1EFB84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0A0F03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非金属矿物制品业</w:t>
                  </w:r>
                </w:p>
              </w:tc>
              <w:tc>
                <w:tcPr>
                  <w:tcW w:w="904" w:type="dxa"/>
                  <w:vAlign w:val="center"/>
                </w:tcPr>
                <w:p w14:paraId="4005FE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25577.13</w:t>
                  </w:r>
                </w:p>
              </w:tc>
              <w:tc>
                <w:tcPr>
                  <w:tcW w:w="2499" w:type="dxa"/>
                  <w:vAlign w:val="center"/>
                </w:tcPr>
                <w:p w14:paraId="315C07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年产玻璃纤维和碳素纤维复合材料制品 6365 吨</w:t>
                  </w:r>
                </w:p>
              </w:tc>
              <w:tc>
                <w:tcPr>
                  <w:tcW w:w="1897" w:type="dxa"/>
                  <w:vAlign w:val="center"/>
                </w:tcPr>
                <w:p w14:paraId="366311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韶环乐审〔2021〕09 号</w:t>
                  </w:r>
                </w:p>
              </w:tc>
            </w:tr>
            <w:tr w14:paraId="63350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330" w:type="dxa"/>
                  <w:vAlign w:val="center"/>
                </w:tcPr>
                <w:p w14:paraId="14B493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63</w:t>
                  </w:r>
                </w:p>
              </w:tc>
              <w:tc>
                <w:tcPr>
                  <w:tcW w:w="1301" w:type="dxa"/>
                  <w:vAlign w:val="center"/>
                </w:tcPr>
                <w:p w14:paraId="6CA4E1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广东联丰科技有限公司</w:t>
                  </w:r>
                </w:p>
              </w:tc>
              <w:tc>
                <w:tcPr>
                  <w:tcW w:w="372" w:type="dxa"/>
                  <w:vAlign w:val="center"/>
                </w:tcPr>
                <w:p w14:paraId="4199FB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1FDF77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橡胶和塑料制品业</w:t>
                  </w:r>
                </w:p>
              </w:tc>
              <w:tc>
                <w:tcPr>
                  <w:tcW w:w="904" w:type="dxa"/>
                  <w:vAlign w:val="center"/>
                </w:tcPr>
                <w:p w14:paraId="06FBBE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11862.25</w:t>
                  </w:r>
                </w:p>
              </w:tc>
              <w:tc>
                <w:tcPr>
                  <w:tcW w:w="2499" w:type="dxa"/>
                  <w:vAlign w:val="center"/>
                </w:tcPr>
                <w:p w14:paraId="734E18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年产HDPE 双壁波纹管 2800 吨、HDPE 缠绕管 2350 吨、HDPE</w:t>
                  </w:r>
                </w:p>
                <w:p w14:paraId="37C2E0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供水管 2580 吨、PVC 管 2270 吨</w:t>
                  </w:r>
                </w:p>
              </w:tc>
              <w:tc>
                <w:tcPr>
                  <w:tcW w:w="1897" w:type="dxa"/>
                  <w:vAlign w:val="center"/>
                </w:tcPr>
                <w:p w14:paraId="624409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韶环乐审〔2025〕03 号</w:t>
                  </w:r>
                </w:p>
              </w:tc>
            </w:tr>
            <w:tr w14:paraId="07168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30" w:type="dxa"/>
                  <w:vAlign w:val="center"/>
                </w:tcPr>
                <w:p w14:paraId="62D4DC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64</w:t>
                  </w:r>
                </w:p>
              </w:tc>
              <w:tc>
                <w:tcPr>
                  <w:tcW w:w="1301" w:type="dxa"/>
                  <w:vAlign w:val="center"/>
                </w:tcPr>
                <w:p w14:paraId="203BE7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材通(乐昌)管业科技有限公司</w:t>
                  </w:r>
                </w:p>
              </w:tc>
              <w:tc>
                <w:tcPr>
                  <w:tcW w:w="372" w:type="dxa"/>
                  <w:vAlign w:val="center"/>
                </w:tcPr>
                <w:p w14:paraId="4CB2D8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7A0A24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橡胶和塑料制品业</w:t>
                  </w:r>
                </w:p>
              </w:tc>
              <w:tc>
                <w:tcPr>
                  <w:tcW w:w="904" w:type="dxa"/>
                  <w:vAlign w:val="center"/>
                </w:tcPr>
                <w:p w14:paraId="10C933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47574.68</w:t>
                  </w:r>
                </w:p>
              </w:tc>
              <w:tc>
                <w:tcPr>
                  <w:tcW w:w="2499" w:type="dxa"/>
                  <w:vAlign w:val="center"/>
                </w:tcPr>
                <w:p w14:paraId="7ED5DB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 PVC 管材 16820 吨</w:t>
                  </w:r>
                </w:p>
              </w:tc>
              <w:tc>
                <w:tcPr>
                  <w:tcW w:w="1897" w:type="dxa"/>
                  <w:vAlign w:val="center"/>
                </w:tcPr>
                <w:p w14:paraId="328FF1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乐环审〔2020〕08 号</w:t>
                  </w:r>
                </w:p>
              </w:tc>
            </w:tr>
            <w:tr w14:paraId="32A22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330" w:type="dxa"/>
                  <w:vAlign w:val="center"/>
                </w:tcPr>
                <w:p w14:paraId="6713FB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65</w:t>
                  </w:r>
                </w:p>
              </w:tc>
              <w:tc>
                <w:tcPr>
                  <w:tcW w:w="1301" w:type="dxa"/>
                  <w:vAlign w:val="center"/>
                </w:tcPr>
                <w:p w14:paraId="76D9C4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乐昌市鑫东穗汽车用品有限</w:t>
                  </w:r>
                </w:p>
                <w:p w14:paraId="519136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公司</w:t>
                  </w:r>
                </w:p>
              </w:tc>
              <w:tc>
                <w:tcPr>
                  <w:tcW w:w="372" w:type="dxa"/>
                  <w:vAlign w:val="center"/>
                </w:tcPr>
                <w:p w14:paraId="0ACDD5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53DE8F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汽车零部件及配件制造</w:t>
                  </w:r>
                </w:p>
              </w:tc>
              <w:tc>
                <w:tcPr>
                  <w:tcW w:w="904" w:type="dxa"/>
                  <w:vAlign w:val="center"/>
                </w:tcPr>
                <w:p w14:paraId="3328F2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17932.7</w:t>
                  </w:r>
                </w:p>
              </w:tc>
              <w:tc>
                <w:tcPr>
                  <w:tcW w:w="2499" w:type="dxa"/>
                  <w:vAlign w:val="center"/>
                </w:tcPr>
                <w:p w14:paraId="52F8ED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年产汽车零配件 30 万套</w:t>
                  </w:r>
                </w:p>
              </w:tc>
              <w:tc>
                <w:tcPr>
                  <w:tcW w:w="1897" w:type="dxa"/>
                  <w:vAlign w:val="center"/>
                </w:tcPr>
                <w:p w14:paraId="741305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乐环审〔2021〕02 号、韶环乐审</w:t>
                  </w:r>
                </w:p>
                <w:p w14:paraId="1F00B06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〔2024〕23 号</w:t>
                  </w:r>
                </w:p>
              </w:tc>
            </w:tr>
            <w:tr w14:paraId="20207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30" w:type="dxa"/>
                  <w:vAlign w:val="center"/>
                </w:tcPr>
                <w:p w14:paraId="7D07A3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66</w:t>
                  </w:r>
                </w:p>
              </w:tc>
              <w:tc>
                <w:tcPr>
                  <w:tcW w:w="1301" w:type="dxa"/>
                  <w:vAlign w:val="center"/>
                </w:tcPr>
                <w:p w14:paraId="6FCA6A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杨氏婴童用品(广东)有限公司</w:t>
                  </w:r>
                </w:p>
              </w:tc>
              <w:tc>
                <w:tcPr>
                  <w:tcW w:w="372" w:type="dxa"/>
                  <w:vAlign w:val="center"/>
                </w:tcPr>
                <w:p w14:paraId="1C024B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749596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橡胶和塑料制品业</w:t>
                  </w:r>
                </w:p>
              </w:tc>
              <w:tc>
                <w:tcPr>
                  <w:tcW w:w="904" w:type="dxa"/>
                  <w:vAlign w:val="center"/>
                </w:tcPr>
                <w:p w14:paraId="3B5B51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20215.42</w:t>
                  </w:r>
                </w:p>
              </w:tc>
              <w:tc>
                <w:tcPr>
                  <w:tcW w:w="2499" w:type="dxa"/>
                  <w:vAlign w:val="center"/>
                </w:tcPr>
                <w:p w14:paraId="7DEF06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年产奶瓶、水杯 600 万件</w:t>
                  </w:r>
                </w:p>
              </w:tc>
              <w:tc>
                <w:tcPr>
                  <w:tcW w:w="1897" w:type="dxa"/>
                  <w:vAlign w:val="center"/>
                </w:tcPr>
                <w:p w14:paraId="35A531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韶环乐审〔2023〕06 号</w:t>
                  </w:r>
                </w:p>
              </w:tc>
            </w:tr>
            <w:tr w14:paraId="79759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616847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67</w:t>
                  </w:r>
                </w:p>
              </w:tc>
              <w:tc>
                <w:tcPr>
                  <w:tcW w:w="1301" w:type="dxa"/>
                  <w:vAlign w:val="center"/>
                </w:tcPr>
                <w:p w14:paraId="000C01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广东邦嘉硅胶科技有限公司</w:t>
                  </w:r>
                </w:p>
              </w:tc>
              <w:tc>
                <w:tcPr>
                  <w:tcW w:w="372" w:type="dxa"/>
                  <w:vAlign w:val="center"/>
                </w:tcPr>
                <w:p w14:paraId="1263E1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63D0CA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橡胶和塑料制品业</w:t>
                  </w:r>
                </w:p>
              </w:tc>
              <w:tc>
                <w:tcPr>
                  <w:tcW w:w="904" w:type="dxa"/>
                  <w:vAlign w:val="center"/>
                </w:tcPr>
                <w:p w14:paraId="3BBFDC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36000</w:t>
                  </w:r>
                </w:p>
              </w:tc>
              <w:tc>
                <w:tcPr>
                  <w:tcW w:w="2499" w:type="dxa"/>
                  <w:vAlign w:val="center"/>
                </w:tcPr>
                <w:p w14:paraId="1B531C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年产固体硅胶 300 吨、注塑件 300 万件、硅胶件（奶嘴）100万个、玻璃奶瓶 100 万个、硅胶护层产品 100 万件</w:t>
                  </w:r>
                </w:p>
              </w:tc>
              <w:tc>
                <w:tcPr>
                  <w:tcW w:w="1897" w:type="dxa"/>
                  <w:vAlign w:val="center"/>
                </w:tcPr>
                <w:p w14:paraId="43943E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韶关乐审〔2023〕03 号</w:t>
                  </w:r>
                </w:p>
              </w:tc>
            </w:tr>
            <w:tr w14:paraId="477A3B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3ED332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68</w:t>
                  </w:r>
                </w:p>
              </w:tc>
              <w:tc>
                <w:tcPr>
                  <w:tcW w:w="1301" w:type="dxa"/>
                  <w:vAlign w:val="center"/>
                </w:tcPr>
                <w:p w14:paraId="62F8A3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广东奕宸汽车科技有限公司</w:t>
                  </w:r>
                </w:p>
              </w:tc>
              <w:tc>
                <w:tcPr>
                  <w:tcW w:w="372" w:type="dxa"/>
                  <w:vAlign w:val="center"/>
                </w:tcPr>
                <w:p w14:paraId="737E3B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557D7A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汽车零部件及配件制造</w:t>
                  </w:r>
                </w:p>
              </w:tc>
              <w:tc>
                <w:tcPr>
                  <w:tcW w:w="904" w:type="dxa"/>
                  <w:vAlign w:val="center"/>
                </w:tcPr>
                <w:p w14:paraId="528FB5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33915.52</w:t>
                  </w:r>
                </w:p>
              </w:tc>
              <w:tc>
                <w:tcPr>
                  <w:tcW w:w="2499" w:type="dxa"/>
                  <w:vAlign w:val="center"/>
                </w:tcPr>
                <w:p w14:paraId="0C293E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年产汽车散热器 50 万件</w:t>
                  </w:r>
                </w:p>
              </w:tc>
              <w:tc>
                <w:tcPr>
                  <w:tcW w:w="1897" w:type="dxa"/>
                  <w:vAlign w:val="center"/>
                </w:tcPr>
                <w:p w14:paraId="111BF7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韶环乐审〔2022〕28 号</w:t>
                  </w:r>
                </w:p>
              </w:tc>
            </w:tr>
            <w:tr w14:paraId="71E35A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00FBB5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69</w:t>
                  </w:r>
                </w:p>
              </w:tc>
              <w:tc>
                <w:tcPr>
                  <w:tcW w:w="1301" w:type="dxa"/>
                  <w:vAlign w:val="center"/>
                </w:tcPr>
                <w:p w14:paraId="51A22A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广东熙诚环保科技有限公司</w:t>
                  </w:r>
                </w:p>
              </w:tc>
              <w:tc>
                <w:tcPr>
                  <w:tcW w:w="372" w:type="dxa"/>
                  <w:vAlign w:val="center"/>
                </w:tcPr>
                <w:p w14:paraId="5A85AF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0BB8EF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专用设备制造业</w:t>
                  </w:r>
                </w:p>
              </w:tc>
              <w:tc>
                <w:tcPr>
                  <w:tcW w:w="904" w:type="dxa"/>
                  <w:vAlign w:val="center"/>
                </w:tcPr>
                <w:p w14:paraId="38ECF3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13335</w:t>
                  </w:r>
                </w:p>
              </w:tc>
              <w:tc>
                <w:tcPr>
                  <w:tcW w:w="2499" w:type="dxa"/>
                  <w:vAlign w:val="center"/>
                </w:tcPr>
                <w:p w14:paraId="733402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 PP 喷淋塔 500 台、PP 活性炭吸附箱 500 台</w:t>
                  </w:r>
                </w:p>
              </w:tc>
              <w:tc>
                <w:tcPr>
                  <w:tcW w:w="1897" w:type="dxa"/>
                  <w:vAlign w:val="center"/>
                </w:tcPr>
                <w:p w14:paraId="0F7DF3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韶环乐审〔2021〕09 号</w:t>
                  </w:r>
                </w:p>
              </w:tc>
            </w:tr>
            <w:tr w14:paraId="24C393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330" w:type="dxa"/>
                  <w:vAlign w:val="center"/>
                </w:tcPr>
                <w:p w14:paraId="3C079E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70</w:t>
                  </w:r>
                </w:p>
              </w:tc>
              <w:tc>
                <w:tcPr>
                  <w:tcW w:w="1301" w:type="dxa"/>
                  <w:vAlign w:val="center"/>
                </w:tcPr>
                <w:p w14:paraId="5E20C6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韶关市盛源优贝橡塑制品有</w:t>
                  </w:r>
                </w:p>
                <w:p w14:paraId="3DD866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限公司</w:t>
                  </w:r>
                </w:p>
              </w:tc>
              <w:tc>
                <w:tcPr>
                  <w:tcW w:w="372" w:type="dxa"/>
                  <w:vAlign w:val="center"/>
                </w:tcPr>
                <w:p w14:paraId="06146F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0F998E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橡胶和塑料制品业</w:t>
                  </w:r>
                </w:p>
              </w:tc>
              <w:tc>
                <w:tcPr>
                  <w:tcW w:w="904" w:type="dxa"/>
                  <w:vAlign w:val="center"/>
                </w:tcPr>
                <w:p w14:paraId="3E94C4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6664</w:t>
                  </w:r>
                </w:p>
              </w:tc>
              <w:tc>
                <w:tcPr>
                  <w:tcW w:w="2499" w:type="dxa"/>
                  <w:vAlign w:val="center"/>
                </w:tcPr>
                <w:p w14:paraId="042178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年产硅胶件 330 万个、注塑件 200 万个、吹瓶件 602 万个</w:t>
                  </w:r>
                </w:p>
              </w:tc>
              <w:tc>
                <w:tcPr>
                  <w:tcW w:w="1897" w:type="dxa"/>
                  <w:vAlign w:val="center"/>
                </w:tcPr>
                <w:p w14:paraId="2D3986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韶关乐审〔2022〕33 号</w:t>
                  </w:r>
                </w:p>
              </w:tc>
            </w:tr>
            <w:tr w14:paraId="341182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330" w:type="dxa"/>
                  <w:vAlign w:val="center"/>
                </w:tcPr>
                <w:p w14:paraId="264CD3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71</w:t>
                  </w:r>
                </w:p>
              </w:tc>
              <w:tc>
                <w:tcPr>
                  <w:tcW w:w="1301" w:type="dxa"/>
                  <w:vAlign w:val="center"/>
                </w:tcPr>
                <w:p w14:paraId="6731BF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韶关市南源铜材有限公司</w:t>
                  </w:r>
                </w:p>
              </w:tc>
              <w:tc>
                <w:tcPr>
                  <w:tcW w:w="372" w:type="dxa"/>
                  <w:vAlign w:val="center"/>
                </w:tcPr>
                <w:p w14:paraId="7932DB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5E47B8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0EA4CF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44981.3</w:t>
                  </w:r>
                </w:p>
              </w:tc>
              <w:tc>
                <w:tcPr>
                  <w:tcW w:w="2499" w:type="dxa"/>
                  <w:vAlign w:val="center"/>
                </w:tcPr>
                <w:p w14:paraId="38267B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年产含铅黄铜棒 18000 吨、无铅黄铜棒 12000 吨</w:t>
                  </w:r>
                </w:p>
              </w:tc>
              <w:tc>
                <w:tcPr>
                  <w:tcW w:w="1897" w:type="dxa"/>
                  <w:vAlign w:val="center"/>
                </w:tcPr>
                <w:p w14:paraId="3B2270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韶环乐审〔2021〕21 号</w:t>
                  </w:r>
                </w:p>
              </w:tc>
            </w:tr>
            <w:tr w14:paraId="34BD3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69EBA3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72</w:t>
                  </w:r>
                </w:p>
              </w:tc>
              <w:tc>
                <w:tcPr>
                  <w:tcW w:w="1301" w:type="dxa"/>
                  <w:vAlign w:val="center"/>
                </w:tcPr>
                <w:p w14:paraId="1C970B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碧宏自动化（广东）有限责任</w:t>
                  </w:r>
                </w:p>
                <w:p w14:paraId="473B4E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公司</w:t>
                  </w:r>
                </w:p>
              </w:tc>
              <w:tc>
                <w:tcPr>
                  <w:tcW w:w="372" w:type="dxa"/>
                  <w:vAlign w:val="center"/>
                </w:tcPr>
                <w:p w14:paraId="6BB529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36650A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通用设备制造业、专用设备制造业</w:t>
                  </w:r>
                </w:p>
              </w:tc>
              <w:tc>
                <w:tcPr>
                  <w:tcW w:w="904" w:type="dxa"/>
                  <w:vAlign w:val="center"/>
                </w:tcPr>
                <w:p w14:paraId="764857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31172.2</w:t>
                  </w:r>
                </w:p>
              </w:tc>
              <w:tc>
                <w:tcPr>
                  <w:tcW w:w="2499" w:type="dxa"/>
                  <w:vAlign w:val="center"/>
                </w:tcPr>
                <w:p w14:paraId="0258CA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年产椭圆印花机 500 台、数码印花机 100 台、拉网机 100 台、</w:t>
                  </w:r>
                </w:p>
                <w:p w14:paraId="51C0812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激光切割机 300 台</w:t>
                  </w:r>
                </w:p>
              </w:tc>
              <w:tc>
                <w:tcPr>
                  <w:tcW w:w="1897" w:type="dxa"/>
                  <w:vAlign w:val="center"/>
                </w:tcPr>
                <w:p w14:paraId="35E1D7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韶环乐审〔2023〕10 号</w:t>
                  </w:r>
                </w:p>
              </w:tc>
            </w:tr>
            <w:tr w14:paraId="2CB559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30" w:type="dxa"/>
                  <w:vAlign w:val="center"/>
                </w:tcPr>
                <w:p w14:paraId="4BFA45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73</w:t>
                  </w:r>
                </w:p>
              </w:tc>
              <w:tc>
                <w:tcPr>
                  <w:tcW w:w="1301" w:type="dxa"/>
                  <w:vAlign w:val="center"/>
                </w:tcPr>
                <w:p w14:paraId="427050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广东冠益灯饰有限公司</w:t>
                  </w:r>
                </w:p>
              </w:tc>
              <w:tc>
                <w:tcPr>
                  <w:tcW w:w="372" w:type="dxa"/>
                  <w:vAlign w:val="center"/>
                </w:tcPr>
                <w:p w14:paraId="6AD1E1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08E217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电气机械和器材制造业</w:t>
                  </w:r>
                </w:p>
              </w:tc>
              <w:tc>
                <w:tcPr>
                  <w:tcW w:w="904" w:type="dxa"/>
                  <w:vAlign w:val="center"/>
                </w:tcPr>
                <w:p w14:paraId="618078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13333.4</w:t>
                  </w:r>
                </w:p>
              </w:tc>
              <w:tc>
                <w:tcPr>
                  <w:tcW w:w="2499" w:type="dxa"/>
                  <w:vAlign w:val="center"/>
                </w:tcPr>
                <w:p w14:paraId="4EB5E1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年产灯串 200 万套</w:t>
                  </w:r>
                </w:p>
              </w:tc>
              <w:tc>
                <w:tcPr>
                  <w:tcW w:w="1897" w:type="dxa"/>
                  <w:vAlign w:val="center"/>
                </w:tcPr>
                <w:p w14:paraId="15931F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韶环乐审〔2024〕06 号</w:t>
                  </w:r>
                </w:p>
              </w:tc>
            </w:tr>
            <w:tr w14:paraId="27E1D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67A7AF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74</w:t>
                  </w:r>
                </w:p>
              </w:tc>
              <w:tc>
                <w:tcPr>
                  <w:tcW w:w="1301" w:type="dxa"/>
                  <w:vAlign w:val="center"/>
                </w:tcPr>
                <w:p w14:paraId="46BC2E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韶关三和磁材电子有限公司</w:t>
                  </w:r>
                </w:p>
              </w:tc>
              <w:tc>
                <w:tcPr>
                  <w:tcW w:w="372" w:type="dxa"/>
                  <w:vAlign w:val="center"/>
                </w:tcPr>
                <w:p w14:paraId="708861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3FEDD42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计算机、通信和其他电子设备制造业</w:t>
                  </w:r>
                </w:p>
              </w:tc>
              <w:tc>
                <w:tcPr>
                  <w:tcW w:w="904" w:type="dxa"/>
                  <w:vAlign w:val="center"/>
                </w:tcPr>
                <w:p w14:paraId="66DA2B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27014.09</w:t>
                  </w:r>
                </w:p>
              </w:tc>
              <w:tc>
                <w:tcPr>
                  <w:tcW w:w="2499" w:type="dxa"/>
                  <w:vAlign w:val="center"/>
                </w:tcPr>
                <w:p w14:paraId="418831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年产干法铁氧体磁铁 10 亿个</w:t>
                  </w:r>
                </w:p>
              </w:tc>
              <w:tc>
                <w:tcPr>
                  <w:tcW w:w="1897" w:type="dxa"/>
                  <w:vAlign w:val="center"/>
                </w:tcPr>
                <w:p w14:paraId="0058992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韶环乐审〔2025〕06 号</w:t>
                  </w:r>
                </w:p>
              </w:tc>
            </w:tr>
            <w:tr w14:paraId="31F765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7FC96A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75</w:t>
                  </w:r>
                </w:p>
              </w:tc>
              <w:tc>
                <w:tcPr>
                  <w:tcW w:w="1301" w:type="dxa"/>
                  <w:vAlign w:val="center"/>
                </w:tcPr>
                <w:p w14:paraId="542422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广东立恒新材料科技有限公</w:t>
                  </w:r>
                </w:p>
                <w:p w14:paraId="0FC936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57BC1C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266D02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橡胶和塑料制品业</w:t>
                  </w:r>
                </w:p>
              </w:tc>
              <w:tc>
                <w:tcPr>
                  <w:tcW w:w="904" w:type="dxa"/>
                  <w:vAlign w:val="center"/>
                </w:tcPr>
                <w:p w14:paraId="2FB090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9333</w:t>
                  </w:r>
                </w:p>
              </w:tc>
              <w:tc>
                <w:tcPr>
                  <w:tcW w:w="2499" w:type="dxa"/>
                  <w:vAlign w:val="center"/>
                </w:tcPr>
                <w:p w14:paraId="7834C3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年产改性塑料 8000 吨</w:t>
                  </w:r>
                </w:p>
              </w:tc>
              <w:tc>
                <w:tcPr>
                  <w:tcW w:w="1897" w:type="dxa"/>
                  <w:vAlign w:val="center"/>
                </w:tcPr>
                <w:p w14:paraId="2EAE54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"bookmark252"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2018</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]60 号</w:t>
                  </w:r>
                </w:p>
              </w:tc>
            </w:tr>
            <w:tr w14:paraId="5AA98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4FE8FC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76</w:t>
                  </w:r>
                </w:p>
              </w:tc>
              <w:tc>
                <w:tcPr>
                  <w:tcW w:w="1301" w:type="dxa"/>
                  <w:vAlign w:val="center"/>
                </w:tcPr>
                <w:p w14:paraId="222EA4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乐昌市赫尔龙体育用品有限</w:t>
                  </w:r>
                </w:p>
                <w:p w14:paraId="797BF5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公司</w:t>
                  </w:r>
                </w:p>
              </w:tc>
              <w:tc>
                <w:tcPr>
                  <w:tcW w:w="372" w:type="dxa"/>
                  <w:vAlign w:val="center"/>
                </w:tcPr>
                <w:p w14:paraId="20D544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126DB0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纺织业</w:t>
                  </w:r>
                </w:p>
              </w:tc>
              <w:tc>
                <w:tcPr>
                  <w:tcW w:w="904" w:type="dxa"/>
                  <w:vAlign w:val="center"/>
                </w:tcPr>
                <w:p w14:paraId="6245EA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14604.85</w:t>
                  </w:r>
                </w:p>
              </w:tc>
              <w:tc>
                <w:tcPr>
                  <w:tcW w:w="2499" w:type="dxa"/>
                  <w:vAlign w:val="center"/>
                </w:tcPr>
                <w:p w14:paraId="337230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年产运动服等运动产品 100 万件</w:t>
                  </w:r>
                </w:p>
              </w:tc>
              <w:tc>
                <w:tcPr>
                  <w:tcW w:w="1897" w:type="dxa"/>
                  <w:vAlign w:val="center"/>
                </w:tcPr>
                <w:p w14:paraId="239B40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乐环审〔2019〕21 号</w:t>
                  </w:r>
                </w:p>
              </w:tc>
            </w:tr>
            <w:tr w14:paraId="4F098C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7" w:hRule="atLeast"/>
                <w:jc w:val="center"/>
              </w:trPr>
              <w:tc>
                <w:tcPr>
                  <w:tcW w:w="330" w:type="dxa"/>
                  <w:vAlign w:val="center"/>
                </w:tcPr>
                <w:p w14:paraId="662247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77</w:t>
                  </w:r>
                </w:p>
              </w:tc>
              <w:tc>
                <w:tcPr>
                  <w:tcW w:w="1301" w:type="dxa"/>
                  <w:vAlign w:val="center"/>
                </w:tcPr>
                <w:p w14:paraId="14495C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广东省合高复合材料有限公</w:t>
                  </w:r>
                </w:p>
                <w:p w14:paraId="19E2E5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7FB6B2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3EFAAB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非金属矿物制品业</w:t>
                  </w:r>
                </w:p>
              </w:tc>
              <w:tc>
                <w:tcPr>
                  <w:tcW w:w="904" w:type="dxa"/>
                  <w:vAlign w:val="center"/>
                </w:tcPr>
                <w:p w14:paraId="7B0D33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27017.8</w:t>
                  </w:r>
                </w:p>
              </w:tc>
              <w:tc>
                <w:tcPr>
                  <w:tcW w:w="2499" w:type="dxa"/>
                  <w:vAlign w:val="center"/>
                </w:tcPr>
                <w:p w14:paraId="55BB8A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年产玻璃纤维板材 1 万吨、玻璃钢拉挤制品 4500 吨、缠绕制</w:t>
                  </w:r>
                </w:p>
                <w:p w14:paraId="6FAA5F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品、SMC 模压及玻璃纤维热塑板以及制品各 500 吨、玻璃钢</w:t>
                  </w:r>
                </w:p>
                <w:p w14:paraId="3266D6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格栅 5000 吨、碳纤维制品及彩色胶衣各200 吨、 玻璃钢夹</w:t>
                  </w:r>
                </w:p>
                <w:p w14:paraId="1E18FC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芯板 2700 吨、 RTM 制品 100 吨</w:t>
                  </w:r>
                </w:p>
              </w:tc>
              <w:tc>
                <w:tcPr>
                  <w:tcW w:w="1897" w:type="dxa"/>
                  <w:vAlign w:val="center"/>
                </w:tcPr>
                <w:p w14:paraId="157674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韶环乐审〔2021〕20 号</w:t>
                  </w:r>
                </w:p>
              </w:tc>
            </w:tr>
            <w:tr w14:paraId="5EB4B3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169E3C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78</w:t>
                  </w:r>
                </w:p>
              </w:tc>
              <w:tc>
                <w:tcPr>
                  <w:tcW w:w="1301" w:type="dxa"/>
                  <w:vAlign w:val="center"/>
                </w:tcPr>
                <w:p w14:paraId="4E70D5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同向（乐昌）精密机械有限公</w:t>
                  </w:r>
                </w:p>
                <w:p w14:paraId="75E9F8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3745E9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0AFB18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通用设备制造业</w:t>
                  </w:r>
                </w:p>
              </w:tc>
              <w:tc>
                <w:tcPr>
                  <w:tcW w:w="904" w:type="dxa"/>
                  <w:vAlign w:val="center"/>
                </w:tcPr>
                <w:p w14:paraId="6A98E9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52810.91</w:t>
                  </w:r>
                </w:p>
              </w:tc>
              <w:tc>
                <w:tcPr>
                  <w:tcW w:w="2499" w:type="dxa"/>
                  <w:vAlign w:val="center"/>
                </w:tcPr>
                <w:p w14:paraId="1465357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年产登机桥、环保水箱、压力机械、建筑自动化设备、加工</w:t>
                  </w:r>
                </w:p>
                <w:p w14:paraId="34A29F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中心设备。压铸机等合计 3350 套（台）</w:t>
                  </w:r>
                </w:p>
              </w:tc>
              <w:tc>
                <w:tcPr>
                  <w:tcW w:w="1897" w:type="dxa"/>
                  <w:vAlign w:val="center"/>
                </w:tcPr>
                <w:p w14:paraId="180293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韶环乐审〔2021〕16 号</w:t>
                  </w:r>
                </w:p>
              </w:tc>
            </w:tr>
            <w:tr w14:paraId="6F35A6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1516F0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79</w:t>
                  </w:r>
                </w:p>
              </w:tc>
              <w:tc>
                <w:tcPr>
                  <w:tcW w:w="1301" w:type="dxa"/>
                  <w:vAlign w:val="center"/>
                </w:tcPr>
                <w:p w14:paraId="7AEF60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乐昌市信达实业有限公司</w:t>
                  </w:r>
                </w:p>
              </w:tc>
              <w:tc>
                <w:tcPr>
                  <w:tcW w:w="372" w:type="dxa"/>
                  <w:vAlign w:val="center"/>
                </w:tcPr>
                <w:p w14:paraId="368963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735B69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文教、工美、体育和娱乐用品制造业</w:t>
                  </w:r>
                </w:p>
              </w:tc>
              <w:tc>
                <w:tcPr>
                  <w:tcW w:w="904" w:type="dxa"/>
                  <w:vAlign w:val="center"/>
                </w:tcPr>
                <w:p w14:paraId="37C261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20000</w:t>
                  </w:r>
                </w:p>
              </w:tc>
              <w:tc>
                <w:tcPr>
                  <w:tcW w:w="2499" w:type="dxa"/>
                  <w:vAlign w:val="center"/>
                </w:tcPr>
                <w:p w14:paraId="24F3AB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年产滑板 100 万台</w:t>
                  </w:r>
                </w:p>
              </w:tc>
              <w:tc>
                <w:tcPr>
                  <w:tcW w:w="1897" w:type="dxa"/>
                  <w:vAlign w:val="center"/>
                </w:tcPr>
                <w:p w14:paraId="42C0DE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乐环审〔2019〕09 号</w:t>
                  </w:r>
                </w:p>
              </w:tc>
            </w:tr>
            <w:tr w14:paraId="59144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18AE53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80</w:t>
                  </w:r>
                </w:p>
              </w:tc>
              <w:tc>
                <w:tcPr>
                  <w:tcW w:w="1301" w:type="dxa"/>
                  <w:vAlign w:val="center"/>
                </w:tcPr>
                <w:p w14:paraId="1B0F70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广东威柏乐器制造有限公司</w:t>
                  </w:r>
                </w:p>
              </w:tc>
              <w:tc>
                <w:tcPr>
                  <w:tcW w:w="372" w:type="dxa"/>
                  <w:vAlign w:val="center"/>
                </w:tcPr>
                <w:p w14:paraId="016648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34E663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文教、工美、体育和娱乐用品制造业</w:t>
                  </w:r>
                </w:p>
              </w:tc>
              <w:tc>
                <w:tcPr>
                  <w:tcW w:w="904" w:type="dxa"/>
                  <w:vAlign w:val="center"/>
                </w:tcPr>
                <w:p w14:paraId="292F53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43586.57</w:t>
                  </w:r>
                </w:p>
              </w:tc>
              <w:tc>
                <w:tcPr>
                  <w:tcW w:w="2499" w:type="dxa"/>
                  <w:vAlign w:val="center"/>
                </w:tcPr>
                <w:p w14:paraId="2E529E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年产电吉他 35 万把、木吉他 15 万把</w:t>
                  </w:r>
                </w:p>
              </w:tc>
              <w:tc>
                <w:tcPr>
                  <w:tcW w:w="1897" w:type="dxa"/>
                  <w:vAlign w:val="center"/>
                </w:tcPr>
                <w:p w14:paraId="2BC762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韶环乐审〔2025〕02 号、韶环乐审〔2026〕03 号</w:t>
                  </w:r>
                </w:p>
              </w:tc>
            </w:tr>
            <w:tr w14:paraId="14D8A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330" w:type="dxa"/>
                  <w:vAlign w:val="center"/>
                </w:tcPr>
                <w:p w14:paraId="13C786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81</w:t>
                  </w:r>
                </w:p>
              </w:tc>
              <w:tc>
                <w:tcPr>
                  <w:tcW w:w="1301" w:type="dxa"/>
                  <w:vAlign w:val="center"/>
                </w:tcPr>
                <w:p w14:paraId="78A3C0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广东维创兴电子科技有限公</w:t>
                  </w:r>
                </w:p>
                <w:p w14:paraId="150EF2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236964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18AE35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计算机、通信和其他电子设备制造业</w:t>
                  </w:r>
                </w:p>
              </w:tc>
              <w:tc>
                <w:tcPr>
                  <w:tcW w:w="904" w:type="dxa"/>
                  <w:vAlign w:val="center"/>
                </w:tcPr>
                <w:p w14:paraId="3E3F79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3925.74</w:t>
                  </w:r>
                </w:p>
              </w:tc>
              <w:tc>
                <w:tcPr>
                  <w:tcW w:w="2499" w:type="dxa"/>
                  <w:vAlign w:val="center"/>
                </w:tcPr>
                <w:p w14:paraId="59BA82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年产触摸屏 100 万片</w:t>
                  </w:r>
                </w:p>
              </w:tc>
              <w:tc>
                <w:tcPr>
                  <w:tcW w:w="1897" w:type="dxa"/>
                  <w:vAlign w:val="center"/>
                </w:tcPr>
                <w:p w14:paraId="4DE5F8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韶环乐审〔2025〕20 号</w:t>
                  </w:r>
                </w:p>
              </w:tc>
            </w:tr>
            <w:tr w14:paraId="71F9AA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jc w:val="center"/>
              </w:trPr>
              <w:tc>
                <w:tcPr>
                  <w:tcW w:w="330" w:type="dxa"/>
                  <w:vAlign w:val="center"/>
                </w:tcPr>
                <w:p w14:paraId="3D01BC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82</w:t>
                  </w:r>
                </w:p>
              </w:tc>
              <w:tc>
                <w:tcPr>
                  <w:tcW w:w="1301" w:type="dxa"/>
                  <w:vAlign w:val="center"/>
                </w:tcPr>
                <w:p w14:paraId="316EE3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韶关金利达塑料制品有限公</w:t>
                  </w:r>
                </w:p>
                <w:p w14:paraId="6DC701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093277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2A338E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橡胶和塑料制品</w:t>
                  </w:r>
                </w:p>
                <w:p w14:paraId="31153C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业、废弃资源综合</w:t>
                  </w:r>
                </w:p>
                <w:p w14:paraId="5F7A2B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利用业</w:t>
                  </w:r>
                </w:p>
              </w:tc>
              <w:tc>
                <w:tcPr>
                  <w:tcW w:w="904" w:type="dxa"/>
                  <w:vAlign w:val="center"/>
                </w:tcPr>
                <w:p w14:paraId="75DFD9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18748.8</w:t>
                  </w:r>
                </w:p>
              </w:tc>
              <w:tc>
                <w:tcPr>
                  <w:tcW w:w="2499" w:type="dxa"/>
                  <w:vAlign w:val="center"/>
                </w:tcPr>
                <w:p w14:paraId="1C34CB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年产再生塑胶颗粒 3000 吨</w:t>
                  </w:r>
                </w:p>
              </w:tc>
              <w:tc>
                <w:tcPr>
                  <w:tcW w:w="1897" w:type="dxa"/>
                  <w:vAlign w:val="center"/>
                </w:tcPr>
                <w:p w14:paraId="463AE9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韶环乐审〔2025〕13 号</w:t>
                  </w:r>
                </w:p>
              </w:tc>
            </w:tr>
            <w:tr w14:paraId="416BC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330" w:type="dxa"/>
                  <w:vAlign w:val="center"/>
                </w:tcPr>
                <w:p w14:paraId="060843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83</w:t>
                  </w:r>
                </w:p>
              </w:tc>
              <w:tc>
                <w:tcPr>
                  <w:tcW w:w="1301" w:type="dxa"/>
                  <w:vAlign w:val="center"/>
                </w:tcPr>
                <w:p w14:paraId="04E81B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广东铭洋应急消防器材有限</w:t>
                  </w:r>
                </w:p>
                <w:p w14:paraId="6C0114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公司</w:t>
                  </w:r>
                </w:p>
              </w:tc>
              <w:tc>
                <w:tcPr>
                  <w:tcW w:w="372" w:type="dxa"/>
                  <w:vAlign w:val="center"/>
                </w:tcPr>
                <w:p w14:paraId="45A986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1B0A8A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专用设备制造业</w:t>
                  </w:r>
                </w:p>
              </w:tc>
              <w:tc>
                <w:tcPr>
                  <w:tcW w:w="904" w:type="dxa"/>
                  <w:vAlign w:val="center"/>
                </w:tcPr>
                <w:p w14:paraId="38FBD7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9850</w:t>
                  </w:r>
                </w:p>
              </w:tc>
              <w:tc>
                <w:tcPr>
                  <w:tcW w:w="2499" w:type="dxa"/>
                  <w:vAlign w:val="center"/>
                </w:tcPr>
                <w:p w14:paraId="7F6FBE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年产过滤式消防自救呼吸器 750 万具，配套催化剂 720 吨，</w:t>
                  </w:r>
                </w:p>
                <w:p w14:paraId="301753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卡加拉特剂 1080 吨</w:t>
                  </w:r>
                </w:p>
              </w:tc>
              <w:tc>
                <w:tcPr>
                  <w:tcW w:w="1897" w:type="dxa"/>
                  <w:vAlign w:val="center"/>
                </w:tcPr>
                <w:p w14:paraId="2A1C3F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韶环审〔2025〕24  号</w:t>
                  </w:r>
                </w:p>
              </w:tc>
            </w:tr>
            <w:tr w14:paraId="04EA9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30" w:type="dxa"/>
                  <w:vAlign w:val="center"/>
                </w:tcPr>
                <w:p w14:paraId="475F92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84</w:t>
                  </w:r>
                </w:p>
              </w:tc>
              <w:tc>
                <w:tcPr>
                  <w:tcW w:w="1301" w:type="dxa"/>
                  <w:vAlign w:val="center"/>
                </w:tcPr>
                <w:p w14:paraId="714284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韶关市建兴新材料科技有限</w:t>
                  </w:r>
                </w:p>
                <w:p w14:paraId="550600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公司</w:t>
                  </w:r>
                </w:p>
              </w:tc>
              <w:tc>
                <w:tcPr>
                  <w:tcW w:w="372" w:type="dxa"/>
                  <w:vAlign w:val="center"/>
                </w:tcPr>
                <w:p w14:paraId="56E961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在建</w:t>
                  </w:r>
                </w:p>
              </w:tc>
              <w:tc>
                <w:tcPr>
                  <w:tcW w:w="1015" w:type="dxa"/>
                  <w:vAlign w:val="center"/>
                </w:tcPr>
                <w:p w14:paraId="4DC921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非金属矿采选业</w:t>
                  </w:r>
                </w:p>
              </w:tc>
              <w:tc>
                <w:tcPr>
                  <w:tcW w:w="904" w:type="dxa"/>
                  <w:vAlign w:val="center"/>
                </w:tcPr>
                <w:p w14:paraId="5AF8CD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33562.6</w:t>
                  </w:r>
                </w:p>
              </w:tc>
              <w:tc>
                <w:tcPr>
                  <w:tcW w:w="2499" w:type="dxa"/>
                  <w:vAlign w:val="center"/>
                </w:tcPr>
                <w:p w14:paraId="7ECA66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年产堂石精矿 5 万吨</w:t>
                  </w:r>
                </w:p>
              </w:tc>
              <w:tc>
                <w:tcPr>
                  <w:tcW w:w="1897" w:type="dxa"/>
                  <w:vAlign w:val="center"/>
                </w:tcPr>
                <w:p w14:paraId="4E0457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韶环乐审〔2025〕14  号</w:t>
                  </w:r>
                </w:p>
              </w:tc>
            </w:tr>
            <w:tr w14:paraId="6389F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184ABD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85</w:t>
                  </w:r>
                </w:p>
              </w:tc>
              <w:tc>
                <w:tcPr>
                  <w:tcW w:w="1301" w:type="dxa"/>
                  <w:vAlign w:val="center"/>
                </w:tcPr>
                <w:p w14:paraId="13C1D9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韶关市泳金构造机械有限公</w:t>
                  </w:r>
                </w:p>
                <w:p w14:paraId="350FB9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4CA39B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在建</w:t>
                  </w:r>
                </w:p>
              </w:tc>
              <w:tc>
                <w:tcPr>
                  <w:tcW w:w="1015" w:type="dxa"/>
                  <w:vAlign w:val="center"/>
                </w:tcPr>
                <w:p w14:paraId="4AD72F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310762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20477.32</w:t>
                  </w:r>
                </w:p>
              </w:tc>
              <w:tc>
                <w:tcPr>
                  <w:tcW w:w="2499" w:type="dxa"/>
                  <w:vAlign w:val="center"/>
                </w:tcPr>
                <w:p w14:paraId="7D5890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年产钢结构成品 1.3 万吨</w:t>
                  </w:r>
                </w:p>
              </w:tc>
              <w:tc>
                <w:tcPr>
                  <w:tcW w:w="1897" w:type="dxa"/>
                  <w:vAlign w:val="center"/>
                </w:tcPr>
                <w:p w14:paraId="317D72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韶环乐审〔2025〕05 号</w:t>
                  </w:r>
                </w:p>
              </w:tc>
            </w:tr>
            <w:tr w14:paraId="393316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7D1D09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86</w:t>
                  </w:r>
                </w:p>
              </w:tc>
              <w:tc>
                <w:tcPr>
                  <w:tcW w:w="1301" w:type="dxa"/>
                  <w:vAlign w:val="center"/>
                </w:tcPr>
                <w:p w14:paraId="2B3B0C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广东欣汇复合材料有限公司</w:t>
                  </w:r>
                </w:p>
              </w:tc>
              <w:tc>
                <w:tcPr>
                  <w:tcW w:w="372" w:type="dxa"/>
                  <w:vAlign w:val="center"/>
                </w:tcPr>
                <w:p w14:paraId="4C61B6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在建</w:t>
                  </w:r>
                </w:p>
              </w:tc>
              <w:tc>
                <w:tcPr>
                  <w:tcW w:w="1015" w:type="dxa"/>
                  <w:vAlign w:val="center"/>
                </w:tcPr>
                <w:p w14:paraId="324B92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非金属矿物制品业</w:t>
                  </w:r>
                </w:p>
              </w:tc>
              <w:tc>
                <w:tcPr>
                  <w:tcW w:w="904" w:type="dxa"/>
                  <w:vAlign w:val="center"/>
                </w:tcPr>
                <w:p w14:paraId="01087B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29024.94</w:t>
                  </w:r>
                </w:p>
              </w:tc>
              <w:tc>
                <w:tcPr>
                  <w:tcW w:w="2499" w:type="dxa"/>
                  <w:vAlign w:val="center"/>
                </w:tcPr>
                <w:p w14:paraId="0F4454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年产玻璃纤维增强塑料制品 7200 吨、玻纤布 1200 吨、生活</w:t>
                  </w:r>
                </w:p>
                <w:p w14:paraId="0CB32E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用品 3500 吨、塑料配件 15 吨</w:t>
                  </w:r>
                </w:p>
              </w:tc>
              <w:tc>
                <w:tcPr>
                  <w:tcW w:w="1897" w:type="dxa"/>
                  <w:vAlign w:val="center"/>
                </w:tcPr>
                <w:p w14:paraId="034124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韶环乐审〔2024〕26 号</w:t>
                  </w:r>
                </w:p>
              </w:tc>
            </w:tr>
            <w:tr w14:paraId="72524F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330" w:type="dxa"/>
                  <w:vAlign w:val="center"/>
                </w:tcPr>
                <w:p w14:paraId="389844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87</w:t>
                  </w:r>
                </w:p>
              </w:tc>
              <w:tc>
                <w:tcPr>
                  <w:tcW w:w="1301" w:type="dxa"/>
                  <w:vAlign w:val="center"/>
                </w:tcPr>
                <w:p w14:paraId="57B53C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乐昌市鑫盛塑业有限公司</w:t>
                  </w:r>
                </w:p>
              </w:tc>
              <w:tc>
                <w:tcPr>
                  <w:tcW w:w="372" w:type="dxa"/>
                  <w:vAlign w:val="center"/>
                </w:tcPr>
                <w:p w14:paraId="08974A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在建</w:t>
                  </w:r>
                </w:p>
              </w:tc>
              <w:tc>
                <w:tcPr>
                  <w:tcW w:w="1015" w:type="dxa"/>
                  <w:vAlign w:val="center"/>
                </w:tcPr>
                <w:p w14:paraId="604ADC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橡胶和塑料制品业</w:t>
                  </w:r>
                </w:p>
              </w:tc>
              <w:tc>
                <w:tcPr>
                  <w:tcW w:w="904" w:type="dxa"/>
                  <w:vAlign w:val="center"/>
                </w:tcPr>
                <w:p w14:paraId="6F7718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1182.71</w:t>
                  </w:r>
                </w:p>
              </w:tc>
              <w:tc>
                <w:tcPr>
                  <w:tcW w:w="2499" w:type="dxa"/>
                  <w:vAlign w:val="center"/>
                </w:tcPr>
                <w:p w14:paraId="6F6A80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年产编织袋 5000 吨</w:t>
                  </w:r>
                </w:p>
              </w:tc>
              <w:tc>
                <w:tcPr>
                  <w:tcW w:w="1897" w:type="dxa"/>
                  <w:vAlign w:val="center"/>
                </w:tcPr>
                <w:p w14:paraId="128350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"bookmark253"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2017</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]21 号</w:t>
                  </w:r>
                </w:p>
              </w:tc>
            </w:tr>
            <w:tr w14:paraId="7226A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6B7DA4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88</w:t>
                  </w:r>
                </w:p>
              </w:tc>
              <w:tc>
                <w:tcPr>
                  <w:tcW w:w="1301" w:type="dxa"/>
                  <w:vAlign w:val="center"/>
                </w:tcPr>
                <w:p w14:paraId="71F3CA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广东金康新材料有限公司</w:t>
                  </w:r>
                </w:p>
              </w:tc>
              <w:tc>
                <w:tcPr>
                  <w:tcW w:w="372" w:type="dxa"/>
                  <w:vAlign w:val="center"/>
                </w:tcPr>
                <w:p w14:paraId="78CB13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232A9F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化学原料和化学制品制造业</w:t>
                  </w:r>
                </w:p>
              </w:tc>
              <w:tc>
                <w:tcPr>
                  <w:tcW w:w="904" w:type="dxa"/>
                  <w:vAlign w:val="center"/>
                </w:tcPr>
                <w:p w14:paraId="549599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11260.7</w:t>
                  </w:r>
                </w:p>
              </w:tc>
              <w:tc>
                <w:tcPr>
                  <w:tcW w:w="2499" w:type="dxa"/>
                  <w:vAlign w:val="center"/>
                </w:tcPr>
                <w:p w14:paraId="77FA13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 PVC 稳定剂 3600 吨、助剂 2400 吨</w:t>
                  </w:r>
                </w:p>
              </w:tc>
              <w:tc>
                <w:tcPr>
                  <w:tcW w:w="1897" w:type="dxa"/>
                  <w:vAlign w:val="center"/>
                </w:tcPr>
                <w:p w14:paraId="2DD5F9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乐环审〔2020〕10 号</w:t>
                  </w:r>
                </w:p>
              </w:tc>
            </w:tr>
            <w:tr w14:paraId="081045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330" w:type="dxa"/>
                  <w:vAlign w:val="center"/>
                </w:tcPr>
                <w:p w14:paraId="61A729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89</w:t>
                  </w:r>
                </w:p>
              </w:tc>
              <w:tc>
                <w:tcPr>
                  <w:tcW w:w="1301" w:type="dxa"/>
                  <w:vAlign w:val="center"/>
                </w:tcPr>
                <w:p w14:paraId="5268095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韶关市恒琦耐磨材料有限公</w:t>
                  </w:r>
                </w:p>
                <w:p w14:paraId="4D4F9F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090EBB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73A8D3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6854B1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2200</w:t>
                  </w:r>
                </w:p>
              </w:tc>
              <w:tc>
                <w:tcPr>
                  <w:tcW w:w="2499" w:type="dxa"/>
                  <w:vAlign w:val="center"/>
                </w:tcPr>
                <w:p w14:paraId="4DC130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年产耐磨钢球 1 万吨</w:t>
                  </w:r>
                </w:p>
              </w:tc>
              <w:tc>
                <w:tcPr>
                  <w:tcW w:w="1897" w:type="dxa"/>
                  <w:vAlign w:val="center"/>
                </w:tcPr>
                <w:p w14:paraId="0590FC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韶环乐审〔2023〕26 号</w:t>
                  </w:r>
                </w:p>
              </w:tc>
            </w:tr>
            <w:tr w14:paraId="0A913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jc w:val="center"/>
              </w:trPr>
              <w:tc>
                <w:tcPr>
                  <w:tcW w:w="330" w:type="dxa"/>
                  <w:vAlign w:val="center"/>
                </w:tcPr>
                <w:p w14:paraId="68ED8C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90</w:t>
                  </w:r>
                </w:p>
              </w:tc>
              <w:tc>
                <w:tcPr>
                  <w:tcW w:w="1301" w:type="dxa"/>
                  <w:vAlign w:val="center"/>
                </w:tcPr>
                <w:p w14:paraId="7F38EF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乐昌市永成智能厨房设备制造有限公司</w:t>
                  </w:r>
                </w:p>
              </w:tc>
              <w:tc>
                <w:tcPr>
                  <w:tcW w:w="372" w:type="dxa"/>
                  <w:vAlign w:val="center"/>
                </w:tcPr>
                <w:p w14:paraId="031254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2694CB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通用设备制造业</w:t>
                  </w:r>
                </w:p>
              </w:tc>
              <w:tc>
                <w:tcPr>
                  <w:tcW w:w="904" w:type="dxa"/>
                  <w:vAlign w:val="center"/>
                </w:tcPr>
                <w:p w14:paraId="69EAD7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33333.33</w:t>
                  </w:r>
                </w:p>
              </w:tc>
              <w:tc>
                <w:tcPr>
                  <w:tcW w:w="2499" w:type="dxa"/>
                  <w:vAlign w:val="center"/>
                </w:tcPr>
                <w:p w14:paraId="2C7D2D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年产锅炉具类、蒸炉具类、工作台类、层架类、星盆类、柜</w:t>
                  </w:r>
                </w:p>
                <w:p w14:paraId="23BDAE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式类、消毒柜类、备餐类、餐车类、餐台类、西餐类、环保</w:t>
                  </w:r>
                </w:p>
                <w:p w14:paraId="60E753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设备类 12570 台</w:t>
                  </w:r>
                </w:p>
              </w:tc>
              <w:tc>
                <w:tcPr>
                  <w:tcW w:w="1897" w:type="dxa"/>
                  <w:vAlign w:val="center"/>
                </w:tcPr>
                <w:p w14:paraId="1335CA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"bookmark254"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2018</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]41 号</w:t>
                  </w:r>
                </w:p>
              </w:tc>
            </w:tr>
            <w:tr w14:paraId="790CF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330" w:type="dxa"/>
                  <w:vAlign w:val="center"/>
                </w:tcPr>
                <w:p w14:paraId="2E9C7E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91</w:t>
                  </w:r>
                </w:p>
              </w:tc>
              <w:tc>
                <w:tcPr>
                  <w:tcW w:w="1301" w:type="dxa"/>
                  <w:vAlign w:val="center"/>
                </w:tcPr>
                <w:p w14:paraId="226991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广东润昕新材料有限公司</w:t>
                  </w:r>
                </w:p>
              </w:tc>
              <w:tc>
                <w:tcPr>
                  <w:tcW w:w="372" w:type="dxa"/>
                  <w:vAlign w:val="center"/>
                </w:tcPr>
                <w:p w14:paraId="228554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在建</w:t>
                  </w:r>
                </w:p>
              </w:tc>
              <w:tc>
                <w:tcPr>
                  <w:tcW w:w="1015" w:type="dxa"/>
                  <w:vAlign w:val="center"/>
                </w:tcPr>
                <w:p w14:paraId="23ED8C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2F66A6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34905.44</w:t>
                  </w:r>
                </w:p>
              </w:tc>
              <w:tc>
                <w:tcPr>
                  <w:tcW w:w="2499" w:type="dxa"/>
                  <w:vAlign w:val="center"/>
                </w:tcPr>
                <w:p w14:paraId="30B8CA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年加工铝卷原料 100 万平方米</w:t>
                  </w:r>
                </w:p>
              </w:tc>
              <w:tc>
                <w:tcPr>
                  <w:tcW w:w="1897" w:type="dxa"/>
                  <w:vAlign w:val="center"/>
                </w:tcPr>
                <w:p w14:paraId="10C932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韶环乐审〔2025〕21 号</w:t>
                  </w:r>
                </w:p>
              </w:tc>
            </w:tr>
            <w:tr w14:paraId="46B99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669DD6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92</w:t>
                  </w:r>
                </w:p>
              </w:tc>
              <w:tc>
                <w:tcPr>
                  <w:tcW w:w="1301" w:type="dxa"/>
                  <w:vAlign w:val="center"/>
                </w:tcPr>
                <w:p w14:paraId="6E5DCF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筑能（韶关）精工制造有限公</w:t>
                  </w:r>
                </w:p>
                <w:p w14:paraId="43BE10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67D915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在建</w:t>
                  </w:r>
                </w:p>
              </w:tc>
              <w:tc>
                <w:tcPr>
                  <w:tcW w:w="1015" w:type="dxa"/>
                  <w:vAlign w:val="center"/>
                </w:tcPr>
                <w:p w14:paraId="62CD3E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28DFDC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36212.64</w:t>
                  </w:r>
                </w:p>
              </w:tc>
              <w:tc>
                <w:tcPr>
                  <w:tcW w:w="2499" w:type="dxa"/>
                  <w:vAlign w:val="center"/>
                </w:tcPr>
                <w:p w14:paraId="1410AD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年加工铝卷原料 150 万平方米</w:t>
                  </w:r>
                </w:p>
              </w:tc>
              <w:tc>
                <w:tcPr>
                  <w:tcW w:w="1897" w:type="dxa"/>
                  <w:vAlign w:val="center"/>
                </w:tcPr>
                <w:p w14:paraId="01604D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韶环乐审〔2025〕19 号</w:t>
                  </w:r>
                </w:p>
              </w:tc>
            </w:tr>
            <w:tr w14:paraId="7E647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330" w:type="dxa"/>
                  <w:vAlign w:val="center"/>
                </w:tcPr>
                <w:p w14:paraId="03ACC2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93</w:t>
                  </w:r>
                </w:p>
              </w:tc>
              <w:tc>
                <w:tcPr>
                  <w:tcW w:w="1301" w:type="dxa"/>
                  <w:vAlign w:val="center"/>
                </w:tcPr>
                <w:p w14:paraId="5306D8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美伦建材（韶关）有限公司</w:t>
                  </w:r>
                </w:p>
              </w:tc>
              <w:tc>
                <w:tcPr>
                  <w:tcW w:w="372" w:type="dxa"/>
                  <w:vAlign w:val="center"/>
                </w:tcPr>
                <w:p w14:paraId="73C0A8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在建</w:t>
                  </w:r>
                </w:p>
              </w:tc>
              <w:tc>
                <w:tcPr>
                  <w:tcW w:w="1015" w:type="dxa"/>
                  <w:vAlign w:val="center"/>
                </w:tcPr>
                <w:p w14:paraId="3B4F7B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57D97F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54969.22</w:t>
                  </w:r>
                </w:p>
              </w:tc>
              <w:tc>
                <w:tcPr>
                  <w:tcW w:w="2499" w:type="dxa"/>
                  <w:vAlign w:val="center"/>
                </w:tcPr>
                <w:p w14:paraId="5EBC93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年加工铝卷原料 200 万平方米</w:t>
                  </w:r>
                </w:p>
              </w:tc>
              <w:tc>
                <w:tcPr>
                  <w:tcW w:w="1897" w:type="dxa"/>
                  <w:vAlign w:val="center"/>
                </w:tcPr>
                <w:p w14:paraId="4D2856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韶环乐审〔2025〕08 号</w:t>
                  </w:r>
                </w:p>
              </w:tc>
            </w:tr>
            <w:tr w14:paraId="23A6FE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608D8D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94</w:t>
                  </w:r>
                </w:p>
              </w:tc>
              <w:tc>
                <w:tcPr>
                  <w:tcW w:w="1301" w:type="dxa"/>
                  <w:vAlign w:val="center"/>
                </w:tcPr>
                <w:p w14:paraId="2AD5ED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中荣印刷（韶关）有限公司</w:t>
                  </w:r>
                </w:p>
              </w:tc>
              <w:tc>
                <w:tcPr>
                  <w:tcW w:w="372" w:type="dxa"/>
                  <w:vAlign w:val="center"/>
                </w:tcPr>
                <w:p w14:paraId="6D23CA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1EF345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造纸和纸制品业</w:t>
                  </w:r>
                </w:p>
              </w:tc>
              <w:tc>
                <w:tcPr>
                  <w:tcW w:w="904" w:type="dxa"/>
                  <w:vAlign w:val="center"/>
                </w:tcPr>
                <w:p w14:paraId="3B68AA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3227.65</w:t>
                  </w:r>
                </w:p>
              </w:tc>
              <w:tc>
                <w:tcPr>
                  <w:tcW w:w="2499" w:type="dxa"/>
                  <w:vAlign w:val="center"/>
                </w:tcPr>
                <w:p w14:paraId="2044CA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年产彩盒 500 万个、礼盒 50 万个、卡类 500 万张</w:t>
                  </w:r>
                </w:p>
              </w:tc>
              <w:tc>
                <w:tcPr>
                  <w:tcW w:w="1897" w:type="dxa"/>
                  <w:vAlign w:val="center"/>
                </w:tcPr>
                <w:p w14:paraId="25BD2A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韶环乐审〔2024〕24 号</w:t>
                  </w:r>
                </w:p>
              </w:tc>
            </w:tr>
            <w:tr w14:paraId="594914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330" w:type="dxa"/>
                  <w:vAlign w:val="center"/>
                </w:tcPr>
                <w:p w14:paraId="43367D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95</w:t>
                  </w:r>
                </w:p>
              </w:tc>
              <w:tc>
                <w:tcPr>
                  <w:tcW w:w="1301" w:type="dxa"/>
                  <w:vAlign w:val="center"/>
                </w:tcPr>
                <w:p w14:paraId="08E200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廓鑫建材（韶关）有限公司</w:t>
                  </w:r>
                </w:p>
              </w:tc>
              <w:tc>
                <w:tcPr>
                  <w:tcW w:w="372" w:type="dxa"/>
                  <w:vAlign w:val="center"/>
                </w:tcPr>
                <w:p w14:paraId="5F94F0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在建</w:t>
                  </w:r>
                </w:p>
              </w:tc>
              <w:tc>
                <w:tcPr>
                  <w:tcW w:w="1015" w:type="dxa"/>
                  <w:vAlign w:val="center"/>
                </w:tcPr>
                <w:p w14:paraId="5AB167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4DEDA4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33373.03</w:t>
                  </w:r>
                </w:p>
              </w:tc>
              <w:tc>
                <w:tcPr>
                  <w:tcW w:w="2499" w:type="dxa"/>
                  <w:vAlign w:val="center"/>
                </w:tcPr>
                <w:p w14:paraId="11DFE2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年产钣金件 8100 吨</w:t>
                  </w:r>
                </w:p>
              </w:tc>
              <w:tc>
                <w:tcPr>
                  <w:tcW w:w="1897" w:type="dxa"/>
                  <w:vAlign w:val="center"/>
                </w:tcPr>
                <w:p w14:paraId="1762C1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韶环乐审〔2025〕25 号</w:t>
                  </w:r>
                </w:p>
              </w:tc>
            </w:tr>
            <w:tr w14:paraId="5C7D9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330" w:type="dxa"/>
                  <w:vAlign w:val="center"/>
                </w:tcPr>
                <w:p w14:paraId="3B66B5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96</w:t>
                  </w:r>
                </w:p>
              </w:tc>
              <w:tc>
                <w:tcPr>
                  <w:tcW w:w="1301" w:type="dxa"/>
                  <w:vAlign w:val="center"/>
                </w:tcPr>
                <w:p w14:paraId="7DBA31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广东三筑金属制品有限公司</w:t>
                  </w:r>
                </w:p>
              </w:tc>
              <w:tc>
                <w:tcPr>
                  <w:tcW w:w="372" w:type="dxa"/>
                  <w:vAlign w:val="center"/>
                </w:tcPr>
                <w:p w14:paraId="665080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在建</w:t>
                  </w:r>
                </w:p>
              </w:tc>
              <w:tc>
                <w:tcPr>
                  <w:tcW w:w="1015" w:type="dxa"/>
                  <w:vAlign w:val="center"/>
                </w:tcPr>
                <w:p w14:paraId="631C3A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239949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54139.29</w:t>
                  </w:r>
                </w:p>
              </w:tc>
              <w:tc>
                <w:tcPr>
                  <w:tcW w:w="2499" w:type="dxa"/>
                  <w:vAlign w:val="center"/>
                </w:tcPr>
                <w:p w14:paraId="7400F6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年产各类板及其他铝制品 110 万平方米</w:t>
                  </w:r>
                </w:p>
              </w:tc>
              <w:tc>
                <w:tcPr>
                  <w:tcW w:w="1897" w:type="dxa"/>
                  <w:vAlign w:val="center"/>
                </w:tcPr>
                <w:p w14:paraId="4DDD6D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韶环乐审〔2025〕24 号</w:t>
                  </w:r>
                </w:p>
              </w:tc>
            </w:tr>
            <w:tr w14:paraId="3C685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724E3B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97</w:t>
                  </w:r>
                </w:p>
              </w:tc>
              <w:tc>
                <w:tcPr>
                  <w:tcW w:w="1301" w:type="dxa"/>
                  <w:vAlign w:val="center"/>
                </w:tcPr>
                <w:p w14:paraId="1DC5B4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广东启健净水设备有限公司</w:t>
                  </w:r>
                </w:p>
              </w:tc>
              <w:tc>
                <w:tcPr>
                  <w:tcW w:w="372" w:type="dxa"/>
                  <w:vAlign w:val="center"/>
                </w:tcPr>
                <w:p w14:paraId="136B62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已批未建</w:t>
                  </w:r>
                </w:p>
              </w:tc>
              <w:tc>
                <w:tcPr>
                  <w:tcW w:w="1015" w:type="dxa"/>
                  <w:vAlign w:val="center"/>
                </w:tcPr>
                <w:p w14:paraId="0A9954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家具制造业</w:t>
                  </w:r>
                </w:p>
              </w:tc>
              <w:tc>
                <w:tcPr>
                  <w:tcW w:w="904" w:type="dxa"/>
                  <w:vAlign w:val="center"/>
                </w:tcPr>
                <w:p w14:paraId="65D60E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9598</w:t>
                  </w:r>
                </w:p>
              </w:tc>
              <w:tc>
                <w:tcPr>
                  <w:tcW w:w="2499" w:type="dxa"/>
                  <w:vAlign w:val="center"/>
                </w:tcPr>
                <w:p w14:paraId="26D086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年产直沸水壶机、饮水机、直饮水机、净水器、纯水机等净水设备 120 万台、饮用水机配件、净水机配件 150 万件</w:t>
                  </w:r>
                </w:p>
              </w:tc>
              <w:tc>
                <w:tcPr>
                  <w:tcW w:w="1897" w:type="dxa"/>
                  <w:vAlign w:val="center"/>
                </w:tcPr>
                <w:p w14:paraId="16C977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乐环审〔2019〕42 号</w:t>
                  </w:r>
                </w:p>
              </w:tc>
            </w:tr>
            <w:tr w14:paraId="42F2E4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541964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98</w:t>
                  </w:r>
                </w:p>
              </w:tc>
              <w:tc>
                <w:tcPr>
                  <w:tcW w:w="1301" w:type="dxa"/>
                  <w:vAlign w:val="center"/>
                </w:tcPr>
                <w:p w14:paraId="029D88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乐昌产业园工业固体废弃物设施补短板项目</w:t>
                  </w:r>
                </w:p>
              </w:tc>
              <w:tc>
                <w:tcPr>
                  <w:tcW w:w="372" w:type="dxa"/>
                  <w:vAlign w:val="center"/>
                </w:tcPr>
                <w:p w14:paraId="297630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已批未建</w:t>
                  </w:r>
                </w:p>
              </w:tc>
              <w:tc>
                <w:tcPr>
                  <w:tcW w:w="1015" w:type="dxa"/>
                  <w:vAlign w:val="center"/>
                </w:tcPr>
                <w:p w14:paraId="756F29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装卸搬运和仓储业</w:t>
                  </w:r>
                </w:p>
              </w:tc>
              <w:tc>
                <w:tcPr>
                  <w:tcW w:w="904" w:type="dxa"/>
                  <w:vAlign w:val="center"/>
                </w:tcPr>
                <w:p w14:paraId="587FA6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4000</w:t>
                  </w:r>
                </w:p>
              </w:tc>
              <w:tc>
                <w:tcPr>
                  <w:tcW w:w="2499" w:type="dxa"/>
                  <w:vAlign w:val="center"/>
                </w:tcPr>
                <w:p w14:paraId="1E26E6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年收集危险废物 2806 吨，一般固体废物 8.5 万吨。</w:t>
                  </w:r>
                </w:p>
              </w:tc>
              <w:tc>
                <w:tcPr>
                  <w:tcW w:w="1897" w:type="dxa"/>
                  <w:vAlign w:val="center"/>
                </w:tcPr>
                <w:p w14:paraId="67EF9B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韶环乐审〔2023〕05 号</w:t>
                  </w:r>
                </w:p>
              </w:tc>
            </w:tr>
            <w:tr w14:paraId="71732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jc w:val="center"/>
              </w:trPr>
              <w:tc>
                <w:tcPr>
                  <w:tcW w:w="330" w:type="dxa"/>
                  <w:vAlign w:val="center"/>
                </w:tcPr>
                <w:p w14:paraId="58775B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99</w:t>
                  </w:r>
                </w:p>
              </w:tc>
              <w:tc>
                <w:tcPr>
                  <w:tcW w:w="1301" w:type="dxa"/>
                  <w:vAlign w:val="center"/>
                </w:tcPr>
                <w:p w14:paraId="04E90A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乐昌市鑫盛威塑胶新材料科技有限公司</w:t>
                  </w:r>
                </w:p>
              </w:tc>
              <w:tc>
                <w:tcPr>
                  <w:tcW w:w="372" w:type="dxa"/>
                  <w:vAlign w:val="center"/>
                </w:tcPr>
                <w:p w14:paraId="403616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已批未建</w:t>
                  </w:r>
                </w:p>
              </w:tc>
              <w:tc>
                <w:tcPr>
                  <w:tcW w:w="1015" w:type="dxa"/>
                  <w:vAlign w:val="center"/>
                </w:tcPr>
                <w:p w14:paraId="07AB55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橡胶和塑料制品</w:t>
                  </w:r>
                </w:p>
                <w:p w14:paraId="51D71B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业、非金属矿物制</w:t>
                  </w:r>
                </w:p>
                <w:p w14:paraId="080F5F7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品业</w:t>
                  </w:r>
                </w:p>
              </w:tc>
              <w:tc>
                <w:tcPr>
                  <w:tcW w:w="904" w:type="dxa"/>
                  <w:vAlign w:val="center"/>
                </w:tcPr>
                <w:p w14:paraId="3E1266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8000</w:t>
                  </w:r>
                </w:p>
              </w:tc>
              <w:tc>
                <w:tcPr>
                  <w:tcW w:w="2499" w:type="dxa"/>
                  <w:vAlign w:val="center"/>
                </w:tcPr>
                <w:p w14:paraId="79E861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p>
                <w:p w14:paraId="6AA61E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 PVC 膜2600 吨、PU 膜 500 吨、人造石墨 2 万吨</w:t>
                  </w:r>
                </w:p>
              </w:tc>
              <w:tc>
                <w:tcPr>
                  <w:tcW w:w="1897" w:type="dxa"/>
                  <w:vAlign w:val="center"/>
                </w:tcPr>
                <w:p w14:paraId="3BF96C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"bookmark255"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2017</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]81 号、韶环乐审</w:t>
                  </w:r>
                </w:p>
                <w:p w14:paraId="61EA12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"bookmark256"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2023</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]32 号</w:t>
                  </w:r>
                </w:p>
              </w:tc>
            </w:tr>
            <w:tr w14:paraId="60B79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1B6402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100</w:t>
                  </w:r>
                </w:p>
              </w:tc>
              <w:tc>
                <w:tcPr>
                  <w:tcW w:w="1301" w:type="dxa"/>
                  <w:vAlign w:val="center"/>
                </w:tcPr>
                <w:p w14:paraId="17E2CC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乐昌市众诚塑㬵制品有限公</w:t>
                  </w:r>
                </w:p>
                <w:p w14:paraId="493964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司</w:t>
                  </w:r>
                </w:p>
              </w:tc>
              <w:tc>
                <w:tcPr>
                  <w:tcW w:w="372" w:type="dxa"/>
                  <w:vAlign w:val="center"/>
                </w:tcPr>
                <w:p w14:paraId="20CB2E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已批未建</w:t>
                  </w:r>
                </w:p>
              </w:tc>
              <w:tc>
                <w:tcPr>
                  <w:tcW w:w="1015" w:type="dxa"/>
                  <w:vAlign w:val="center"/>
                </w:tcPr>
                <w:p w14:paraId="630B91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橡胶和塑料制品业</w:t>
                  </w:r>
                </w:p>
              </w:tc>
              <w:tc>
                <w:tcPr>
                  <w:tcW w:w="904" w:type="dxa"/>
                  <w:vAlign w:val="center"/>
                </w:tcPr>
                <w:p w14:paraId="446692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12419.5</w:t>
                  </w:r>
                </w:p>
              </w:tc>
              <w:tc>
                <w:tcPr>
                  <w:tcW w:w="2499" w:type="dxa"/>
                  <w:vAlign w:val="center"/>
                </w:tcPr>
                <w:p w14:paraId="0C125A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 PU 装饰线条 1300 吨、聚氨酯装饰制品 200 吨</w:t>
                  </w:r>
                </w:p>
              </w:tc>
              <w:tc>
                <w:tcPr>
                  <w:tcW w:w="1897" w:type="dxa"/>
                  <w:vAlign w:val="center"/>
                </w:tcPr>
                <w:p w14:paraId="3C767D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"bookmark257"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2018</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 15 号</w:t>
                  </w:r>
                </w:p>
              </w:tc>
            </w:tr>
            <w:tr w14:paraId="66F30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330" w:type="dxa"/>
                  <w:vAlign w:val="center"/>
                </w:tcPr>
                <w:p w14:paraId="1C62B3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101</w:t>
                  </w:r>
                </w:p>
              </w:tc>
              <w:tc>
                <w:tcPr>
                  <w:tcW w:w="1301" w:type="dxa"/>
                  <w:vAlign w:val="center"/>
                </w:tcPr>
                <w:p w14:paraId="008332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韶关盖邦建材有限公司</w:t>
                  </w:r>
                </w:p>
              </w:tc>
              <w:tc>
                <w:tcPr>
                  <w:tcW w:w="372" w:type="dxa"/>
                  <w:vAlign w:val="center"/>
                </w:tcPr>
                <w:p w14:paraId="234481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已批未建</w:t>
                  </w:r>
                </w:p>
              </w:tc>
              <w:tc>
                <w:tcPr>
                  <w:tcW w:w="1015" w:type="dxa"/>
                  <w:vAlign w:val="center"/>
                </w:tcPr>
                <w:p w14:paraId="489729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540EE3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10000</w:t>
                  </w:r>
                </w:p>
              </w:tc>
              <w:tc>
                <w:tcPr>
                  <w:tcW w:w="2499" w:type="dxa"/>
                  <w:vAlign w:val="center"/>
                </w:tcPr>
                <w:p w14:paraId="04FBE1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 6000 个不锈钢井盖、排水沟盖板</w:t>
                  </w:r>
                </w:p>
              </w:tc>
              <w:tc>
                <w:tcPr>
                  <w:tcW w:w="1897" w:type="dxa"/>
                  <w:vAlign w:val="center"/>
                </w:tcPr>
                <w:p w14:paraId="771A65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乐环审〔2019〕33 号</w:t>
                  </w:r>
                </w:p>
              </w:tc>
            </w:tr>
            <w:tr w14:paraId="2AA657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55535E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102</w:t>
                  </w:r>
                </w:p>
              </w:tc>
              <w:tc>
                <w:tcPr>
                  <w:tcW w:w="1301" w:type="dxa"/>
                  <w:vAlign w:val="center"/>
                </w:tcPr>
                <w:p w14:paraId="5502C77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广东力齐铝模科技有限公司</w:t>
                  </w:r>
                </w:p>
              </w:tc>
              <w:tc>
                <w:tcPr>
                  <w:tcW w:w="372" w:type="dxa"/>
                  <w:vAlign w:val="center"/>
                </w:tcPr>
                <w:p w14:paraId="1FB590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停产</w:t>
                  </w:r>
                </w:p>
              </w:tc>
              <w:tc>
                <w:tcPr>
                  <w:tcW w:w="1015" w:type="dxa"/>
                  <w:vAlign w:val="center"/>
                </w:tcPr>
                <w:p w14:paraId="4C2E83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4E5916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32404.8</w:t>
                  </w:r>
                </w:p>
              </w:tc>
              <w:tc>
                <w:tcPr>
                  <w:tcW w:w="2499" w:type="dxa"/>
                  <w:vAlign w:val="center"/>
                </w:tcPr>
                <w:p w14:paraId="6B2A4E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年产铝合金建筑模板 24 万平方米，年处理结构件 6630 吨</w:t>
                  </w:r>
                </w:p>
              </w:tc>
              <w:tc>
                <w:tcPr>
                  <w:tcW w:w="1897" w:type="dxa"/>
                  <w:vAlign w:val="center"/>
                </w:tcPr>
                <w:p w14:paraId="6F36F3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乐环审〔2020〕31 号、韶环乐审</w:t>
                  </w:r>
                </w:p>
                <w:p w14:paraId="32CA8B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〔2022〕08 号</w:t>
                  </w:r>
                </w:p>
              </w:tc>
            </w:tr>
            <w:tr w14:paraId="38326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2" w:hRule="atLeast"/>
                <w:jc w:val="center"/>
              </w:trPr>
              <w:tc>
                <w:tcPr>
                  <w:tcW w:w="330" w:type="dxa"/>
                  <w:vAlign w:val="center"/>
                </w:tcPr>
                <w:p w14:paraId="272946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103</w:t>
                  </w:r>
                </w:p>
              </w:tc>
              <w:tc>
                <w:tcPr>
                  <w:tcW w:w="1301" w:type="dxa"/>
                  <w:vAlign w:val="center"/>
                </w:tcPr>
                <w:p w14:paraId="0EDD19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乐昌市吉焱实业有限公司</w:t>
                  </w:r>
                </w:p>
              </w:tc>
              <w:tc>
                <w:tcPr>
                  <w:tcW w:w="372" w:type="dxa"/>
                  <w:vAlign w:val="center"/>
                </w:tcPr>
                <w:p w14:paraId="3D0BF1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停产</w:t>
                  </w:r>
                </w:p>
              </w:tc>
              <w:tc>
                <w:tcPr>
                  <w:tcW w:w="1015" w:type="dxa"/>
                  <w:vAlign w:val="center"/>
                </w:tcPr>
                <w:p w14:paraId="769513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橡胶和塑料制品业</w:t>
                  </w:r>
                </w:p>
              </w:tc>
              <w:tc>
                <w:tcPr>
                  <w:tcW w:w="904" w:type="dxa"/>
                  <w:vAlign w:val="center"/>
                </w:tcPr>
                <w:p w14:paraId="3452B7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24875.4</w:t>
                  </w:r>
                </w:p>
              </w:tc>
              <w:tc>
                <w:tcPr>
                  <w:tcW w:w="2499" w:type="dxa"/>
                  <w:vAlign w:val="center"/>
                </w:tcPr>
                <w:p w14:paraId="0FB80B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 PU 装饰线条 1500 吨、聚氨酯装饰制品 250 吨</w:t>
                  </w:r>
                </w:p>
              </w:tc>
              <w:tc>
                <w:tcPr>
                  <w:tcW w:w="1897" w:type="dxa"/>
                  <w:vAlign w:val="center"/>
                </w:tcPr>
                <w:p w14:paraId="0684B5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"bookmark258"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2018</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 14 号</w:t>
                  </w:r>
                </w:p>
              </w:tc>
            </w:tr>
            <w:tr w14:paraId="09A6A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330" w:type="dxa"/>
                  <w:vAlign w:val="center"/>
                </w:tcPr>
                <w:p w14:paraId="2E13C7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104</w:t>
                  </w:r>
                </w:p>
              </w:tc>
              <w:tc>
                <w:tcPr>
                  <w:tcW w:w="1301" w:type="dxa"/>
                  <w:vAlign w:val="center"/>
                </w:tcPr>
                <w:p w14:paraId="3846E0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广东省嘉上实业有限公司</w:t>
                  </w:r>
                </w:p>
              </w:tc>
              <w:tc>
                <w:tcPr>
                  <w:tcW w:w="372" w:type="dxa"/>
                  <w:vAlign w:val="center"/>
                </w:tcPr>
                <w:p w14:paraId="6BDCFC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停产</w:t>
                  </w:r>
                </w:p>
              </w:tc>
              <w:tc>
                <w:tcPr>
                  <w:tcW w:w="1015" w:type="dxa"/>
                  <w:vAlign w:val="center"/>
                </w:tcPr>
                <w:p w14:paraId="750F08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橡胶和塑料制品业</w:t>
                  </w:r>
                </w:p>
              </w:tc>
              <w:tc>
                <w:tcPr>
                  <w:tcW w:w="904" w:type="dxa"/>
                  <w:vAlign w:val="center"/>
                </w:tcPr>
                <w:p w14:paraId="3B328B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12926.42</w:t>
                  </w:r>
                </w:p>
              </w:tc>
              <w:tc>
                <w:tcPr>
                  <w:tcW w:w="2499" w:type="dxa"/>
                  <w:vAlign w:val="center"/>
                </w:tcPr>
                <w:p w14:paraId="621B21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年产塑胶桶 500 万个</w:t>
                  </w:r>
                </w:p>
              </w:tc>
              <w:tc>
                <w:tcPr>
                  <w:tcW w:w="1897" w:type="dxa"/>
                  <w:vAlign w:val="center"/>
                </w:tcPr>
                <w:p w14:paraId="79A1F2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"bookmark259"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2022</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]21 号</w:t>
                  </w:r>
                </w:p>
              </w:tc>
            </w:tr>
            <w:tr w14:paraId="6439E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jc w:val="center"/>
              </w:trPr>
              <w:tc>
                <w:tcPr>
                  <w:tcW w:w="330" w:type="dxa"/>
                  <w:vAlign w:val="center"/>
                </w:tcPr>
                <w:p w14:paraId="1F80C4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105</w:t>
                  </w:r>
                </w:p>
              </w:tc>
              <w:tc>
                <w:tcPr>
                  <w:tcW w:w="1301" w:type="dxa"/>
                  <w:vAlign w:val="center"/>
                </w:tcPr>
                <w:p w14:paraId="7767E7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溢拓新能源(广东)有限公司</w:t>
                  </w:r>
                </w:p>
              </w:tc>
              <w:tc>
                <w:tcPr>
                  <w:tcW w:w="372" w:type="dxa"/>
                  <w:vAlign w:val="center"/>
                </w:tcPr>
                <w:p w14:paraId="6CC354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停产</w:t>
                  </w:r>
                </w:p>
              </w:tc>
              <w:tc>
                <w:tcPr>
                  <w:tcW w:w="1015" w:type="dxa"/>
                  <w:vAlign w:val="center"/>
                </w:tcPr>
                <w:p w14:paraId="780CA3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电气机械和器材制造业</w:t>
                  </w:r>
                </w:p>
              </w:tc>
              <w:tc>
                <w:tcPr>
                  <w:tcW w:w="904" w:type="dxa"/>
                  <w:vAlign w:val="center"/>
                </w:tcPr>
                <w:p w14:paraId="6904FE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11000</w:t>
                  </w:r>
                </w:p>
              </w:tc>
              <w:tc>
                <w:tcPr>
                  <w:tcW w:w="2499" w:type="dxa"/>
                  <w:vAlign w:val="center"/>
                </w:tcPr>
                <w:p w14:paraId="060F20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 300 万件星空灯、20 万件防触电排插、12 万件擦窗机</w:t>
                  </w:r>
                </w:p>
              </w:tc>
              <w:tc>
                <w:tcPr>
                  <w:tcW w:w="1897" w:type="dxa"/>
                  <w:vAlign w:val="center"/>
                </w:tcPr>
                <w:p w14:paraId="5F7E46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韶环乐审〔2025〕11 号</w:t>
                  </w:r>
                </w:p>
              </w:tc>
            </w:tr>
            <w:tr w14:paraId="25517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330" w:type="dxa"/>
                  <w:vAlign w:val="center"/>
                </w:tcPr>
                <w:p w14:paraId="54D61C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106</w:t>
                  </w:r>
                </w:p>
              </w:tc>
              <w:tc>
                <w:tcPr>
                  <w:tcW w:w="1301" w:type="dxa"/>
                  <w:vAlign w:val="center"/>
                </w:tcPr>
                <w:p w14:paraId="50AE62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乐昌皓强科技有限公司</w:t>
                  </w:r>
                </w:p>
              </w:tc>
              <w:tc>
                <w:tcPr>
                  <w:tcW w:w="372" w:type="dxa"/>
                  <w:vAlign w:val="center"/>
                </w:tcPr>
                <w:p w14:paraId="63EC8E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停产</w:t>
                  </w:r>
                </w:p>
              </w:tc>
              <w:tc>
                <w:tcPr>
                  <w:tcW w:w="1015" w:type="dxa"/>
                  <w:vAlign w:val="center"/>
                </w:tcPr>
                <w:p w14:paraId="6D9489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橡胶和塑料制品业</w:t>
                  </w:r>
                </w:p>
              </w:tc>
              <w:tc>
                <w:tcPr>
                  <w:tcW w:w="904" w:type="dxa"/>
                  <w:vAlign w:val="center"/>
                </w:tcPr>
                <w:p w14:paraId="1E5F85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9600</w:t>
                  </w:r>
                </w:p>
              </w:tc>
              <w:tc>
                <w:tcPr>
                  <w:tcW w:w="2499" w:type="dxa"/>
                  <w:vAlign w:val="center"/>
                </w:tcPr>
                <w:p w14:paraId="293309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 106 万平方米新型先进复合建筑塑料模板</w:t>
                  </w:r>
                </w:p>
              </w:tc>
              <w:tc>
                <w:tcPr>
                  <w:tcW w:w="1897" w:type="dxa"/>
                  <w:vAlign w:val="center"/>
                </w:tcPr>
                <w:p w14:paraId="5A1F44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韶环乐审〔2022〕02 号</w:t>
                  </w:r>
                </w:p>
              </w:tc>
            </w:tr>
            <w:tr w14:paraId="16F16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4A67B2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107</w:t>
                  </w:r>
                </w:p>
              </w:tc>
              <w:tc>
                <w:tcPr>
                  <w:tcW w:w="1301" w:type="dxa"/>
                  <w:vAlign w:val="center"/>
                </w:tcPr>
                <w:p w14:paraId="2A0801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乐昌市保利发矿山机械配件</w:t>
                  </w:r>
                </w:p>
                <w:p w14:paraId="61E77F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有限公司</w:t>
                  </w:r>
                </w:p>
              </w:tc>
              <w:tc>
                <w:tcPr>
                  <w:tcW w:w="372" w:type="dxa"/>
                  <w:vAlign w:val="center"/>
                </w:tcPr>
                <w:p w14:paraId="27658B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停产</w:t>
                  </w:r>
                </w:p>
              </w:tc>
              <w:tc>
                <w:tcPr>
                  <w:tcW w:w="1015" w:type="dxa"/>
                  <w:vAlign w:val="center"/>
                </w:tcPr>
                <w:p w14:paraId="07A6DB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1A91A2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4050</w:t>
                  </w:r>
                </w:p>
              </w:tc>
              <w:tc>
                <w:tcPr>
                  <w:tcW w:w="2499" w:type="dxa"/>
                  <w:vAlign w:val="center"/>
                </w:tcPr>
                <w:p w14:paraId="1D972D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年产破碎机边板 3000 吨、锤头 2000 吨、配件 5000 吨</w:t>
                  </w:r>
                </w:p>
              </w:tc>
              <w:tc>
                <w:tcPr>
                  <w:tcW w:w="1897" w:type="dxa"/>
                  <w:vAlign w:val="center"/>
                </w:tcPr>
                <w:p w14:paraId="4F391C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乐环审[</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"bookmark260"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2018</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]29 号、韶环乐审</w:t>
                  </w:r>
                </w:p>
                <w:p w14:paraId="3D7BD7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begin"/>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instrText xml:space="preserve"> HYPERLINK \l "bookmark261" </w:instrTex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separate"/>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2022</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fldChar w:fldCharType="end"/>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 16 号</w:t>
                  </w:r>
                </w:p>
              </w:tc>
            </w:tr>
            <w:tr w14:paraId="78E72E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58B84F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108</w:t>
                  </w:r>
                </w:p>
              </w:tc>
              <w:tc>
                <w:tcPr>
                  <w:tcW w:w="1301" w:type="dxa"/>
                  <w:vAlign w:val="center"/>
                </w:tcPr>
                <w:p w14:paraId="0B8DCC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乐昌市第二污水处理厂</w:t>
                  </w:r>
                </w:p>
              </w:tc>
              <w:tc>
                <w:tcPr>
                  <w:tcW w:w="372" w:type="dxa"/>
                  <w:vAlign w:val="center"/>
                </w:tcPr>
                <w:p w14:paraId="479EBA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44B831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污水处理及其再生利用业</w:t>
                  </w:r>
                </w:p>
              </w:tc>
              <w:tc>
                <w:tcPr>
                  <w:tcW w:w="904" w:type="dxa"/>
                  <w:vAlign w:val="center"/>
                </w:tcPr>
                <w:p w14:paraId="451D3F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56850</w:t>
                  </w:r>
                </w:p>
              </w:tc>
              <w:tc>
                <w:tcPr>
                  <w:tcW w:w="2499" w:type="dxa"/>
                  <w:vAlign w:val="center"/>
                </w:tcPr>
                <w:p w14:paraId="7759CE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处理量 30000 立方米/天</w:t>
                  </w:r>
                </w:p>
              </w:tc>
              <w:tc>
                <w:tcPr>
                  <w:tcW w:w="1897" w:type="dxa"/>
                  <w:vAlign w:val="center"/>
                </w:tcPr>
                <w:p w14:paraId="240BEB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韶环乐审〔2021〕07 号</w:t>
                  </w:r>
                </w:p>
              </w:tc>
            </w:tr>
            <w:tr w14:paraId="7D235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744C98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109</w:t>
                  </w:r>
                </w:p>
              </w:tc>
              <w:tc>
                <w:tcPr>
                  <w:tcW w:w="1301" w:type="dxa"/>
                  <w:vAlign w:val="center"/>
                </w:tcPr>
                <w:p w14:paraId="6A2EB2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乐昌市芬乐制衣有限公司</w:t>
                  </w:r>
                </w:p>
              </w:tc>
              <w:tc>
                <w:tcPr>
                  <w:tcW w:w="372" w:type="dxa"/>
                  <w:vAlign w:val="center"/>
                </w:tcPr>
                <w:p w14:paraId="66A122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43AF4D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纺织业</w:t>
                  </w:r>
                </w:p>
              </w:tc>
              <w:tc>
                <w:tcPr>
                  <w:tcW w:w="904" w:type="dxa"/>
                  <w:vAlign w:val="center"/>
                </w:tcPr>
                <w:p w14:paraId="047444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40000</w:t>
                  </w:r>
                </w:p>
              </w:tc>
              <w:tc>
                <w:tcPr>
                  <w:tcW w:w="2499" w:type="dxa"/>
                  <w:vAlign w:val="center"/>
                </w:tcPr>
                <w:p w14:paraId="08FB0C40">
                  <w:pPr>
                    <w:keepNext w:val="0"/>
                    <w:keepLines w:val="0"/>
                    <w:suppressLineNumbers w:val="0"/>
                    <w:autoSpaceDE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服装、内衣裤、卫生用品类（纸内裤）、纺织品、第二类医疗</w:t>
                  </w:r>
                </w:p>
                <w:p w14:paraId="2A054102">
                  <w:pPr>
                    <w:keepNext w:val="0"/>
                    <w:keepLines w:val="0"/>
                    <w:suppressLineNumbers w:val="0"/>
                    <w:autoSpaceDE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器械（医用口罩、防护服）、日用罩（非医用）</w:t>
                  </w:r>
                </w:p>
              </w:tc>
              <w:tc>
                <w:tcPr>
                  <w:tcW w:w="1897" w:type="dxa"/>
                  <w:vAlign w:val="center"/>
                </w:tcPr>
                <w:p w14:paraId="2A5A25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202044028100000158</w:t>
                  </w:r>
                </w:p>
              </w:tc>
            </w:tr>
            <w:tr w14:paraId="04AA2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330" w:type="dxa"/>
                  <w:vAlign w:val="center"/>
                </w:tcPr>
                <w:p w14:paraId="338891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110</w:t>
                  </w:r>
                </w:p>
              </w:tc>
              <w:tc>
                <w:tcPr>
                  <w:tcW w:w="1301" w:type="dxa"/>
                  <w:vAlign w:val="center"/>
                </w:tcPr>
                <w:p w14:paraId="0BA203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乐昌市瑞昊机械厂</w:t>
                  </w:r>
                </w:p>
              </w:tc>
              <w:tc>
                <w:tcPr>
                  <w:tcW w:w="372" w:type="dxa"/>
                  <w:vAlign w:val="center"/>
                </w:tcPr>
                <w:p w14:paraId="3FF109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30A845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19B825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600</w:t>
                  </w:r>
                </w:p>
              </w:tc>
              <w:tc>
                <w:tcPr>
                  <w:tcW w:w="2499" w:type="dxa"/>
                  <w:vAlign w:val="center"/>
                </w:tcPr>
                <w:p w14:paraId="48B247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年加工金属机械零部件 360 吨</w:t>
                  </w:r>
                </w:p>
              </w:tc>
              <w:tc>
                <w:tcPr>
                  <w:tcW w:w="1897" w:type="dxa"/>
                  <w:vAlign w:val="center"/>
                </w:tcPr>
                <w:p w14:paraId="5BBF83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201744028100000317</w:t>
                  </w:r>
                </w:p>
              </w:tc>
            </w:tr>
            <w:tr w14:paraId="30349B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76CD5E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111</w:t>
                  </w:r>
                </w:p>
              </w:tc>
              <w:tc>
                <w:tcPr>
                  <w:tcW w:w="1301" w:type="dxa"/>
                  <w:vAlign w:val="center"/>
                </w:tcPr>
                <w:p w14:paraId="6ED9C06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广东创睿极光光电有限公司</w:t>
                  </w:r>
                </w:p>
              </w:tc>
              <w:tc>
                <w:tcPr>
                  <w:tcW w:w="372" w:type="dxa"/>
                  <w:vAlign w:val="center"/>
                </w:tcPr>
                <w:p w14:paraId="3255D9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087113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计算机、通信和其他电子设备制造业</w:t>
                  </w:r>
                </w:p>
              </w:tc>
              <w:tc>
                <w:tcPr>
                  <w:tcW w:w="904" w:type="dxa"/>
                  <w:vAlign w:val="center"/>
                </w:tcPr>
                <w:p w14:paraId="15E00C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1735</w:t>
                  </w:r>
                </w:p>
              </w:tc>
              <w:tc>
                <w:tcPr>
                  <w:tcW w:w="2499" w:type="dxa"/>
                  <w:vAlign w:val="center"/>
                </w:tcPr>
                <w:p w14:paraId="40D6E2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年产约 2000 万条 LED 灯条</w:t>
                  </w:r>
                </w:p>
              </w:tc>
              <w:tc>
                <w:tcPr>
                  <w:tcW w:w="1897" w:type="dxa"/>
                  <w:vAlign w:val="center"/>
                </w:tcPr>
                <w:p w14:paraId="7DB820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201944028100000140</w:t>
                  </w:r>
                </w:p>
              </w:tc>
            </w:tr>
            <w:tr w14:paraId="09B9F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jc w:val="center"/>
              </w:trPr>
              <w:tc>
                <w:tcPr>
                  <w:tcW w:w="330" w:type="dxa"/>
                  <w:vAlign w:val="center"/>
                </w:tcPr>
                <w:p w14:paraId="7B5D89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112</w:t>
                  </w:r>
                </w:p>
              </w:tc>
              <w:tc>
                <w:tcPr>
                  <w:tcW w:w="1301" w:type="dxa"/>
                  <w:vAlign w:val="center"/>
                </w:tcPr>
                <w:p w14:paraId="00431D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昇翰科技（广东）有限公司</w:t>
                  </w:r>
                </w:p>
              </w:tc>
              <w:tc>
                <w:tcPr>
                  <w:tcW w:w="372" w:type="dxa"/>
                  <w:vAlign w:val="center"/>
                </w:tcPr>
                <w:p w14:paraId="355DD6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已建</w:t>
                  </w:r>
                </w:p>
              </w:tc>
              <w:tc>
                <w:tcPr>
                  <w:tcW w:w="1015" w:type="dxa"/>
                  <w:vAlign w:val="center"/>
                </w:tcPr>
                <w:p w14:paraId="2E1B5E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5C8CDF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1700</w:t>
                  </w:r>
                </w:p>
              </w:tc>
              <w:tc>
                <w:tcPr>
                  <w:tcW w:w="2499" w:type="dxa"/>
                  <w:vAlign w:val="center"/>
                </w:tcPr>
                <w:p w14:paraId="3E6F24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生产加工滚珠螺母、滚珠丝杆、梯形螺母、梯形丝杆、传动</w:t>
                  </w:r>
                </w:p>
                <w:p w14:paraId="5F5A8B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元件、直线导轨、直线滑块、自动化机械设备、电子元件、</w:t>
                  </w:r>
                </w:p>
                <w:p w14:paraId="289F1F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电子材料、五金材料、自动化软硬件、电子产品。</w:t>
                  </w:r>
                </w:p>
              </w:tc>
              <w:tc>
                <w:tcPr>
                  <w:tcW w:w="1897" w:type="dxa"/>
                  <w:vAlign w:val="center"/>
                </w:tcPr>
                <w:p w14:paraId="15853B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202044028100000048</w:t>
                  </w:r>
                </w:p>
              </w:tc>
            </w:tr>
            <w:tr w14:paraId="2D1248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30" w:type="dxa"/>
                  <w:vAlign w:val="center"/>
                </w:tcPr>
                <w:p w14:paraId="497E20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113</w:t>
                  </w:r>
                </w:p>
              </w:tc>
              <w:tc>
                <w:tcPr>
                  <w:tcW w:w="1301" w:type="dxa"/>
                  <w:vAlign w:val="center"/>
                </w:tcPr>
                <w:p w14:paraId="6ECBC3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广东运南新材料有限公司</w:t>
                  </w:r>
                </w:p>
              </w:tc>
              <w:tc>
                <w:tcPr>
                  <w:tcW w:w="372" w:type="dxa"/>
                  <w:vAlign w:val="center"/>
                </w:tcPr>
                <w:p w14:paraId="0C59C6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在建</w:t>
                  </w:r>
                </w:p>
              </w:tc>
              <w:tc>
                <w:tcPr>
                  <w:tcW w:w="1015" w:type="dxa"/>
                  <w:vAlign w:val="center"/>
                </w:tcPr>
                <w:p w14:paraId="249A9C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废弃资源综合利用业</w:t>
                  </w:r>
                </w:p>
              </w:tc>
              <w:tc>
                <w:tcPr>
                  <w:tcW w:w="904" w:type="dxa"/>
                  <w:vAlign w:val="center"/>
                </w:tcPr>
                <w:p w14:paraId="24FD7E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37346.12</w:t>
                  </w:r>
                </w:p>
              </w:tc>
              <w:tc>
                <w:tcPr>
                  <w:tcW w:w="2499" w:type="dxa"/>
                  <w:vAlign w:val="center"/>
                </w:tcPr>
                <w:p w14:paraId="0619AC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年产破碎料 7.1 万吨</w:t>
                  </w:r>
                </w:p>
              </w:tc>
              <w:tc>
                <w:tcPr>
                  <w:tcW w:w="1897" w:type="dxa"/>
                  <w:vAlign w:val="center"/>
                </w:tcPr>
                <w:p w14:paraId="77BEF25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韶环乐审〔2026〕05 号</w:t>
                  </w:r>
                </w:p>
              </w:tc>
            </w:tr>
            <w:tr w14:paraId="52FD0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330" w:type="dxa"/>
                  <w:vAlign w:val="center"/>
                </w:tcPr>
                <w:p w14:paraId="1D78B4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114</w:t>
                  </w:r>
                </w:p>
              </w:tc>
              <w:tc>
                <w:tcPr>
                  <w:tcW w:w="1301" w:type="dxa"/>
                  <w:vAlign w:val="center"/>
                </w:tcPr>
                <w:p w14:paraId="29842F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韶关九为新材料有限公司</w:t>
                  </w:r>
                </w:p>
              </w:tc>
              <w:tc>
                <w:tcPr>
                  <w:tcW w:w="372" w:type="dxa"/>
                  <w:vAlign w:val="center"/>
                </w:tcPr>
                <w:p w14:paraId="42CD4B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在建</w:t>
                  </w:r>
                </w:p>
              </w:tc>
              <w:tc>
                <w:tcPr>
                  <w:tcW w:w="1015" w:type="dxa"/>
                  <w:vAlign w:val="center"/>
                </w:tcPr>
                <w:p w14:paraId="73F892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金属制品业</w:t>
                  </w:r>
                </w:p>
              </w:tc>
              <w:tc>
                <w:tcPr>
                  <w:tcW w:w="904" w:type="dxa"/>
                  <w:vAlign w:val="center"/>
                </w:tcPr>
                <w:p w14:paraId="0B0BCF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52810.91</w:t>
                  </w:r>
                </w:p>
              </w:tc>
              <w:tc>
                <w:tcPr>
                  <w:tcW w:w="2499" w:type="dxa"/>
                  <w:vAlign w:val="center"/>
                </w:tcPr>
                <w:p w14:paraId="6BC833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年产铝模板 50 万平方米</w:t>
                  </w:r>
                </w:p>
              </w:tc>
              <w:tc>
                <w:tcPr>
                  <w:tcW w:w="1897" w:type="dxa"/>
                  <w:vAlign w:val="center"/>
                </w:tcPr>
                <w:p w14:paraId="6FBE56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韶环乐审〔2025〕26 号</w:t>
                  </w:r>
                </w:p>
              </w:tc>
            </w:tr>
            <w:bookmarkEnd w:id="12"/>
          </w:tbl>
          <w:p w14:paraId="10EE78F4">
            <w:pPr>
              <w:pStyle w:val="17"/>
              <w:pageBreakBefore w:val="0"/>
              <w:numPr>
                <w:ilvl w:val="0"/>
                <w:numId w:val="10"/>
              </w:numPr>
              <w:tabs>
                <w:tab w:val="clear" w:pos="3240"/>
                <w:tab w:val="clear" w:pos="6120"/>
              </w:tabs>
              <w:kinsoku/>
              <w:overflowPunct/>
              <w:topLinePunct w:val="0"/>
              <w:bidi w:val="0"/>
              <w:snapToGrid/>
              <w:spacing w:line="240" w:lineRule="auto"/>
              <w:ind w:left="0" w:leftChars="0" w:firstLine="40" w:firstLineChars="0"/>
              <w:jc w:val="center"/>
              <w:outlineLvl w:val="9"/>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园区已通过审批企业三废排放情况汇总表</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74"/>
              <w:gridCol w:w="1563"/>
              <w:gridCol w:w="2703"/>
              <w:gridCol w:w="3270"/>
            </w:tblGrid>
            <w:tr w14:paraId="25044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78" w:type="pct"/>
                  <w:gridSpan w:val="3"/>
                  <w:noWrap w:val="0"/>
                  <w:vAlign w:val="center"/>
                </w:tcPr>
                <w:p w14:paraId="08ACB1D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环境影响因素</w:t>
                  </w:r>
                </w:p>
              </w:tc>
              <w:tc>
                <w:tcPr>
                  <w:tcW w:w="1921" w:type="pct"/>
                  <w:noWrap w:val="0"/>
                  <w:vAlign w:val="center"/>
                </w:tcPr>
                <w:p w14:paraId="4949E0C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排放量</w:t>
                  </w:r>
                </w:p>
              </w:tc>
            </w:tr>
            <w:tr w14:paraId="57474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72" w:type="pct"/>
                  <w:vMerge w:val="restart"/>
                  <w:noWrap w:val="0"/>
                  <w:vAlign w:val="center"/>
                </w:tcPr>
                <w:p w14:paraId="588666B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废水</w:t>
                  </w:r>
                </w:p>
              </w:tc>
              <w:tc>
                <w:tcPr>
                  <w:tcW w:w="918" w:type="pct"/>
                  <w:vMerge w:val="restart"/>
                  <w:noWrap w:val="0"/>
                  <w:vAlign w:val="center"/>
                </w:tcPr>
                <w:p w14:paraId="55BDE7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废水</w:t>
                  </w:r>
                </w:p>
              </w:tc>
              <w:tc>
                <w:tcPr>
                  <w:tcW w:w="1587" w:type="pct"/>
                  <w:noWrap w:val="0"/>
                  <w:vAlign w:val="center"/>
                </w:tcPr>
                <w:p w14:paraId="74C4F4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废水量（m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/d）</w:t>
                  </w:r>
                </w:p>
              </w:tc>
              <w:tc>
                <w:tcPr>
                  <w:tcW w:w="3583" w:type="dxa"/>
                  <w:noWrap w:val="0"/>
                  <w:vAlign w:val="center"/>
                </w:tcPr>
                <w:p w14:paraId="728067F3">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2462.21</w:t>
                  </w:r>
                </w:p>
              </w:tc>
            </w:tr>
            <w:tr w14:paraId="0477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72" w:type="pct"/>
                  <w:vMerge w:val="continue"/>
                  <w:noWrap w:val="0"/>
                  <w:vAlign w:val="center"/>
                </w:tcPr>
                <w:p w14:paraId="49CB3F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18" w:type="pct"/>
                  <w:vMerge w:val="continue"/>
                  <w:noWrap w:val="0"/>
                  <w:vAlign w:val="center"/>
                </w:tcPr>
                <w:p w14:paraId="49C0BA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87" w:type="pct"/>
                  <w:noWrap w:val="0"/>
                  <w:vAlign w:val="center"/>
                </w:tcPr>
                <w:p w14:paraId="32827F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COD（t/a）</w:t>
                  </w:r>
                </w:p>
              </w:tc>
              <w:tc>
                <w:tcPr>
                  <w:tcW w:w="3583" w:type="dxa"/>
                  <w:noWrap w:val="0"/>
                  <w:vAlign w:val="center"/>
                </w:tcPr>
                <w:p w14:paraId="4BC66CCB">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30.39</w:t>
                  </w:r>
                </w:p>
              </w:tc>
            </w:tr>
            <w:tr w14:paraId="57FD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72" w:type="pct"/>
                  <w:vMerge w:val="continue"/>
                  <w:noWrap w:val="0"/>
                  <w:vAlign w:val="center"/>
                </w:tcPr>
                <w:p w14:paraId="3B0D42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18" w:type="pct"/>
                  <w:vMerge w:val="continue"/>
                  <w:noWrap w:val="0"/>
                  <w:vAlign w:val="center"/>
                </w:tcPr>
                <w:p w14:paraId="3EB22C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87" w:type="pct"/>
                  <w:noWrap w:val="0"/>
                  <w:vAlign w:val="center"/>
                </w:tcPr>
                <w:p w14:paraId="70E8AFA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氨氮（t/a）</w:t>
                  </w:r>
                </w:p>
              </w:tc>
              <w:tc>
                <w:tcPr>
                  <w:tcW w:w="3583" w:type="dxa"/>
                  <w:noWrap w:val="0"/>
                  <w:vAlign w:val="center"/>
                </w:tcPr>
                <w:p w14:paraId="0C9465B4">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3.794</w:t>
                  </w:r>
                </w:p>
              </w:tc>
            </w:tr>
            <w:tr w14:paraId="3FB3B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72" w:type="pct"/>
                  <w:vMerge w:val="restart"/>
                  <w:noWrap w:val="0"/>
                  <w:vAlign w:val="center"/>
                </w:tcPr>
                <w:p w14:paraId="3B25F99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废气</w:t>
                  </w:r>
                </w:p>
              </w:tc>
              <w:tc>
                <w:tcPr>
                  <w:tcW w:w="918" w:type="pct"/>
                  <w:vMerge w:val="restart"/>
                  <w:noWrap w:val="0"/>
                  <w:vAlign w:val="center"/>
                </w:tcPr>
                <w:p w14:paraId="2716130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有组织排放</w:t>
                  </w:r>
                </w:p>
              </w:tc>
              <w:tc>
                <w:tcPr>
                  <w:tcW w:w="1587" w:type="pct"/>
                  <w:noWrap w:val="0"/>
                  <w:vAlign w:val="center"/>
                </w:tcPr>
                <w:p w14:paraId="638089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SO</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3583" w:type="dxa"/>
                  <w:noWrap w:val="0"/>
                  <w:vAlign w:val="center"/>
                </w:tcPr>
                <w:p w14:paraId="22A109BC">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6"/>
                      <w:sz w:val="21"/>
                      <w:szCs w:val="21"/>
                      <w14:textFill>
                        <w14:solidFill>
                          <w14:schemeClr w14:val="tx1"/>
                        </w14:solidFill>
                      </w14:textFill>
                    </w:rPr>
                    <w:t>1.44</w:t>
                  </w:r>
                </w:p>
              </w:tc>
            </w:tr>
            <w:tr w14:paraId="6FDD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72" w:type="pct"/>
                  <w:vMerge w:val="continue"/>
                  <w:noWrap w:val="0"/>
                  <w:vAlign w:val="center"/>
                </w:tcPr>
                <w:p w14:paraId="36AB57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18" w:type="pct"/>
                  <w:vMerge w:val="continue"/>
                  <w:noWrap w:val="0"/>
                  <w:vAlign w:val="center"/>
                </w:tcPr>
                <w:p w14:paraId="0E5E07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87" w:type="pct"/>
                  <w:noWrap w:val="0"/>
                  <w:vAlign w:val="center"/>
                </w:tcPr>
                <w:p w14:paraId="1A74D7E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氮氧化物（t/a）</w:t>
                  </w:r>
                </w:p>
              </w:tc>
              <w:tc>
                <w:tcPr>
                  <w:tcW w:w="3583" w:type="dxa"/>
                  <w:noWrap w:val="0"/>
                  <w:vAlign w:val="center"/>
                </w:tcPr>
                <w:p w14:paraId="0430E79D">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4"/>
                      <w:sz w:val="21"/>
                      <w:szCs w:val="21"/>
                      <w14:textFill>
                        <w14:solidFill>
                          <w14:schemeClr w14:val="tx1"/>
                        </w14:solidFill>
                      </w14:textFill>
                    </w:rPr>
                    <w:t>14.78</w:t>
                  </w:r>
                </w:p>
              </w:tc>
            </w:tr>
            <w:tr w14:paraId="7E1B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72" w:type="pct"/>
                  <w:vMerge w:val="continue"/>
                  <w:noWrap w:val="0"/>
                  <w:vAlign w:val="center"/>
                </w:tcPr>
                <w:p w14:paraId="273BF5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18" w:type="pct"/>
                  <w:vMerge w:val="continue"/>
                  <w:noWrap w:val="0"/>
                  <w:vAlign w:val="center"/>
                </w:tcPr>
                <w:p w14:paraId="3B2795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87" w:type="pct"/>
                  <w:noWrap w:val="0"/>
                  <w:vAlign w:val="center"/>
                </w:tcPr>
                <w:p w14:paraId="1C2CB7C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烟（粉）尘（t/a）</w:t>
                  </w:r>
                </w:p>
              </w:tc>
              <w:tc>
                <w:tcPr>
                  <w:tcW w:w="3583" w:type="dxa"/>
                  <w:noWrap w:val="0"/>
                  <w:vAlign w:val="center"/>
                </w:tcPr>
                <w:p w14:paraId="40C00554">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104.36</w:t>
                  </w:r>
                </w:p>
              </w:tc>
            </w:tr>
            <w:tr w14:paraId="3AFE2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72" w:type="pct"/>
                  <w:vMerge w:val="continue"/>
                  <w:noWrap w:val="0"/>
                  <w:vAlign w:val="center"/>
                </w:tcPr>
                <w:p w14:paraId="4C76ED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18" w:type="pct"/>
                  <w:vMerge w:val="continue"/>
                  <w:noWrap w:val="0"/>
                  <w:vAlign w:val="center"/>
                </w:tcPr>
                <w:p w14:paraId="25A3BE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87" w:type="pct"/>
                  <w:noWrap w:val="0"/>
                  <w:vAlign w:val="center"/>
                </w:tcPr>
                <w:p w14:paraId="73DCDD8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非甲烷总烃（t/a）</w:t>
                  </w:r>
                </w:p>
              </w:tc>
              <w:tc>
                <w:tcPr>
                  <w:tcW w:w="3583" w:type="dxa"/>
                  <w:noWrap w:val="0"/>
                  <w:vAlign w:val="center"/>
                </w:tcPr>
                <w:p w14:paraId="5ECDE7E2">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14:textFill>
                        <w14:solidFill>
                          <w14:schemeClr w14:val="tx1"/>
                        </w14:solidFill>
                      </w14:textFill>
                    </w:rPr>
                    <w:t>43.72</w:t>
                  </w:r>
                </w:p>
              </w:tc>
            </w:tr>
            <w:tr w14:paraId="732B4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72" w:type="pct"/>
                  <w:vMerge w:val="restart"/>
                  <w:noWrap w:val="0"/>
                  <w:vAlign w:val="center"/>
                </w:tcPr>
                <w:p w14:paraId="0B62210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固体</w:t>
                  </w:r>
                </w:p>
                <w:p w14:paraId="3355CE6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废物</w:t>
                  </w:r>
                </w:p>
              </w:tc>
              <w:tc>
                <w:tcPr>
                  <w:tcW w:w="2506" w:type="pct"/>
                  <w:gridSpan w:val="2"/>
                  <w:noWrap w:val="0"/>
                  <w:vAlign w:val="center"/>
                </w:tcPr>
                <w:p w14:paraId="46C3C1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危险废物（t/a）</w:t>
                  </w:r>
                </w:p>
              </w:tc>
              <w:tc>
                <w:tcPr>
                  <w:tcW w:w="3583" w:type="dxa"/>
                  <w:noWrap w:val="0"/>
                  <w:vAlign w:val="center"/>
                </w:tcPr>
                <w:p w14:paraId="462DCDD2">
                  <w:pPr>
                    <w:jc w:val="cente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14:textFill>
                        <w14:solidFill>
                          <w14:schemeClr w14:val="tx1"/>
                        </w14:solidFill>
                      </w14:textFill>
                    </w:rPr>
                    <w:t>2278.37</w:t>
                  </w:r>
                  <w:r>
                    <w:rPr>
                      <w:rFonts w:hint="eastAsia" w:ascii="Times New Roman" w:hAnsi="Times New Roman" w:eastAsia="宋体" w:cs="Times New Roman"/>
                      <w:color w:val="000000" w:themeColor="text1"/>
                      <w:spacing w:val="-1"/>
                      <w:sz w:val="21"/>
                      <w:szCs w:val="21"/>
                      <w:lang w:eastAsia="zh-CN"/>
                      <w14:textFill>
                        <w14:solidFill>
                          <w14:schemeClr w14:val="tx1"/>
                        </w14:solidFill>
                      </w14:textFill>
                    </w:rPr>
                    <w:t>（</w:t>
                  </w:r>
                  <w:r>
                    <w:rPr>
                      <w:rFonts w:hint="eastAsia" w:ascii="Times New Roman" w:hAnsi="Times New Roman" w:eastAsia="宋体" w:cs="Times New Roman"/>
                      <w:color w:val="000000" w:themeColor="text1"/>
                      <w:spacing w:val="-1"/>
                      <w:sz w:val="21"/>
                      <w:szCs w:val="21"/>
                      <w:lang w:val="en-US" w:eastAsia="zh-CN"/>
                      <w14:textFill>
                        <w14:solidFill>
                          <w14:schemeClr w14:val="tx1"/>
                        </w14:solidFill>
                      </w14:textFill>
                    </w:rPr>
                    <w:t>委外处置</w:t>
                  </w:r>
                  <w:r>
                    <w:rPr>
                      <w:rFonts w:hint="eastAsia" w:ascii="Times New Roman" w:hAnsi="Times New Roman" w:eastAsia="宋体" w:cs="Times New Roman"/>
                      <w:color w:val="000000" w:themeColor="text1"/>
                      <w:spacing w:val="-1"/>
                      <w:sz w:val="21"/>
                      <w:szCs w:val="21"/>
                      <w:lang w:eastAsia="zh-CN"/>
                      <w14:textFill>
                        <w14:solidFill>
                          <w14:schemeClr w14:val="tx1"/>
                        </w14:solidFill>
                      </w14:textFill>
                    </w:rPr>
                    <w:t>）</w:t>
                  </w:r>
                </w:p>
              </w:tc>
            </w:tr>
            <w:tr w14:paraId="598D1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72" w:type="pct"/>
                  <w:vMerge w:val="continue"/>
                  <w:noWrap w:val="0"/>
                  <w:vAlign w:val="center"/>
                </w:tcPr>
                <w:p w14:paraId="02E42F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506" w:type="pct"/>
                  <w:gridSpan w:val="2"/>
                  <w:noWrap w:val="0"/>
                  <w:vAlign w:val="center"/>
                </w:tcPr>
                <w:p w14:paraId="73B4302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一般固废（t/a）</w:t>
                  </w:r>
                </w:p>
              </w:tc>
              <w:tc>
                <w:tcPr>
                  <w:tcW w:w="3583" w:type="dxa"/>
                  <w:noWrap w:val="0"/>
                  <w:vAlign w:val="center"/>
                </w:tcPr>
                <w:p w14:paraId="1BB2A8DD">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3"/>
                      <w:sz w:val="21"/>
                      <w:szCs w:val="21"/>
                      <w14:textFill>
                        <w14:solidFill>
                          <w14:schemeClr w14:val="tx1"/>
                        </w14:solidFill>
                      </w14:textFill>
                    </w:rPr>
                    <w:t>174050.52</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（综合利用，环卫清运）</w:t>
                  </w:r>
                </w:p>
              </w:tc>
            </w:tr>
            <w:tr w14:paraId="2FBE5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72" w:type="pct"/>
                  <w:vMerge w:val="continue"/>
                  <w:noWrap w:val="0"/>
                  <w:vAlign w:val="center"/>
                </w:tcPr>
                <w:p w14:paraId="55B080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506" w:type="pct"/>
                  <w:gridSpan w:val="2"/>
                  <w:noWrap w:val="0"/>
                  <w:vAlign w:val="center"/>
                </w:tcPr>
                <w:p w14:paraId="01B07C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生活垃圾（t/a）</w:t>
                  </w:r>
                </w:p>
              </w:tc>
              <w:tc>
                <w:tcPr>
                  <w:tcW w:w="3583" w:type="dxa"/>
                  <w:noWrap w:val="0"/>
                  <w:vAlign w:val="center"/>
                </w:tcPr>
                <w:p w14:paraId="502ACA9F">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
                      <w:sz w:val="21"/>
                      <w:szCs w:val="21"/>
                      <w14:textFill>
                        <w14:solidFill>
                          <w14:schemeClr w14:val="tx1"/>
                        </w14:solidFill>
                      </w14:textFill>
                    </w:rPr>
                    <w:t>3129.21</w:t>
                  </w:r>
                  <w:r>
                    <w:rPr>
                      <w:rFonts w:hint="default" w:ascii="Times New Roman" w:hAnsi="Times New Roman" w:eastAsia="宋体" w:cs="Times New Roman"/>
                      <w:i w:val="0"/>
                      <w:iCs w:val="0"/>
                      <w:color w:val="000000" w:themeColor="text1"/>
                      <w:kern w:val="0"/>
                      <w:sz w:val="21"/>
                      <w:szCs w:val="21"/>
                      <w:highlight w:val="none"/>
                      <w:u w:val="none"/>
                      <w:lang w:val="en-US" w:eastAsia="zh-CN"/>
                      <w14:textFill>
                        <w14:solidFill>
                          <w14:schemeClr w14:val="tx1"/>
                        </w14:solidFill>
                      </w14:textFill>
                    </w:rPr>
                    <w:t>（环卫清运）</w:t>
                  </w:r>
                </w:p>
              </w:tc>
            </w:tr>
          </w:tbl>
          <w:p w14:paraId="5AF58E5F">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p>
          <w:p w14:paraId="084F804F">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3、主要环境问题</w:t>
            </w:r>
          </w:p>
          <w:p w14:paraId="29D518ED">
            <w:pPr>
              <w:pageBreakBefore w:val="0"/>
              <w:wordWrap w:val="0"/>
              <w:overflowPunct/>
              <w:bidi w:val="0"/>
              <w:adjustRightInd w:val="0"/>
              <w:snapToGrid w:val="0"/>
              <w:spacing w:line="360" w:lineRule="auto"/>
              <w:ind w:firstLine="480" w:firstLineChars="200"/>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环境质量现状监测数据表明，项目所在区域各类环境要素均能达到相应的环境规划要求，无突出环境问题。</w:t>
            </w:r>
          </w:p>
          <w:p w14:paraId="2DF748E8">
            <w:pPr>
              <w:pageBreakBefore w:val="0"/>
              <w:wordWrap w:val="0"/>
              <w:overflowPunct/>
              <w:bidi w:val="0"/>
              <w:adjustRightInd w:val="0"/>
              <w:snapToGrid w:val="0"/>
              <w:ind w:firstLine="420" w:firstLineChars="200"/>
              <w:jc w:val="center"/>
              <w:rPr>
                <w:rFonts w:hint="default" w:ascii="Times New Roman" w:hAnsi="Times New Roman" w:cs="Times New Roman"/>
                <w:color w:val="000000" w:themeColor="text1"/>
                <w:szCs w:val="21"/>
                <w:highlight w:val="none"/>
                <w14:textFill>
                  <w14:solidFill>
                    <w14:schemeClr w14:val="tx1"/>
                  </w14:solidFill>
                </w14:textFill>
              </w:rPr>
            </w:pPr>
          </w:p>
          <w:p w14:paraId="350CE0D1">
            <w:pPr>
              <w:spacing w:line="360" w:lineRule="auto"/>
              <w:ind w:firstLine="720" w:firstLineChars="200"/>
              <w:jc w:val="left"/>
              <w:rPr>
                <w:rFonts w:hint="default" w:ascii="黑体" w:hAnsi="黑体" w:eastAsia="黑体"/>
                <w:snapToGrid w:val="0"/>
                <w:color w:val="000000" w:themeColor="text1"/>
                <w:sz w:val="36"/>
                <w:szCs w:val="36"/>
                <w:highlight w:val="none"/>
                <w:vertAlign w:val="baseline"/>
                <w:lang w:val="en-US"/>
                <w14:textFill>
                  <w14:solidFill>
                    <w14:schemeClr w14:val="tx1"/>
                  </w14:solidFill>
                </w14:textFill>
              </w:rPr>
            </w:pPr>
          </w:p>
        </w:tc>
      </w:tr>
    </w:tbl>
    <w:p w14:paraId="3DE9FC39">
      <w:pPr>
        <w:pStyle w:val="41"/>
        <w:jc w:val="center"/>
        <w:rPr>
          <w:rFonts w:ascii="黑体" w:hAnsi="黑体" w:eastAsia="黑体"/>
          <w:snapToGrid w:val="0"/>
          <w:color w:val="000000" w:themeColor="text1"/>
          <w:sz w:val="36"/>
          <w:szCs w:val="36"/>
          <w:highlight w:val="none"/>
          <w14:textFill>
            <w14:solidFill>
              <w14:schemeClr w14:val="tx1"/>
            </w14:solidFill>
          </w14:textFill>
        </w:rPr>
        <w:sectPr>
          <w:pgSz w:w="11906" w:h="16838"/>
          <w:pgMar w:top="1644" w:right="1531" w:bottom="158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12ABF57D">
      <w:pPr>
        <w:pStyle w:val="41"/>
        <w:numPr>
          <w:ilvl w:val="0"/>
          <w:numId w:val="13"/>
        </w:numPr>
        <w:spacing w:line="240" w:lineRule="auto"/>
        <w:jc w:val="center"/>
        <w:outlineLvl w:val="0"/>
        <w:rPr>
          <w:rFonts w:hint="eastAsia" w:ascii="黑体" w:hAnsi="黑体" w:eastAsia="黑体"/>
          <w:snapToGrid w:val="0"/>
          <w:color w:val="000000" w:themeColor="text1"/>
          <w:sz w:val="30"/>
          <w:szCs w:val="30"/>
          <w:highlight w:val="none"/>
          <w14:textFill>
            <w14:solidFill>
              <w14:schemeClr w14:val="tx1"/>
            </w14:solidFill>
          </w14:textFill>
        </w:rPr>
      </w:pPr>
      <w:bookmarkStart w:id="13" w:name="_Toc1482"/>
      <w:bookmarkStart w:id="14" w:name="_Toc13496"/>
      <w:bookmarkStart w:id="15" w:name="_Toc3175"/>
      <w:bookmarkStart w:id="16" w:name="_Toc6763"/>
      <w:r>
        <w:rPr>
          <w:rFonts w:hint="eastAsia" w:ascii="黑体" w:hAnsi="黑体" w:eastAsia="黑体"/>
          <w:snapToGrid w:val="0"/>
          <w:color w:val="000000" w:themeColor="text1"/>
          <w:sz w:val="30"/>
          <w:szCs w:val="30"/>
          <w:highlight w:val="none"/>
          <w14:textFill>
            <w14:solidFill>
              <w14:schemeClr w14:val="tx1"/>
            </w14:solidFill>
          </w14:textFill>
        </w:rPr>
        <w:t>区域环境质量现状、环境保护目标及评价标准</w:t>
      </w:r>
      <w:bookmarkEnd w:id="13"/>
      <w:bookmarkEnd w:id="14"/>
      <w:bookmarkEnd w:id="15"/>
      <w:bookmarkEnd w:id="16"/>
    </w:p>
    <w:tbl>
      <w:tblPr>
        <w:tblStyle w:val="4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04"/>
        <w:gridCol w:w="8557"/>
      </w:tblGrid>
      <w:tr w14:paraId="2C352C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8" w:type="pct"/>
            <w:noWrap w:val="0"/>
            <w:vAlign w:val="center"/>
          </w:tcPr>
          <w:p w14:paraId="325AC857">
            <w:pPr>
              <w:adjustRightInd w:val="0"/>
              <w:snapToGrid w:val="0"/>
              <w:jc w:val="center"/>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区域</w:t>
            </w:r>
          </w:p>
          <w:p w14:paraId="55213ACC">
            <w:pPr>
              <w:adjustRightInd w:val="0"/>
              <w:snapToGrid w:val="0"/>
              <w:jc w:val="center"/>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环境</w:t>
            </w:r>
          </w:p>
          <w:p w14:paraId="072FABC9">
            <w:pPr>
              <w:adjustRightInd w:val="0"/>
              <w:snapToGrid w:val="0"/>
              <w:jc w:val="center"/>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质量</w:t>
            </w:r>
          </w:p>
          <w:p w14:paraId="67096E25">
            <w:pPr>
              <w:adjustRightInd w:val="0"/>
              <w:snapToGrid w:val="0"/>
              <w:jc w:val="center"/>
              <w:rPr>
                <w:rFonts w:hint="default" w:ascii="Times New Roman" w:hAnsi="Times New Roman" w:cs="Times New Roman"/>
                <w:color w:val="000000" w:themeColor="text1"/>
                <w:kern w:val="0"/>
                <w:szCs w:val="21"/>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现状</w:t>
            </w:r>
          </w:p>
        </w:tc>
        <w:tc>
          <w:tcPr>
            <w:tcW w:w="4721" w:type="pct"/>
            <w:noWrap w:val="0"/>
            <w:vAlign w:val="center"/>
          </w:tcPr>
          <w:p w14:paraId="4B9A1DE3">
            <w:pPr>
              <w:spacing w:line="360" w:lineRule="auto"/>
              <w:ind w:firstLine="482" w:firstLineChars="200"/>
              <w:rPr>
                <w:rFonts w:hint="default" w:ascii="Times New Roman" w:hAnsi="Times New Roman" w:cs="Times New Roman"/>
                <w:b/>
                <w:color w:val="000000" w:themeColor="text1"/>
                <w:sz w:val="24"/>
                <w:highlight w:val="none"/>
                <w14:textFill>
                  <w14:solidFill>
                    <w14:schemeClr w14:val="tx1"/>
                  </w14:solidFill>
                </w14:textFill>
              </w:rPr>
            </w:pPr>
            <w:r>
              <w:rPr>
                <w:rFonts w:hint="default" w:ascii="Times New Roman" w:hAnsi="Times New Roman" w:cs="Times New Roman"/>
                <w:b/>
                <w:color w:val="000000" w:themeColor="text1"/>
                <w:sz w:val="24"/>
                <w:highlight w:val="none"/>
                <w:lang w:val="en-US" w:eastAsia="zh-CN"/>
                <w14:textFill>
                  <w14:solidFill>
                    <w14:schemeClr w14:val="tx1"/>
                  </w14:solidFill>
                </w14:textFill>
              </w:rPr>
              <w:t>1</w:t>
            </w:r>
            <w:r>
              <w:rPr>
                <w:rFonts w:hint="default" w:ascii="Times New Roman" w:hAnsi="Times New Roman" w:cs="Times New Roman"/>
                <w:b/>
                <w:color w:val="000000" w:themeColor="text1"/>
                <w:sz w:val="24"/>
                <w:highlight w:val="none"/>
                <w14:textFill>
                  <w14:solidFill>
                    <w14:schemeClr w14:val="tx1"/>
                  </w14:solidFill>
                </w14:textFill>
              </w:rPr>
              <w:t>、环境空气质量现状</w:t>
            </w:r>
          </w:p>
          <w:p w14:paraId="07126FD3">
            <w:pPr>
              <w:pStyle w:val="105"/>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根据《乐昌市人民政府办公室关于印发乐昌市生态环境保护“十四五”规划的通知》（乐府办〔2022〕16号）中</w:t>
            </w:r>
            <w:r>
              <w:rPr>
                <w:rFonts w:hint="eastAsia" w:ascii="Times New Roman" w:hAnsi="Times New Roman" w:cs="Times New Roman"/>
                <w:color w:val="000000" w:themeColor="text1"/>
                <w:highlight w:val="none"/>
                <w:lang w:val="en-US" w:eastAsia="zh-CN"/>
                <w14:textFill>
                  <w14:solidFill>
                    <w14:schemeClr w14:val="tx1"/>
                  </w14:solidFill>
                </w14:textFill>
              </w:rPr>
              <w:t>的</w:t>
            </w:r>
            <w:r>
              <w:rPr>
                <w:rFonts w:hint="default" w:ascii="Times New Roman" w:hAnsi="Times New Roman" w:cs="Times New Roman"/>
                <w:color w:val="000000" w:themeColor="text1"/>
                <w:highlight w:val="none"/>
                <w14:textFill>
                  <w14:solidFill>
                    <w14:schemeClr w14:val="tx1"/>
                  </w14:solidFill>
                </w14:textFill>
              </w:rPr>
              <w:t>大气环境功能区划图（详见附图6），项目所在区域为环境空气质量二类功能区，因此项目所在区域环境空气质量执行国家《环境空气质量标准》（GB3095-20</w:t>
            </w:r>
            <w:r>
              <w:rPr>
                <w:rFonts w:hint="eastAsia" w:ascii="Times New Roman" w:cs="Times New Roman"/>
                <w:color w:val="000000" w:themeColor="text1"/>
                <w:highlight w:val="none"/>
                <w:lang w:val="en-US" w:eastAsia="zh-CN"/>
                <w14:textFill>
                  <w14:solidFill>
                    <w14:schemeClr w14:val="tx1"/>
                  </w14:solidFill>
                </w14:textFill>
              </w:rPr>
              <w:t>26</w:t>
            </w:r>
            <w:r>
              <w:rPr>
                <w:rFonts w:hint="default" w:ascii="Times New Roman" w:hAnsi="Times New Roman" w:cs="Times New Roman"/>
                <w:color w:val="000000" w:themeColor="text1"/>
                <w:highlight w:val="none"/>
                <w14:textFill>
                  <w14:solidFill>
                    <w14:schemeClr w14:val="tx1"/>
                  </w14:solidFill>
                </w14:textFill>
              </w:rPr>
              <w:t>）</w:t>
            </w:r>
            <w:r>
              <w:rPr>
                <w:rFonts w:hint="eastAsia" w:ascii="Times New Roman" w:cs="Times New Roman"/>
                <w:color w:val="000000" w:themeColor="text1"/>
                <w:highlight w:val="none"/>
                <w:lang w:val="en-US" w:eastAsia="zh-CN"/>
                <w14:textFill>
                  <w14:solidFill>
                    <w14:schemeClr w14:val="tx1"/>
                  </w14:solidFill>
                </w14:textFill>
              </w:rPr>
              <w:t>过渡阶段浓度限值二级标准</w:t>
            </w:r>
            <w:r>
              <w:rPr>
                <w:rFonts w:hint="default" w:ascii="Times New Roman" w:hAnsi="Times New Roman" w:cs="Times New Roman"/>
                <w:color w:val="000000" w:themeColor="text1"/>
                <w:highlight w:val="none"/>
                <w14:textFill>
                  <w14:solidFill>
                    <w14:schemeClr w14:val="tx1"/>
                  </w14:solidFill>
                </w14:textFill>
              </w:rPr>
              <w:t>。</w:t>
            </w:r>
          </w:p>
          <w:p w14:paraId="6E69768F">
            <w:pPr>
              <w:pStyle w:val="105"/>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（1）项目所在区域环境质量达标情况</w:t>
            </w:r>
          </w:p>
          <w:p w14:paraId="151F13D0">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为了解本项目所在城市环境空气质量现状，本报告引用</w:t>
            </w:r>
            <w:r>
              <w:rPr>
                <w:rFonts w:hint="eastAsia" w:ascii="Times New Roman" w:hAnsi="Times New Roman" w:cs="Times New Roman"/>
                <w:color w:val="000000" w:themeColor="text1"/>
                <w:sz w:val="24"/>
                <w:highlight w:val="none"/>
                <w:lang w:eastAsia="zh-CN"/>
                <w14:textFill>
                  <w14:solidFill>
                    <w14:schemeClr w14:val="tx1"/>
                  </w14:solidFill>
                </w14:textFill>
              </w:rPr>
              <w:t>韶关市</w:t>
            </w:r>
            <w:r>
              <w:rPr>
                <w:rFonts w:hint="default" w:ascii="Times New Roman" w:hAnsi="Times New Roman" w:cs="Times New Roman"/>
                <w:color w:val="000000" w:themeColor="text1"/>
                <w:sz w:val="24"/>
                <w:highlight w:val="none"/>
                <w14:textFill>
                  <w14:solidFill>
                    <w14:schemeClr w14:val="tx1"/>
                  </w14:solidFill>
                </w14:textFill>
              </w:rPr>
              <w:t>生态环境局官网发布的《2024年韶关市生态环境状况公报》中各县（市）城区空气质</w:t>
            </w:r>
            <w:r>
              <w:rPr>
                <w:rFonts w:hint="eastAsia" w:ascii="Times New Roman" w:hAnsi="Times New Roman" w:cs="Times New Roman"/>
                <w:color w:val="000000" w:themeColor="text1"/>
                <w:sz w:val="24"/>
                <w:highlight w:val="none"/>
                <w:lang w:eastAsia="zh-CN"/>
                <w14:textFill>
                  <w14:solidFill>
                    <w14:schemeClr w14:val="tx1"/>
                  </w14:solidFill>
                </w14:textFill>
              </w:rPr>
              <w:t>量监</w:t>
            </w:r>
            <w:r>
              <w:rPr>
                <w:rFonts w:hint="default" w:ascii="Times New Roman" w:hAnsi="Times New Roman" w:cs="Times New Roman"/>
                <w:color w:val="000000" w:themeColor="text1"/>
                <w:sz w:val="24"/>
                <w:highlight w:val="none"/>
                <w14:textFill>
                  <w14:solidFill>
                    <w14:schemeClr w14:val="tx1"/>
                  </w14:solidFill>
                </w14:textFill>
              </w:rPr>
              <w:t>测数据进行评价</w:t>
            </w:r>
            <w:r>
              <w:rPr>
                <w:rFonts w:hint="eastAsia" w:ascii="Times New Roman" w:hAnsi="Times New Roman" w:cs="Times New Roman"/>
                <w:color w:val="000000" w:themeColor="text1"/>
                <w:sz w:val="24"/>
                <w:highlight w:val="none"/>
                <w:lang w:eastAsia="zh-CN"/>
                <w14:textFill>
                  <w14:solidFill>
                    <w14:schemeClr w14:val="tx1"/>
                  </w14:solidFill>
                </w14:textFill>
              </w:rPr>
              <w:t>，</w:t>
            </w:r>
            <w:r>
              <w:rPr>
                <w:rFonts w:hint="eastAsia" w:ascii="Times New Roman" w:hAnsi="Times New Roman" w:cs="Times New Roman"/>
                <w:color w:val="000000" w:themeColor="text1"/>
                <w:sz w:val="24"/>
                <w:highlight w:val="none"/>
                <w:lang w:val="en-US" w:eastAsia="zh-CN"/>
                <w14:textFill>
                  <w14:solidFill>
                    <w14:schemeClr w14:val="tx1"/>
                  </w14:solidFill>
                </w14:textFill>
              </w:rPr>
              <w:t>其中</w:t>
            </w:r>
            <w:r>
              <w:rPr>
                <w:rFonts w:hint="default" w:ascii="Times New Roman" w:hAnsi="Times New Roman" w:cs="Times New Roman"/>
                <w:color w:val="000000" w:themeColor="text1"/>
                <w:sz w:val="24"/>
                <w:highlight w:val="none"/>
                <w:lang w:eastAsia="zh-CN"/>
                <w14:textFill>
                  <w14:solidFill>
                    <w14:schemeClr w14:val="tx1"/>
                  </w14:solidFill>
                </w14:textFill>
              </w:rPr>
              <w:t>乐昌市空气质量各项污染物2024年平均浓度</w:t>
            </w:r>
            <w:r>
              <w:rPr>
                <w:rFonts w:hint="default" w:ascii="Times New Roman" w:hAnsi="Times New Roman" w:cs="Times New Roman"/>
                <w:color w:val="000000" w:themeColor="text1"/>
                <w:sz w:val="24"/>
                <w:highlight w:val="none"/>
                <w14:textFill>
                  <w14:solidFill>
                    <w14:schemeClr w14:val="tx1"/>
                  </w14:solidFill>
                </w14:textFill>
              </w:rPr>
              <w:t>详见下表3-</w:t>
            </w:r>
            <w:r>
              <w:rPr>
                <w:rFonts w:hint="default" w:ascii="Times New Roman" w:hAnsi="Times New Roman" w:cs="Times New Roman"/>
                <w:color w:val="000000" w:themeColor="text1"/>
                <w:sz w:val="24"/>
                <w:highlight w:val="none"/>
                <w:lang w:val="en-US" w:eastAsia="zh-CN"/>
                <w14:textFill>
                  <w14:solidFill>
                    <w14:schemeClr w14:val="tx1"/>
                  </w14:solidFill>
                </w14:textFill>
              </w:rPr>
              <w:t>1</w:t>
            </w:r>
            <w:r>
              <w:rPr>
                <w:rFonts w:hint="default" w:ascii="Times New Roman" w:hAnsi="Times New Roman" w:cs="Times New Roman"/>
                <w:color w:val="000000" w:themeColor="text1"/>
                <w:sz w:val="24"/>
                <w:highlight w:val="none"/>
                <w14:textFill>
                  <w14:solidFill>
                    <w14:schemeClr w14:val="tx1"/>
                  </w14:solidFill>
                </w14:textFill>
              </w:rPr>
              <w:t>。</w:t>
            </w:r>
          </w:p>
          <w:p w14:paraId="16A702E1">
            <w:pPr>
              <w:numPr>
                <w:ilvl w:val="0"/>
                <w:numId w:val="14"/>
              </w:numPr>
              <w:spacing w:line="240" w:lineRule="auto"/>
              <w:ind w:left="0" w:leftChars="0" w:firstLine="40" w:firstLineChars="0"/>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 xml:space="preserve"> 乐昌市区域空气质量现状评价一览表</w:t>
            </w:r>
          </w:p>
          <w:tbl>
            <w:tblPr>
              <w:tblStyle w:val="44"/>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35"/>
              <w:gridCol w:w="1826"/>
              <w:gridCol w:w="1293"/>
              <w:gridCol w:w="1873"/>
              <w:gridCol w:w="1210"/>
              <w:gridCol w:w="1186"/>
            </w:tblGrid>
            <w:tr w14:paraId="71F100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1" w:type="pct"/>
                  <w:tcBorders>
                    <w:tl2br w:val="nil"/>
                    <w:tr2bl w:val="nil"/>
                  </w:tcBorders>
                  <w:noWrap w:val="0"/>
                  <w:vAlign w:val="center"/>
                </w:tcPr>
                <w:p w14:paraId="5082D037">
                  <w:pPr>
                    <w:adjustRightInd w:val="0"/>
                    <w:snapToGrid w:val="0"/>
                    <w:spacing w:line="240" w:lineRule="auto"/>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污染物</w:t>
                  </w:r>
                </w:p>
              </w:tc>
              <w:tc>
                <w:tcPr>
                  <w:tcW w:w="1096" w:type="pct"/>
                  <w:tcBorders>
                    <w:tl2br w:val="nil"/>
                    <w:tr2bl w:val="nil"/>
                  </w:tcBorders>
                  <w:noWrap w:val="0"/>
                  <w:vAlign w:val="center"/>
                </w:tcPr>
                <w:p w14:paraId="1DB0CA7C">
                  <w:pPr>
                    <w:adjustRightInd w:val="0"/>
                    <w:snapToGrid w:val="0"/>
                    <w:spacing w:line="240" w:lineRule="auto"/>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年评价指标</w:t>
                  </w:r>
                </w:p>
              </w:tc>
              <w:tc>
                <w:tcPr>
                  <w:tcW w:w="776" w:type="pct"/>
                  <w:tcBorders>
                    <w:tl2br w:val="nil"/>
                    <w:tr2bl w:val="nil"/>
                  </w:tcBorders>
                  <w:noWrap w:val="0"/>
                  <w:vAlign w:val="center"/>
                </w:tcPr>
                <w:p w14:paraId="6560E7ED">
                  <w:pPr>
                    <w:adjustRightInd w:val="0"/>
                    <w:snapToGrid w:val="0"/>
                    <w:spacing w:line="240" w:lineRule="auto"/>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现状浓度（μg/m</w:t>
                  </w:r>
                  <w:r>
                    <w:rPr>
                      <w:rFonts w:hint="default" w:ascii="Times New Roman" w:hAnsi="Times New Roman" w:cs="Times New Roman"/>
                      <w:b/>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
                      <w:bCs/>
                      <w:color w:val="000000" w:themeColor="text1"/>
                      <w:sz w:val="21"/>
                      <w:szCs w:val="21"/>
                      <w:highlight w:val="none"/>
                      <w14:textFill>
                        <w14:solidFill>
                          <w14:schemeClr w14:val="tx1"/>
                        </w14:solidFill>
                      </w14:textFill>
                    </w:rPr>
                    <w:t>）</w:t>
                  </w:r>
                </w:p>
              </w:tc>
              <w:tc>
                <w:tcPr>
                  <w:tcW w:w="1124" w:type="pct"/>
                  <w:tcBorders>
                    <w:tl2br w:val="nil"/>
                    <w:tr2bl w:val="nil"/>
                  </w:tcBorders>
                  <w:noWrap w:val="0"/>
                  <w:vAlign w:val="center"/>
                </w:tcPr>
                <w:p w14:paraId="4F313C1B">
                  <w:pPr>
                    <w:adjustRightInd w:val="0"/>
                    <w:snapToGrid w:val="0"/>
                    <w:spacing w:line="240" w:lineRule="auto"/>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评价标准（μg/m</w:t>
                  </w:r>
                  <w:r>
                    <w:rPr>
                      <w:rFonts w:hint="default" w:ascii="Times New Roman" w:hAnsi="Times New Roman" w:cs="Times New Roman"/>
                      <w:b/>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
                      <w:bCs/>
                      <w:color w:val="000000" w:themeColor="text1"/>
                      <w:sz w:val="21"/>
                      <w:szCs w:val="21"/>
                      <w:highlight w:val="none"/>
                      <w14:textFill>
                        <w14:solidFill>
                          <w14:schemeClr w14:val="tx1"/>
                        </w14:solidFill>
                      </w14:textFill>
                    </w:rPr>
                    <w:t>）</w:t>
                  </w:r>
                </w:p>
              </w:tc>
              <w:tc>
                <w:tcPr>
                  <w:tcW w:w="726" w:type="pct"/>
                  <w:tcBorders>
                    <w:tl2br w:val="nil"/>
                    <w:tr2bl w:val="nil"/>
                  </w:tcBorders>
                  <w:noWrap w:val="0"/>
                  <w:vAlign w:val="center"/>
                </w:tcPr>
                <w:p w14:paraId="65D5C4DF">
                  <w:pPr>
                    <w:adjustRightInd w:val="0"/>
                    <w:snapToGrid w:val="0"/>
                    <w:spacing w:line="240" w:lineRule="auto"/>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占标率%</w:t>
                  </w:r>
                </w:p>
              </w:tc>
              <w:tc>
                <w:tcPr>
                  <w:tcW w:w="712" w:type="pct"/>
                  <w:tcBorders>
                    <w:tl2br w:val="nil"/>
                    <w:tr2bl w:val="nil"/>
                  </w:tcBorders>
                  <w:noWrap w:val="0"/>
                  <w:vAlign w:val="center"/>
                </w:tcPr>
                <w:p w14:paraId="36274F44">
                  <w:pPr>
                    <w:adjustRightInd w:val="0"/>
                    <w:snapToGrid w:val="0"/>
                    <w:spacing w:line="240" w:lineRule="auto"/>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达标情况</w:t>
                  </w:r>
                </w:p>
              </w:tc>
            </w:tr>
            <w:tr w14:paraId="533BDE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1" w:type="pct"/>
                  <w:tcBorders>
                    <w:tl2br w:val="nil"/>
                    <w:tr2bl w:val="nil"/>
                  </w:tcBorders>
                  <w:noWrap w:val="0"/>
                  <w:vAlign w:val="center"/>
                </w:tcPr>
                <w:p w14:paraId="44408AFE">
                  <w:pPr>
                    <w:adjustRightInd w:val="0"/>
                    <w:snapToGrid w:val="0"/>
                    <w:spacing w:line="240" w:lineRule="auto"/>
                    <w:jc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SO</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2</w:t>
                  </w:r>
                </w:p>
              </w:tc>
              <w:tc>
                <w:tcPr>
                  <w:tcW w:w="1096" w:type="pct"/>
                  <w:tcBorders>
                    <w:tl2br w:val="nil"/>
                    <w:tr2bl w:val="nil"/>
                  </w:tcBorders>
                  <w:noWrap w:val="0"/>
                  <w:vAlign w:val="center"/>
                </w:tcPr>
                <w:p w14:paraId="0AC64BE8">
                  <w:pPr>
                    <w:adjustRightInd w:val="0"/>
                    <w:snapToGrid w:val="0"/>
                    <w:spacing w:line="240" w:lineRule="auto"/>
                    <w:jc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年平均质量浓度</w:t>
                  </w:r>
                </w:p>
              </w:tc>
              <w:tc>
                <w:tcPr>
                  <w:tcW w:w="1293" w:type="dxa"/>
                  <w:tcBorders>
                    <w:tl2br w:val="nil"/>
                    <w:tr2bl w:val="nil"/>
                  </w:tcBorders>
                  <w:noWrap w:val="0"/>
                  <w:vAlign w:val="center"/>
                </w:tcPr>
                <w:p w14:paraId="49964ED5">
                  <w:pPr>
                    <w:adjustRightInd w:val="0"/>
                    <w:snapToGrid w:val="0"/>
                    <w:spacing w:line="240" w:lineRule="auto"/>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6</w:t>
                  </w:r>
                </w:p>
              </w:tc>
              <w:tc>
                <w:tcPr>
                  <w:tcW w:w="1873" w:type="dxa"/>
                  <w:tcBorders>
                    <w:tl2br w:val="nil"/>
                    <w:tr2bl w:val="nil"/>
                  </w:tcBorders>
                  <w:noWrap w:val="0"/>
                  <w:vAlign w:val="center"/>
                </w:tcPr>
                <w:p w14:paraId="648CE1D8">
                  <w:pPr>
                    <w:adjustRightInd w:val="0"/>
                    <w:snapToGrid w:val="0"/>
                    <w:spacing w:line="240" w:lineRule="auto"/>
                    <w:jc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60</w:t>
                  </w:r>
                </w:p>
              </w:tc>
              <w:tc>
                <w:tcPr>
                  <w:tcW w:w="1218" w:type="dxa"/>
                  <w:tcBorders>
                    <w:tl2br w:val="nil"/>
                    <w:tr2bl w:val="nil"/>
                  </w:tcBorders>
                  <w:noWrap w:val="0"/>
                  <w:vAlign w:val="center"/>
                </w:tcPr>
                <w:p w14:paraId="175EB614">
                  <w:pPr>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10.00</w:t>
                  </w:r>
                </w:p>
              </w:tc>
              <w:tc>
                <w:tcPr>
                  <w:tcW w:w="712" w:type="pct"/>
                  <w:tcBorders>
                    <w:tl2br w:val="nil"/>
                    <w:tr2bl w:val="nil"/>
                  </w:tcBorders>
                  <w:noWrap w:val="0"/>
                  <w:vAlign w:val="center"/>
                </w:tcPr>
                <w:p w14:paraId="41A85DA2">
                  <w:pPr>
                    <w:adjustRightInd w:val="0"/>
                    <w:snapToGrid w:val="0"/>
                    <w:spacing w:line="240" w:lineRule="auto"/>
                    <w:jc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达标</w:t>
                  </w:r>
                </w:p>
              </w:tc>
            </w:tr>
            <w:tr w14:paraId="3ABD24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1" w:type="pct"/>
                  <w:tcBorders>
                    <w:tl2br w:val="nil"/>
                    <w:tr2bl w:val="nil"/>
                  </w:tcBorders>
                  <w:noWrap w:val="0"/>
                  <w:vAlign w:val="center"/>
                </w:tcPr>
                <w:p w14:paraId="5B112D46">
                  <w:pPr>
                    <w:adjustRightInd w:val="0"/>
                    <w:snapToGrid w:val="0"/>
                    <w:spacing w:line="240" w:lineRule="auto"/>
                    <w:jc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NO</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2</w:t>
                  </w:r>
                </w:p>
              </w:tc>
              <w:tc>
                <w:tcPr>
                  <w:tcW w:w="1096" w:type="pct"/>
                  <w:tcBorders>
                    <w:tl2br w:val="nil"/>
                    <w:tr2bl w:val="nil"/>
                  </w:tcBorders>
                  <w:noWrap w:val="0"/>
                  <w:vAlign w:val="center"/>
                </w:tcPr>
                <w:p w14:paraId="31BF9A4A">
                  <w:pPr>
                    <w:adjustRightInd w:val="0"/>
                    <w:snapToGrid w:val="0"/>
                    <w:spacing w:line="240" w:lineRule="auto"/>
                    <w:jc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年平均质量浓度</w:t>
                  </w:r>
                </w:p>
              </w:tc>
              <w:tc>
                <w:tcPr>
                  <w:tcW w:w="1293" w:type="dxa"/>
                  <w:tcBorders>
                    <w:tl2br w:val="nil"/>
                    <w:tr2bl w:val="nil"/>
                  </w:tcBorders>
                  <w:noWrap w:val="0"/>
                  <w:vAlign w:val="center"/>
                </w:tcPr>
                <w:p w14:paraId="73B8E42A">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12</w:t>
                  </w:r>
                </w:p>
              </w:tc>
              <w:tc>
                <w:tcPr>
                  <w:tcW w:w="1873" w:type="dxa"/>
                  <w:tcBorders>
                    <w:tl2br w:val="nil"/>
                    <w:tr2bl w:val="nil"/>
                  </w:tcBorders>
                  <w:noWrap w:val="0"/>
                  <w:vAlign w:val="center"/>
                </w:tcPr>
                <w:p w14:paraId="36B61B60">
                  <w:pPr>
                    <w:adjustRightInd w:val="0"/>
                    <w:snapToGrid w:val="0"/>
                    <w:spacing w:line="240" w:lineRule="auto"/>
                    <w:jc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40</w:t>
                  </w:r>
                </w:p>
              </w:tc>
              <w:tc>
                <w:tcPr>
                  <w:tcW w:w="1218" w:type="dxa"/>
                  <w:tcBorders>
                    <w:tl2br w:val="nil"/>
                    <w:tr2bl w:val="nil"/>
                  </w:tcBorders>
                  <w:noWrap w:val="0"/>
                  <w:vAlign w:val="center"/>
                </w:tcPr>
                <w:p w14:paraId="216F37D5">
                  <w:pPr>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30.00</w:t>
                  </w:r>
                </w:p>
              </w:tc>
              <w:tc>
                <w:tcPr>
                  <w:tcW w:w="712" w:type="pct"/>
                  <w:tcBorders>
                    <w:tl2br w:val="nil"/>
                    <w:tr2bl w:val="nil"/>
                  </w:tcBorders>
                  <w:noWrap w:val="0"/>
                  <w:vAlign w:val="center"/>
                </w:tcPr>
                <w:p w14:paraId="45A3B8ED">
                  <w:pPr>
                    <w:adjustRightInd w:val="0"/>
                    <w:snapToGrid w:val="0"/>
                    <w:spacing w:line="240" w:lineRule="auto"/>
                    <w:jc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达标</w:t>
                  </w:r>
                </w:p>
              </w:tc>
            </w:tr>
            <w:tr w14:paraId="3E9BE2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1" w:type="pct"/>
                  <w:tcBorders>
                    <w:tl2br w:val="nil"/>
                    <w:tr2bl w:val="nil"/>
                  </w:tcBorders>
                  <w:noWrap w:val="0"/>
                  <w:vAlign w:val="center"/>
                </w:tcPr>
                <w:p w14:paraId="5B8AF9EB">
                  <w:pPr>
                    <w:adjustRightInd w:val="0"/>
                    <w:snapToGrid w:val="0"/>
                    <w:spacing w:line="240" w:lineRule="auto"/>
                    <w:jc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PM</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2.5</w:t>
                  </w:r>
                </w:p>
              </w:tc>
              <w:tc>
                <w:tcPr>
                  <w:tcW w:w="1096" w:type="pct"/>
                  <w:tcBorders>
                    <w:tl2br w:val="nil"/>
                    <w:tr2bl w:val="nil"/>
                  </w:tcBorders>
                  <w:noWrap w:val="0"/>
                  <w:vAlign w:val="center"/>
                </w:tcPr>
                <w:p w14:paraId="5A355C2C">
                  <w:pPr>
                    <w:adjustRightInd w:val="0"/>
                    <w:snapToGrid w:val="0"/>
                    <w:spacing w:line="240" w:lineRule="auto"/>
                    <w:jc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年平均质量浓度</w:t>
                  </w:r>
                </w:p>
              </w:tc>
              <w:tc>
                <w:tcPr>
                  <w:tcW w:w="1293" w:type="dxa"/>
                  <w:tcBorders>
                    <w:tl2br w:val="nil"/>
                    <w:tr2bl w:val="nil"/>
                  </w:tcBorders>
                  <w:noWrap w:val="0"/>
                  <w:vAlign w:val="center"/>
                </w:tcPr>
                <w:p w14:paraId="0AD0ACFB">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w:t>
                  </w:r>
                  <w:r>
                    <w:rPr>
                      <w:rFonts w:hint="eastAsia" w:ascii="Times New Roman" w:hAnsi="Times New Roman" w:cs="Times New Roman"/>
                      <w:color w:val="000000" w:themeColor="text1"/>
                      <w:sz w:val="21"/>
                      <w:szCs w:val="21"/>
                      <w:lang w:val="en-US" w:eastAsia="zh-CN"/>
                      <w14:textFill>
                        <w14:solidFill>
                          <w14:schemeClr w14:val="tx1"/>
                        </w14:solidFill>
                      </w14:textFill>
                    </w:rPr>
                    <w:t>1</w:t>
                  </w:r>
                </w:p>
              </w:tc>
              <w:tc>
                <w:tcPr>
                  <w:tcW w:w="1873" w:type="dxa"/>
                  <w:tcBorders>
                    <w:tl2br w:val="nil"/>
                    <w:tr2bl w:val="nil"/>
                  </w:tcBorders>
                  <w:noWrap w:val="0"/>
                  <w:vAlign w:val="center"/>
                </w:tcPr>
                <w:p w14:paraId="40594A01">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30</w:t>
                  </w:r>
                </w:p>
              </w:tc>
              <w:tc>
                <w:tcPr>
                  <w:tcW w:w="1218" w:type="dxa"/>
                  <w:tcBorders>
                    <w:tl2br w:val="nil"/>
                    <w:tr2bl w:val="nil"/>
                  </w:tcBorders>
                  <w:noWrap w:val="0"/>
                  <w:vAlign w:val="center"/>
                </w:tcPr>
                <w:p w14:paraId="01FB107A">
                  <w:pPr>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0.00</w:t>
                  </w:r>
                </w:p>
              </w:tc>
              <w:tc>
                <w:tcPr>
                  <w:tcW w:w="712" w:type="pct"/>
                  <w:tcBorders>
                    <w:tl2br w:val="nil"/>
                    <w:tr2bl w:val="nil"/>
                  </w:tcBorders>
                  <w:noWrap w:val="0"/>
                  <w:vAlign w:val="center"/>
                </w:tcPr>
                <w:p w14:paraId="5FB15ABE">
                  <w:pPr>
                    <w:adjustRightInd w:val="0"/>
                    <w:snapToGrid w:val="0"/>
                    <w:spacing w:line="240" w:lineRule="auto"/>
                    <w:jc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达标</w:t>
                  </w:r>
                </w:p>
              </w:tc>
            </w:tr>
            <w:tr w14:paraId="6014E3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1" w:type="pct"/>
                  <w:tcBorders>
                    <w:tl2br w:val="nil"/>
                    <w:tr2bl w:val="nil"/>
                  </w:tcBorders>
                  <w:noWrap w:val="0"/>
                  <w:vAlign w:val="center"/>
                </w:tcPr>
                <w:p w14:paraId="627EC93C">
                  <w:pPr>
                    <w:adjustRightInd w:val="0"/>
                    <w:snapToGrid w:val="0"/>
                    <w:spacing w:line="240" w:lineRule="auto"/>
                    <w:jc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PM</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10</w:t>
                  </w:r>
                </w:p>
              </w:tc>
              <w:tc>
                <w:tcPr>
                  <w:tcW w:w="1096" w:type="pct"/>
                  <w:tcBorders>
                    <w:tl2br w:val="nil"/>
                    <w:tr2bl w:val="nil"/>
                  </w:tcBorders>
                  <w:noWrap w:val="0"/>
                  <w:vAlign w:val="center"/>
                </w:tcPr>
                <w:p w14:paraId="70CBF6D2">
                  <w:pPr>
                    <w:adjustRightInd w:val="0"/>
                    <w:snapToGrid w:val="0"/>
                    <w:spacing w:line="240" w:lineRule="auto"/>
                    <w:jc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年平均质量浓度</w:t>
                  </w:r>
                </w:p>
              </w:tc>
              <w:tc>
                <w:tcPr>
                  <w:tcW w:w="1293" w:type="dxa"/>
                  <w:tcBorders>
                    <w:tl2br w:val="nil"/>
                    <w:tr2bl w:val="nil"/>
                  </w:tcBorders>
                  <w:noWrap w:val="0"/>
                  <w:vAlign w:val="center"/>
                </w:tcPr>
                <w:p w14:paraId="1E76A9C2">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w:t>
                  </w:r>
                  <w:r>
                    <w:rPr>
                      <w:rFonts w:hint="eastAsia" w:ascii="Times New Roman" w:hAnsi="Times New Roman" w:cs="Times New Roman"/>
                      <w:color w:val="000000" w:themeColor="text1"/>
                      <w:sz w:val="21"/>
                      <w:szCs w:val="21"/>
                      <w:lang w:val="en-US" w:eastAsia="zh-CN"/>
                      <w14:textFill>
                        <w14:solidFill>
                          <w14:schemeClr w14:val="tx1"/>
                        </w14:solidFill>
                      </w14:textFill>
                    </w:rPr>
                    <w:t>1</w:t>
                  </w:r>
                </w:p>
              </w:tc>
              <w:tc>
                <w:tcPr>
                  <w:tcW w:w="1873" w:type="dxa"/>
                  <w:tcBorders>
                    <w:tl2br w:val="nil"/>
                    <w:tr2bl w:val="nil"/>
                  </w:tcBorders>
                  <w:noWrap w:val="0"/>
                  <w:vAlign w:val="center"/>
                </w:tcPr>
                <w:p w14:paraId="70F0547D">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60</w:t>
                  </w:r>
                </w:p>
              </w:tc>
              <w:tc>
                <w:tcPr>
                  <w:tcW w:w="1218" w:type="dxa"/>
                  <w:tcBorders>
                    <w:tl2br w:val="nil"/>
                    <w:tr2bl w:val="nil"/>
                  </w:tcBorders>
                  <w:noWrap w:val="0"/>
                  <w:vAlign w:val="center"/>
                </w:tcPr>
                <w:p w14:paraId="636C39AD">
                  <w:pPr>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51.7</w:t>
                  </w:r>
                </w:p>
              </w:tc>
              <w:tc>
                <w:tcPr>
                  <w:tcW w:w="712" w:type="pct"/>
                  <w:tcBorders>
                    <w:tl2br w:val="nil"/>
                    <w:tr2bl w:val="nil"/>
                  </w:tcBorders>
                  <w:noWrap w:val="0"/>
                  <w:vAlign w:val="center"/>
                </w:tcPr>
                <w:p w14:paraId="14B2B4D0">
                  <w:pPr>
                    <w:adjustRightInd w:val="0"/>
                    <w:snapToGrid w:val="0"/>
                    <w:spacing w:line="240" w:lineRule="auto"/>
                    <w:jc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达标</w:t>
                  </w:r>
                </w:p>
              </w:tc>
            </w:tr>
            <w:tr w14:paraId="69D2A8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1" w:type="pct"/>
                  <w:tcBorders>
                    <w:tl2br w:val="nil"/>
                    <w:tr2bl w:val="nil"/>
                  </w:tcBorders>
                  <w:noWrap w:val="0"/>
                  <w:vAlign w:val="center"/>
                </w:tcPr>
                <w:p w14:paraId="742D56B0">
                  <w:pPr>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CO</w:t>
                  </w:r>
                </w:p>
              </w:tc>
              <w:tc>
                <w:tcPr>
                  <w:tcW w:w="1096" w:type="pct"/>
                  <w:tcBorders>
                    <w:tl2br w:val="nil"/>
                    <w:tr2bl w:val="nil"/>
                  </w:tcBorders>
                  <w:noWrap w:val="0"/>
                  <w:vAlign w:val="center"/>
                </w:tcPr>
                <w:p w14:paraId="24E34FDD">
                  <w:pPr>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24小时平均值第95百分位数</w:t>
                  </w:r>
                </w:p>
              </w:tc>
              <w:tc>
                <w:tcPr>
                  <w:tcW w:w="1293" w:type="dxa"/>
                  <w:tcBorders>
                    <w:tl2br w:val="nil"/>
                    <w:tr2bl w:val="nil"/>
                  </w:tcBorders>
                  <w:noWrap w:val="0"/>
                  <w:vAlign w:val="center"/>
                </w:tcPr>
                <w:p w14:paraId="76DC0345">
                  <w:pPr>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10</w:t>
                  </w:r>
                  <w:r>
                    <w:rPr>
                      <w:rFonts w:hint="default" w:ascii="Times New Roman" w:hAnsi="Times New Roman" w:cs="Times New Roman"/>
                      <w:color w:val="000000" w:themeColor="text1"/>
                      <w:sz w:val="21"/>
                      <w:szCs w:val="21"/>
                      <w14:textFill>
                        <w14:solidFill>
                          <w14:schemeClr w14:val="tx1"/>
                        </w14:solidFill>
                      </w14:textFill>
                    </w:rPr>
                    <w:t>00</w:t>
                  </w:r>
                </w:p>
              </w:tc>
              <w:tc>
                <w:tcPr>
                  <w:tcW w:w="1873" w:type="dxa"/>
                  <w:tcBorders>
                    <w:tl2br w:val="nil"/>
                    <w:tr2bl w:val="nil"/>
                  </w:tcBorders>
                  <w:noWrap w:val="0"/>
                  <w:vAlign w:val="center"/>
                </w:tcPr>
                <w:p w14:paraId="30CEB7BA">
                  <w:pPr>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4000</w:t>
                  </w:r>
                </w:p>
              </w:tc>
              <w:tc>
                <w:tcPr>
                  <w:tcW w:w="1218" w:type="dxa"/>
                  <w:tcBorders>
                    <w:tl2br w:val="nil"/>
                    <w:tr2bl w:val="nil"/>
                  </w:tcBorders>
                  <w:noWrap w:val="0"/>
                  <w:vAlign w:val="center"/>
                </w:tcPr>
                <w:p w14:paraId="642105C8">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25.00</w:t>
                  </w:r>
                </w:p>
              </w:tc>
              <w:tc>
                <w:tcPr>
                  <w:tcW w:w="712" w:type="pct"/>
                  <w:tcBorders>
                    <w:tl2br w:val="nil"/>
                    <w:tr2bl w:val="nil"/>
                  </w:tcBorders>
                  <w:noWrap w:val="0"/>
                  <w:vAlign w:val="center"/>
                </w:tcPr>
                <w:p w14:paraId="50112A2D">
                  <w:pPr>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达标</w:t>
                  </w:r>
                </w:p>
              </w:tc>
            </w:tr>
            <w:tr w14:paraId="154D80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1" w:type="pct"/>
                  <w:tcBorders>
                    <w:tl2br w:val="nil"/>
                    <w:tr2bl w:val="nil"/>
                  </w:tcBorders>
                  <w:noWrap w:val="0"/>
                  <w:vAlign w:val="center"/>
                </w:tcPr>
                <w:p w14:paraId="3D36A049">
                  <w:pPr>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O</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3</w:t>
                  </w:r>
                </w:p>
              </w:tc>
              <w:tc>
                <w:tcPr>
                  <w:tcW w:w="1096" w:type="pct"/>
                  <w:tcBorders>
                    <w:tl2br w:val="nil"/>
                    <w:tr2bl w:val="nil"/>
                  </w:tcBorders>
                  <w:noWrap w:val="0"/>
                  <w:vAlign w:val="center"/>
                </w:tcPr>
                <w:p w14:paraId="6293E83C">
                  <w:pPr>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日</w:t>
                  </w:r>
                  <w:r>
                    <w:rPr>
                      <w:rFonts w:hint="default" w:ascii="Times New Roman" w:hAnsi="Times New Roman" w:cs="Times New Roman"/>
                      <w:color w:val="000000" w:themeColor="text1"/>
                      <w:sz w:val="21"/>
                      <w:szCs w:val="21"/>
                      <w:highlight w:val="none"/>
                      <w14:textFill>
                        <w14:solidFill>
                          <w14:schemeClr w14:val="tx1"/>
                        </w14:solidFill>
                      </w14:textFill>
                    </w:rPr>
                    <w:t>最大8小时平均值第90百分位数</w:t>
                  </w:r>
                </w:p>
              </w:tc>
              <w:tc>
                <w:tcPr>
                  <w:tcW w:w="1293" w:type="dxa"/>
                  <w:tcBorders>
                    <w:tl2br w:val="nil"/>
                    <w:tr2bl w:val="nil"/>
                  </w:tcBorders>
                  <w:noWrap w:val="0"/>
                  <w:vAlign w:val="center"/>
                </w:tcPr>
                <w:p w14:paraId="095C0184">
                  <w:pPr>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r>
                    <w:rPr>
                      <w:rFonts w:hint="eastAsia" w:ascii="Times New Roman" w:hAnsi="Times New Roman" w:cs="Times New Roman"/>
                      <w:color w:val="000000" w:themeColor="text1"/>
                      <w:sz w:val="21"/>
                      <w:szCs w:val="21"/>
                      <w:lang w:val="en-US" w:eastAsia="zh-CN"/>
                      <w14:textFill>
                        <w14:solidFill>
                          <w14:schemeClr w14:val="tx1"/>
                        </w14:solidFill>
                      </w14:textFill>
                    </w:rPr>
                    <w:t>08</w:t>
                  </w:r>
                </w:p>
              </w:tc>
              <w:tc>
                <w:tcPr>
                  <w:tcW w:w="1873" w:type="dxa"/>
                  <w:tcBorders>
                    <w:tl2br w:val="nil"/>
                    <w:tr2bl w:val="nil"/>
                  </w:tcBorders>
                  <w:noWrap w:val="0"/>
                  <w:vAlign w:val="center"/>
                </w:tcPr>
                <w:p w14:paraId="623B73CF">
                  <w:pPr>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160</w:t>
                  </w:r>
                </w:p>
              </w:tc>
              <w:tc>
                <w:tcPr>
                  <w:tcW w:w="1218" w:type="dxa"/>
                  <w:tcBorders>
                    <w:tl2br w:val="nil"/>
                    <w:tr2bl w:val="nil"/>
                  </w:tcBorders>
                  <w:noWrap w:val="0"/>
                  <w:vAlign w:val="center"/>
                </w:tcPr>
                <w:p w14:paraId="187F7B9A">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67.50</w:t>
                  </w:r>
                </w:p>
              </w:tc>
              <w:tc>
                <w:tcPr>
                  <w:tcW w:w="712" w:type="pct"/>
                  <w:tcBorders>
                    <w:tl2br w:val="nil"/>
                    <w:tr2bl w:val="nil"/>
                  </w:tcBorders>
                  <w:noWrap w:val="0"/>
                  <w:vAlign w:val="center"/>
                </w:tcPr>
                <w:p w14:paraId="3F9AEEE3">
                  <w:pPr>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达标</w:t>
                  </w:r>
                </w:p>
              </w:tc>
            </w:tr>
          </w:tbl>
          <w:p w14:paraId="350A7BEB">
            <w:pPr>
              <w:spacing w:line="120" w:lineRule="auto"/>
              <w:ind w:firstLine="420" w:firstLineChars="200"/>
              <w:rPr>
                <w:rFonts w:hint="default" w:ascii="Times New Roman" w:hAnsi="Times New Roman" w:cs="Times New Roman"/>
                <w:color w:val="000000" w:themeColor="text1"/>
                <w:highlight w:val="none"/>
                <w14:textFill>
                  <w14:solidFill>
                    <w14:schemeClr w14:val="tx1"/>
                  </w14:solidFill>
                </w14:textFill>
              </w:rPr>
            </w:pPr>
          </w:p>
          <w:p w14:paraId="1817CF36">
            <w:pPr>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根据上表，202</w:t>
            </w:r>
            <w:r>
              <w:rPr>
                <w:rFonts w:hint="eastAsia" w:ascii="Times New Roman" w:hAnsi="Times New Roman" w:cs="Times New Roman"/>
                <w:color w:val="000000" w:themeColor="text1"/>
                <w:sz w:val="24"/>
                <w:highlight w:val="none"/>
                <w:lang w:val="en-US" w:eastAsia="zh-CN"/>
                <w14:textFill>
                  <w14:solidFill>
                    <w14:schemeClr w14:val="tx1"/>
                  </w14:solidFill>
                </w14:textFill>
              </w:rPr>
              <w:t>4</w:t>
            </w:r>
            <w:r>
              <w:rPr>
                <w:rFonts w:hint="default" w:ascii="Times New Roman" w:hAnsi="Times New Roman" w:cs="Times New Roman"/>
                <w:color w:val="000000" w:themeColor="text1"/>
                <w:sz w:val="24"/>
                <w:highlight w:val="none"/>
                <w14:textFill>
                  <w14:solidFill>
                    <w14:schemeClr w14:val="tx1"/>
                  </w14:solidFill>
                </w14:textFill>
              </w:rPr>
              <w:t>年</w:t>
            </w:r>
            <w:r>
              <w:rPr>
                <w:rFonts w:hint="eastAsia" w:ascii="Times New Roman" w:hAnsi="Times New Roman" w:cs="Times New Roman"/>
                <w:color w:val="000000" w:themeColor="text1"/>
                <w:sz w:val="24"/>
                <w:highlight w:val="none"/>
                <w:lang w:val="en-US" w:eastAsia="zh-CN"/>
                <w14:textFill>
                  <w14:solidFill>
                    <w14:schemeClr w14:val="tx1"/>
                  </w14:solidFill>
                </w14:textFill>
              </w:rPr>
              <w:t>乐昌</w:t>
            </w:r>
            <w:r>
              <w:rPr>
                <w:rFonts w:hint="eastAsia" w:ascii="Times New Roman" w:hAnsi="Times New Roman" w:cs="Times New Roman"/>
                <w:color w:val="000000" w:themeColor="text1"/>
                <w:sz w:val="24"/>
                <w:highlight w:val="none"/>
                <w:lang w:eastAsia="zh-CN"/>
                <w14:textFill>
                  <w14:solidFill>
                    <w14:schemeClr w14:val="tx1"/>
                  </w14:solidFill>
                </w14:textFill>
              </w:rPr>
              <w:t>市</w:t>
            </w:r>
            <w:r>
              <w:rPr>
                <w:rFonts w:hint="default" w:ascii="Times New Roman" w:hAnsi="Times New Roman" w:cs="Times New Roman"/>
                <w:color w:val="000000" w:themeColor="text1"/>
                <w:sz w:val="24"/>
                <w:highlight w:val="none"/>
                <w14:textFill>
                  <w14:solidFill>
                    <w14:schemeClr w14:val="tx1"/>
                  </w14:solidFill>
                </w14:textFill>
              </w:rPr>
              <w:t>环境空气六项基本污染物均能达到《环境空气质量标准》（GB3095-2026）过渡阶段浓度限值二级标准，属环境空气质量达标区。</w:t>
            </w:r>
          </w:p>
          <w:p w14:paraId="7997FFA0">
            <w:pPr>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2</w:t>
            </w:r>
            <w:r>
              <w:rPr>
                <w:rFonts w:hint="default" w:ascii="Times New Roman" w:hAnsi="Times New Roman" w:cs="Times New Roman"/>
                <w:color w:val="000000" w:themeColor="text1"/>
                <w:sz w:val="24"/>
                <w:highlight w:val="none"/>
                <w14:textFill>
                  <w14:solidFill>
                    <w14:schemeClr w14:val="tx1"/>
                  </w14:solidFill>
                </w14:textFill>
              </w:rPr>
              <w:t>）补充监测</w:t>
            </w:r>
          </w:p>
          <w:p w14:paraId="5DC6FE95">
            <w:pPr>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根据《建设项目环境影响报告表编制技术指南（污染影响类）》（试行）：排放国家、地方环境空气质量标准中有标准限值要求的特征污染物时，引用建设项目周边5千米范围内近3年的现有监测数据。本项目需补充监测的其他污染物为TSP</w:t>
            </w:r>
            <w:r>
              <w:rPr>
                <w:rFonts w:hint="eastAsia" w:cs="Times New Roman"/>
                <w:color w:val="000000" w:themeColor="text1"/>
                <w:sz w:val="24"/>
                <w:highlight w:val="none"/>
                <w:lang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非甲烷总烃、苯系物、臭气浓度</w:t>
            </w:r>
            <w:r>
              <w:rPr>
                <w:rFonts w:hint="default" w:ascii="Times New Roman" w:hAnsi="Times New Roman" w:cs="Times New Roman"/>
                <w:color w:val="000000" w:themeColor="text1"/>
                <w:sz w:val="24"/>
                <w:highlight w:val="none"/>
                <w14:textFill>
                  <w14:solidFill>
                    <w14:schemeClr w14:val="tx1"/>
                  </w14:solidFill>
                </w14:textFill>
              </w:rPr>
              <w:t>。</w:t>
            </w:r>
          </w:p>
          <w:p w14:paraId="63A9F181">
            <w:pPr>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本项目引用《乐昌产业转移工业园2023年度环境管理状况评估监测》（报告编号：QHT-202312271026</w:t>
            </w:r>
            <w:r>
              <w:rPr>
                <w:rFonts w:hint="eastAsia" w:cs="Times New Roman"/>
                <w:color w:val="000000" w:themeColor="text1"/>
                <w:sz w:val="24"/>
                <w:highlight w:val="none"/>
                <w:lang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详见附件6</w:t>
            </w:r>
            <w:r>
              <w:rPr>
                <w:rFonts w:hint="default" w:ascii="Times New Roman" w:hAnsi="Times New Roman" w:cs="Times New Roman"/>
                <w:color w:val="000000" w:themeColor="text1"/>
                <w:sz w:val="24"/>
                <w:highlight w:val="none"/>
                <w14:textFill>
                  <w14:solidFill>
                    <w14:schemeClr w14:val="tx1"/>
                  </w14:solidFill>
                </w14:textFill>
              </w:rPr>
              <w:t>）用于评价TSP、非甲烷总烃、二甲苯、臭气浓度环境质量现状。深圳市清华环科检测技术有限公司于2023年12月19日-2023年12月25日在本项目南侧</w:t>
            </w:r>
            <w:r>
              <w:rPr>
                <w:rFonts w:hint="eastAsia" w:cs="Times New Roman"/>
                <w:color w:val="000000" w:themeColor="text1"/>
                <w:sz w:val="24"/>
                <w:highlight w:val="none"/>
                <w:lang w:val="en-US" w:eastAsia="zh-CN"/>
                <w14:textFill>
                  <w14:solidFill>
                    <w14:schemeClr w14:val="tx1"/>
                  </w14:solidFill>
                </w14:textFill>
              </w:rPr>
              <w:t>4472</w:t>
            </w:r>
            <w:r>
              <w:rPr>
                <w:rFonts w:hint="default" w:ascii="Times New Roman" w:hAnsi="Times New Roman" w:cs="Times New Roman"/>
                <w:color w:val="000000" w:themeColor="text1"/>
                <w:sz w:val="24"/>
                <w:highlight w:val="none"/>
                <w14:textFill>
                  <w14:solidFill>
                    <w14:schemeClr w14:val="tx1"/>
                  </w14:solidFill>
                </w14:textFill>
              </w:rPr>
              <w:t>m处G1和村地进行采样监测的监测数据，连续监测7天。本项目其他污染物补充监测点位基本信息见表3-2，监测结果</w:t>
            </w:r>
            <w:r>
              <w:rPr>
                <w:rFonts w:hint="default" w:ascii="Times New Roman" w:hAnsi="Times New Roman" w:cs="Times New Roman"/>
                <w:color w:val="000000" w:themeColor="text1"/>
                <w:sz w:val="24"/>
                <w:highlight w:val="none"/>
                <w:lang w:val="en-US" w:eastAsia="zh-CN"/>
                <w14:textFill>
                  <w14:solidFill>
                    <w14:schemeClr w14:val="tx1"/>
                  </w14:solidFill>
                </w14:textFill>
              </w:rPr>
              <w:t>见</w:t>
            </w:r>
            <w:r>
              <w:rPr>
                <w:rFonts w:hint="default" w:ascii="Times New Roman" w:hAnsi="Times New Roman" w:cs="Times New Roman"/>
                <w:color w:val="000000" w:themeColor="text1"/>
                <w:sz w:val="24"/>
                <w:highlight w:val="none"/>
                <w14:textFill>
                  <w14:solidFill>
                    <w14:schemeClr w14:val="tx1"/>
                  </w14:solidFill>
                </w14:textFill>
              </w:rPr>
              <w:t>表3-3。</w:t>
            </w:r>
          </w:p>
          <w:p w14:paraId="197D7301">
            <w:pPr>
              <w:numPr>
                <w:ilvl w:val="0"/>
                <w:numId w:val="14"/>
              </w:numPr>
              <w:spacing w:line="240" w:lineRule="auto"/>
              <w:ind w:left="0" w:leftChars="0" w:firstLine="40" w:firstLineChars="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 xml:space="preserve"> 大气监测点位信息</w:t>
            </w:r>
          </w:p>
          <w:tbl>
            <w:tblPr>
              <w:tblStyle w:val="44"/>
              <w:tblW w:w="4994" w:type="pct"/>
              <w:tblInd w:w="-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1148"/>
              <w:gridCol w:w="1120"/>
              <w:gridCol w:w="859"/>
              <w:gridCol w:w="1227"/>
              <w:gridCol w:w="1849"/>
              <w:gridCol w:w="1015"/>
              <w:gridCol w:w="1098"/>
            </w:tblGrid>
            <w:tr w14:paraId="1CBFAB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690" w:type="pct"/>
                  <w:vMerge w:val="restart"/>
                  <w:tcBorders>
                    <w:tl2br w:val="nil"/>
                    <w:tr2bl w:val="nil"/>
                  </w:tcBorders>
                  <w:noWrap w:val="0"/>
                  <w:vAlign w:val="center"/>
                </w:tcPr>
                <w:p w14:paraId="337A2DB2">
                  <w:pPr>
                    <w:pStyle w:val="112"/>
                    <w:spacing w:line="240" w:lineRule="auto"/>
                    <w:jc w:val="cente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pPr>
                  <w: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t>监测点名称</w:t>
                  </w:r>
                </w:p>
              </w:tc>
              <w:tc>
                <w:tcPr>
                  <w:tcW w:w="1189" w:type="pct"/>
                  <w:gridSpan w:val="2"/>
                  <w:tcBorders>
                    <w:tl2br w:val="nil"/>
                    <w:tr2bl w:val="nil"/>
                  </w:tcBorders>
                  <w:noWrap w:val="0"/>
                  <w:vAlign w:val="center"/>
                </w:tcPr>
                <w:p w14:paraId="22891898">
                  <w:pPr>
                    <w:pStyle w:val="112"/>
                    <w:spacing w:line="240" w:lineRule="auto"/>
                    <w:jc w:val="center"/>
                    <w:rPr>
                      <w:rFonts w:hint="default" w:ascii="Times New Roman" w:hAnsi="Times New Roman" w:cs="Times New Roman"/>
                      <w:b/>
                      <w:bCs/>
                      <w:color w:val="000000" w:themeColor="text1"/>
                      <w:kern w:val="2"/>
                      <w:sz w:val="21"/>
                      <w:szCs w:val="21"/>
                      <w:highlight w:val="none"/>
                      <w:lang w:val="en-US" w:eastAsia="zh-CN" w:bidi="zh-CN"/>
                      <w14:textFill>
                        <w14:solidFill>
                          <w14:schemeClr w14:val="tx1"/>
                        </w14:solidFill>
                      </w14:textFill>
                    </w:rPr>
                  </w:pPr>
                  <w: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t>监测点坐标</w:t>
                  </w:r>
                </w:p>
              </w:tc>
              <w:tc>
                <w:tcPr>
                  <w:tcW w:w="737" w:type="pct"/>
                  <w:vMerge w:val="restart"/>
                  <w:tcBorders>
                    <w:tl2br w:val="nil"/>
                    <w:tr2bl w:val="nil"/>
                  </w:tcBorders>
                  <w:noWrap w:val="0"/>
                  <w:vAlign w:val="center"/>
                </w:tcPr>
                <w:p w14:paraId="6CFE058C">
                  <w:pPr>
                    <w:pStyle w:val="112"/>
                    <w:spacing w:line="240" w:lineRule="auto"/>
                    <w:jc w:val="cente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pPr>
                  <w: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t>监测因子</w:t>
                  </w:r>
                </w:p>
              </w:tc>
              <w:tc>
                <w:tcPr>
                  <w:tcW w:w="1111" w:type="pct"/>
                  <w:vMerge w:val="restart"/>
                  <w:tcBorders>
                    <w:tl2br w:val="nil"/>
                    <w:tr2bl w:val="nil"/>
                  </w:tcBorders>
                  <w:noWrap w:val="0"/>
                  <w:vAlign w:val="center"/>
                </w:tcPr>
                <w:p w14:paraId="018AF9FE">
                  <w:pPr>
                    <w:pStyle w:val="112"/>
                    <w:spacing w:line="240" w:lineRule="auto"/>
                    <w:jc w:val="cente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pPr>
                  <w: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t>监测时段</w:t>
                  </w:r>
                </w:p>
              </w:tc>
              <w:tc>
                <w:tcPr>
                  <w:tcW w:w="610" w:type="pct"/>
                  <w:vMerge w:val="restart"/>
                  <w:tcBorders>
                    <w:tl2br w:val="nil"/>
                    <w:tr2bl w:val="nil"/>
                  </w:tcBorders>
                  <w:noWrap w:val="0"/>
                  <w:vAlign w:val="center"/>
                </w:tcPr>
                <w:p w14:paraId="49EDD6E2">
                  <w:pPr>
                    <w:pStyle w:val="112"/>
                    <w:spacing w:line="240" w:lineRule="auto"/>
                    <w:jc w:val="cente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pPr>
                  <w: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t>相对厂址方位</w:t>
                  </w:r>
                </w:p>
              </w:tc>
              <w:tc>
                <w:tcPr>
                  <w:tcW w:w="660" w:type="pct"/>
                  <w:vMerge w:val="restart"/>
                  <w:tcBorders>
                    <w:tl2br w:val="nil"/>
                    <w:tr2bl w:val="nil"/>
                  </w:tcBorders>
                  <w:noWrap w:val="0"/>
                  <w:vAlign w:val="center"/>
                </w:tcPr>
                <w:p w14:paraId="1CF2A51F">
                  <w:pPr>
                    <w:pStyle w:val="112"/>
                    <w:spacing w:line="240" w:lineRule="auto"/>
                    <w:jc w:val="cente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pPr>
                  <w: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t>相对厂界距离/m</w:t>
                  </w:r>
                </w:p>
              </w:tc>
            </w:tr>
            <w:tr w14:paraId="5AE187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690" w:type="pct"/>
                  <w:vMerge w:val="continue"/>
                  <w:tcBorders>
                    <w:tl2br w:val="nil"/>
                    <w:tr2bl w:val="nil"/>
                  </w:tcBorders>
                  <w:noWrap w:val="0"/>
                  <w:vAlign w:val="center"/>
                </w:tcPr>
                <w:p w14:paraId="1DB87E4A">
                  <w:pPr>
                    <w:pStyle w:val="112"/>
                    <w:spacing w:line="240" w:lineRule="auto"/>
                    <w:jc w:val="cente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pPr>
                </w:p>
              </w:tc>
              <w:tc>
                <w:tcPr>
                  <w:tcW w:w="673" w:type="pct"/>
                  <w:tcBorders>
                    <w:tl2br w:val="nil"/>
                    <w:tr2bl w:val="nil"/>
                  </w:tcBorders>
                  <w:noWrap w:val="0"/>
                  <w:vAlign w:val="center"/>
                </w:tcPr>
                <w:p w14:paraId="2A20AB7A">
                  <w:pPr>
                    <w:pStyle w:val="112"/>
                    <w:spacing w:line="240" w:lineRule="auto"/>
                    <w:jc w:val="center"/>
                    <w:rPr>
                      <w:rFonts w:hint="default" w:ascii="Times New Roman" w:hAnsi="Times New Roman" w:cs="Times New Roman"/>
                      <w:b/>
                      <w:bCs/>
                      <w:color w:val="000000" w:themeColor="text1"/>
                      <w:kern w:val="2"/>
                      <w:sz w:val="21"/>
                      <w:szCs w:val="21"/>
                      <w:highlight w:val="none"/>
                      <w:lang w:val="en-US" w:eastAsia="zh-CN" w:bidi="zh-CN"/>
                      <w14:textFill>
                        <w14:solidFill>
                          <w14:schemeClr w14:val="tx1"/>
                        </w14:solidFill>
                      </w14:textFill>
                    </w:rPr>
                  </w:pPr>
                  <w:r>
                    <w:rPr>
                      <w:rFonts w:hint="eastAsia" w:ascii="Times New Roman" w:hAnsi="Times New Roman" w:cs="Times New Roman"/>
                      <w:b/>
                      <w:bCs/>
                      <w:color w:val="000000" w:themeColor="text1"/>
                      <w:kern w:val="2"/>
                      <w:sz w:val="21"/>
                      <w:szCs w:val="21"/>
                      <w:highlight w:val="none"/>
                      <w:lang w:val="en-US" w:eastAsia="zh-CN" w:bidi="zh-CN"/>
                      <w14:textFill>
                        <w14:solidFill>
                          <w14:schemeClr w14:val="tx1"/>
                        </w14:solidFill>
                      </w14:textFill>
                    </w:rPr>
                    <w:t>经度</w:t>
                  </w:r>
                </w:p>
              </w:tc>
              <w:tc>
                <w:tcPr>
                  <w:tcW w:w="515" w:type="pct"/>
                  <w:tcBorders>
                    <w:tl2br w:val="nil"/>
                    <w:tr2bl w:val="nil"/>
                  </w:tcBorders>
                  <w:noWrap w:val="0"/>
                  <w:vAlign w:val="center"/>
                </w:tcPr>
                <w:p w14:paraId="73CAD51C">
                  <w:pPr>
                    <w:pStyle w:val="112"/>
                    <w:spacing w:line="240" w:lineRule="auto"/>
                    <w:jc w:val="center"/>
                    <w:rPr>
                      <w:rFonts w:hint="default" w:ascii="Times New Roman" w:hAnsi="Times New Roman" w:cs="Times New Roman"/>
                      <w:b/>
                      <w:bCs/>
                      <w:color w:val="000000" w:themeColor="text1"/>
                      <w:kern w:val="2"/>
                      <w:sz w:val="21"/>
                      <w:szCs w:val="21"/>
                      <w:highlight w:val="none"/>
                      <w:lang w:val="en-US" w:eastAsia="zh-CN" w:bidi="zh-CN"/>
                      <w14:textFill>
                        <w14:solidFill>
                          <w14:schemeClr w14:val="tx1"/>
                        </w14:solidFill>
                      </w14:textFill>
                    </w:rPr>
                  </w:pPr>
                  <w:r>
                    <w:rPr>
                      <w:rFonts w:hint="eastAsia" w:ascii="Times New Roman" w:hAnsi="Times New Roman" w:cs="Times New Roman"/>
                      <w:b/>
                      <w:bCs/>
                      <w:color w:val="000000" w:themeColor="text1"/>
                      <w:kern w:val="2"/>
                      <w:sz w:val="21"/>
                      <w:szCs w:val="21"/>
                      <w:highlight w:val="none"/>
                      <w:lang w:val="en-US" w:eastAsia="zh-CN" w:bidi="zh-CN"/>
                      <w14:textFill>
                        <w14:solidFill>
                          <w14:schemeClr w14:val="tx1"/>
                        </w14:solidFill>
                      </w14:textFill>
                    </w:rPr>
                    <w:t>纬度</w:t>
                  </w:r>
                </w:p>
              </w:tc>
              <w:tc>
                <w:tcPr>
                  <w:tcW w:w="737" w:type="pct"/>
                  <w:vMerge w:val="continue"/>
                  <w:tcBorders>
                    <w:tl2br w:val="nil"/>
                    <w:tr2bl w:val="nil"/>
                  </w:tcBorders>
                  <w:noWrap w:val="0"/>
                  <w:vAlign w:val="center"/>
                </w:tcPr>
                <w:p w14:paraId="4A5FDB57">
                  <w:pPr>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1111" w:type="pct"/>
                  <w:vMerge w:val="continue"/>
                  <w:tcBorders>
                    <w:tl2br w:val="nil"/>
                    <w:tr2bl w:val="nil"/>
                  </w:tcBorders>
                  <w:noWrap w:val="0"/>
                  <w:vAlign w:val="center"/>
                </w:tcPr>
                <w:p w14:paraId="6C978558">
                  <w:pPr>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610" w:type="pct"/>
                  <w:vMerge w:val="continue"/>
                  <w:tcBorders>
                    <w:tl2br w:val="nil"/>
                    <w:tr2bl w:val="nil"/>
                  </w:tcBorders>
                  <w:noWrap w:val="0"/>
                  <w:vAlign w:val="center"/>
                </w:tcPr>
                <w:p w14:paraId="181BFB5E">
                  <w:pPr>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660" w:type="pct"/>
                  <w:vMerge w:val="continue"/>
                  <w:tcBorders>
                    <w:tl2br w:val="nil"/>
                    <w:tr2bl w:val="nil"/>
                  </w:tcBorders>
                  <w:noWrap w:val="0"/>
                  <w:vAlign w:val="center"/>
                </w:tcPr>
                <w:p w14:paraId="7AC166C7">
                  <w:pPr>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r>
            <w:tr w14:paraId="6E90E8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1148" w:type="dxa"/>
                  <w:tcBorders>
                    <w:tl2br w:val="nil"/>
                    <w:tr2bl w:val="nil"/>
                  </w:tcBorders>
                  <w:noWrap w:val="0"/>
                  <w:vAlign w:val="center"/>
                </w:tcPr>
                <w:p w14:paraId="6E74DC0C">
                  <w:pPr>
                    <w:pStyle w:val="2"/>
                    <w:pageBreakBefore w:val="0"/>
                    <w:widowControl w:val="0"/>
                    <w:kinsoku/>
                    <w:overflowPunct/>
                    <w:topLinePunct w:val="0"/>
                    <w:bidi w:val="0"/>
                    <w:snapToGrid w:val="0"/>
                    <w:spacing w:line="240" w:lineRule="auto"/>
                    <w:jc w:val="center"/>
                    <w:textAlignment w:val="auto"/>
                    <w:outlineLvl w:val="9"/>
                    <w:rPr>
                      <w:rFonts w:hint="default" w:ascii="Times New Roman" w:hAnsi="Times New Roman" w:cs="Times New Roman"/>
                      <w:color w:val="000000" w:themeColor="text1"/>
                      <w:kern w:val="2"/>
                      <w:sz w:val="21"/>
                      <w:szCs w:val="21"/>
                      <w:highlight w:val="none"/>
                      <w:lang w:eastAsia="zh-CN" w:bidi="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G1</w:t>
                  </w:r>
                  <w:r>
                    <w:rPr>
                      <w:rFonts w:hint="eastAsia" w:ascii="Times New Roman" w:cs="Times New Roman"/>
                      <w:color w:val="000000" w:themeColor="text1"/>
                      <w:sz w:val="21"/>
                      <w:szCs w:val="21"/>
                      <w:highlight w:val="none"/>
                      <w:lang w:val="en-US" w:eastAsia="zh-CN"/>
                      <w14:textFill>
                        <w14:solidFill>
                          <w14:schemeClr w14:val="tx1"/>
                        </w14:solidFill>
                      </w14:textFill>
                    </w:rPr>
                    <w:t>和</w:t>
                  </w:r>
                  <w:r>
                    <w:rPr>
                      <w:rFonts w:hint="default" w:ascii="Times New Roman" w:hAnsi="Times New Roman" w:cs="Times New Roman"/>
                      <w:color w:val="000000" w:themeColor="text1"/>
                      <w:sz w:val="21"/>
                      <w:szCs w:val="21"/>
                      <w:highlight w:val="none"/>
                      <w14:textFill>
                        <w14:solidFill>
                          <w14:schemeClr w14:val="tx1"/>
                        </w14:solidFill>
                      </w14:textFill>
                    </w:rPr>
                    <w:t>村</w:t>
                  </w:r>
                </w:p>
              </w:tc>
              <w:tc>
                <w:tcPr>
                  <w:tcW w:w="1120" w:type="dxa"/>
                  <w:tcBorders>
                    <w:tl2br w:val="nil"/>
                    <w:tr2bl w:val="nil"/>
                  </w:tcBorders>
                  <w:noWrap w:val="0"/>
                  <w:vAlign w:val="center"/>
                </w:tcPr>
                <w:p w14:paraId="240315D2">
                  <w:pPr>
                    <w:pStyle w:val="2"/>
                    <w:pageBreakBefore w:val="0"/>
                    <w:widowControl w:val="0"/>
                    <w:kinsoku/>
                    <w:overflowPunct/>
                    <w:topLinePunct w:val="0"/>
                    <w:bidi w:val="0"/>
                    <w:spacing w:line="240" w:lineRule="auto"/>
                    <w:jc w:val="center"/>
                    <w:textAlignment w:val="auto"/>
                    <w:outlineLvl w:val="9"/>
                    <w:rPr>
                      <w:rFonts w:hint="default" w:ascii="Times New Roman" w:hAnsi="Times New Roman" w:cs="Times New Roman"/>
                      <w:color w:val="000000" w:themeColor="text1"/>
                      <w:kern w:val="2"/>
                      <w:sz w:val="21"/>
                      <w:szCs w:val="21"/>
                      <w:highlight w:val="none"/>
                      <w:lang w:eastAsia="zh-CN" w:bidi="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113.242127448</w:t>
                  </w:r>
                </w:p>
              </w:tc>
              <w:tc>
                <w:tcPr>
                  <w:tcW w:w="859" w:type="dxa"/>
                  <w:tcBorders>
                    <w:tl2br w:val="nil"/>
                    <w:tr2bl w:val="nil"/>
                  </w:tcBorders>
                  <w:noWrap w:val="0"/>
                  <w:vAlign w:val="center"/>
                </w:tcPr>
                <w:p w14:paraId="0355B2A6">
                  <w:pPr>
                    <w:pStyle w:val="2"/>
                    <w:pageBreakBefore w:val="0"/>
                    <w:widowControl w:val="0"/>
                    <w:kinsoku/>
                    <w:overflowPunct/>
                    <w:topLinePunct w:val="0"/>
                    <w:bidi w:val="0"/>
                    <w:spacing w:line="240" w:lineRule="auto"/>
                    <w:jc w:val="center"/>
                    <w:textAlignment w:val="auto"/>
                    <w:outlineLvl w:val="9"/>
                    <w:rPr>
                      <w:rFonts w:hint="default" w:ascii="Times New Roman" w:hAnsi="Times New Roman" w:cs="Times New Roman"/>
                      <w:color w:val="000000" w:themeColor="text1"/>
                      <w:kern w:val="2"/>
                      <w:sz w:val="21"/>
                      <w:szCs w:val="21"/>
                      <w:highlight w:val="none"/>
                      <w:lang w:eastAsia="zh-CN" w:bidi="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25.064813306</w:t>
                  </w:r>
                </w:p>
              </w:tc>
              <w:tc>
                <w:tcPr>
                  <w:tcW w:w="1227" w:type="dxa"/>
                  <w:tcBorders>
                    <w:tl2br w:val="nil"/>
                    <w:tr2bl w:val="nil"/>
                  </w:tcBorders>
                  <w:noWrap w:val="0"/>
                  <w:vAlign w:val="center"/>
                </w:tcPr>
                <w:p w14:paraId="5BE0831C">
                  <w:pPr>
                    <w:pStyle w:val="2"/>
                    <w:pageBreakBefore w:val="0"/>
                    <w:widowControl w:val="0"/>
                    <w:kinsoku/>
                    <w:overflowPunct/>
                    <w:topLinePunct w:val="0"/>
                    <w:bidi w:val="0"/>
                    <w:spacing w:line="240" w:lineRule="auto"/>
                    <w:jc w:val="center"/>
                    <w:textAlignment w:val="auto"/>
                    <w:outlineLvl w:val="9"/>
                    <w:rPr>
                      <w:rFonts w:hint="default" w:ascii="Times New Roman" w:hAnsi="Times New Roman" w:cs="Times New Roman"/>
                      <w:color w:val="000000" w:themeColor="text1"/>
                      <w:kern w:val="2"/>
                      <w:sz w:val="21"/>
                      <w:szCs w:val="21"/>
                      <w:highlight w:val="none"/>
                      <w:lang w:eastAsia="zh-CN" w:bidi="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TSP</w:t>
                  </w:r>
                  <w:r>
                    <w:rPr>
                      <w:rFonts w:hint="eastAsia" w:ascii="Times New Roman" w:cs="Times New Roman"/>
                      <w:color w:val="000000" w:themeColor="text1"/>
                      <w:sz w:val="21"/>
                      <w:szCs w:val="21"/>
                      <w:highlight w:val="none"/>
                      <w:lang w:eastAsia="zh-CN"/>
                      <w14:textFill>
                        <w14:solidFill>
                          <w14:schemeClr w14:val="tx1"/>
                        </w14:solidFill>
                      </w14:textFill>
                    </w:rPr>
                    <w:t>、</w:t>
                  </w:r>
                  <w:r>
                    <w:rPr>
                      <w:rFonts w:hint="eastAsia" w:ascii="Times New Roman" w:cs="Times New Roman"/>
                      <w:color w:val="000000" w:themeColor="text1"/>
                      <w:sz w:val="21"/>
                      <w:szCs w:val="21"/>
                      <w:highlight w:val="none"/>
                      <w:lang w:val="en-US" w:eastAsia="zh-CN"/>
                      <w14:textFill>
                        <w14:solidFill>
                          <w14:schemeClr w14:val="tx1"/>
                        </w14:solidFill>
                      </w14:textFill>
                    </w:rPr>
                    <w:t>非甲烷总烃、二甲苯、臭气浓度</w:t>
                  </w:r>
                </w:p>
              </w:tc>
              <w:tc>
                <w:tcPr>
                  <w:tcW w:w="1849" w:type="dxa"/>
                  <w:tcBorders>
                    <w:tl2br w:val="nil"/>
                    <w:tr2bl w:val="nil"/>
                  </w:tcBorders>
                  <w:noWrap w:val="0"/>
                  <w:vAlign w:val="center"/>
                </w:tcPr>
                <w:p w14:paraId="1497C203">
                  <w:pPr>
                    <w:pStyle w:val="2"/>
                    <w:pageBreakBefore w:val="0"/>
                    <w:widowControl w:val="0"/>
                    <w:kinsoku/>
                    <w:overflowPunct/>
                    <w:topLinePunct w:val="0"/>
                    <w:bidi w:val="0"/>
                    <w:spacing w:line="240" w:lineRule="auto"/>
                    <w:jc w:val="center"/>
                    <w:textAlignment w:val="auto"/>
                    <w:outlineLvl w:val="9"/>
                    <w:rPr>
                      <w:rFonts w:hint="default" w:ascii="Times New Roman" w:hAnsi="Times New Roman" w:cs="Times New Roman"/>
                      <w:color w:val="000000" w:themeColor="text1"/>
                      <w:kern w:val="2"/>
                      <w:sz w:val="21"/>
                      <w:szCs w:val="21"/>
                      <w:highlight w:val="none"/>
                      <w:lang w:val="en-US" w:eastAsia="zh-CN" w:bidi="zh-CN"/>
                      <w14:textFill>
                        <w14:solidFill>
                          <w14:schemeClr w14:val="tx1"/>
                        </w14:solidFill>
                      </w14:textFill>
                    </w:rPr>
                  </w:pPr>
                  <w:r>
                    <w:rPr>
                      <w:rFonts w:hint="default" w:ascii="Times New Roman" w:hAnsi="Times New Roman" w:cs="Times New Roman"/>
                      <w:bCs/>
                      <w:color w:val="000000" w:themeColor="text1"/>
                      <w:sz w:val="21"/>
                      <w:szCs w:val="21"/>
                      <w:highlight w:val="none"/>
                      <w14:textFill>
                        <w14:solidFill>
                          <w14:schemeClr w14:val="tx1"/>
                        </w14:solidFill>
                      </w14:textFill>
                    </w:rPr>
                    <w:t>202</w:t>
                  </w:r>
                  <w:r>
                    <w:rPr>
                      <w:rFonts w:hint="eastAsia" w:ascii="Times New Roman" w:cs="Times New Roman"/>
                      <w:bCs/>
                      <w:color w:val="000000" w:themeColor="text1"/>
                      <w:sz w:val="21"/>
                      <w:szCs w:val="21"/>
                      <w:highlight w:val="none"/>
                      <w:lang w:val="en-US" w:eastAsia="zh-CN"/>
                      <w14:textFill>
                        <w14:solidFill>
                          <w14:schemeClr w14:val="tx1"/>
                        </w14:solidFill>
                      </w14:textFill>
                    </w:rPr>
                    <w:t>3</w:t>
                  </w:r>
                  <w:r>
                    <w:rPr>
                      <w:rFonts w:hint="default" w:ascii="Times New Roman" w:hAnsi="Times New Roman" w:cs="Times New Roman"/>
                      <w:bCs/>
                      <w:color w:val="000000" w:themeColor="text1"/>
                      <w:sz w:val="21"/>
                      <w:szCs w:val="21"/>
                      <w:highlight w:val="none"/>
                      <w14:textFill>
                        <w14:solidFill>
                          <w14:schemeClr w14:val="tx1"/>
                        </w14:solidFill>
                      </w14:textFill>
                    </w:rPr>
                    <w:t>年12月</w:t>
                  </w:r>
                  <w:r>
                    <w:rPr>
                      <w:rFonts w:hint="eastAsia" w:ascii="Times New Roman" w:cs="Times New Roman"/>
                      <w:bCs/>
                      <w:color w:val="000000" w:themeColor="text1"/>
                      <w:sz w:val="21"/>
                      <w:szCs w:val="21"/>
                      <w:highlight w:val="none"/>
                      <w:lang w:val="en-US" w:eastAsia="zh-CN"/>
                      <w14:textFill>
                        <w14:solidFill>
                          <w14:schemeClr w14:val="tx1"/>
                        </w14:solidFill>
                      </w14:textFill>
                    </w:rPr>
                    <w:t>19</w:t>
                  </w:r>
                  <w:r>
                    <w:rPr>
                      <w:rFonts w:hint="default" w:ascii="Times New Roman" w:hAnsi="Times New Roman" w:cs="Times New Roman"/>
                      <w:bCs/>
                      <w:color w:val="000000" w:themeColor="text1"/>
                      <w:sz w:val="21"/>
                      <w:szCs w:val="21"/>
                      <w:highlight w:val="none"/>
                      <w14:textFill>
                        <w14:solidFill>
                          <w14:schemeClr w14:val="tx1"/>
                        </w14:solidFill>
                      </w14:textFill>
                    </w:rPr>
                    <w:t>日</w:t>
                  </w:r>
                  <w:r>
                    <w:rPr>
                      <w:rFonts w:hint="eastAsia" w:ascii="Times New Roman" w:cs="Times New Roman"/>
                      <w:bCs/>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highlight w:val="none"/>
                      <w14:textFill>
                        <w14:solidFill>
                          <w14:schemeClr w14:val="tx1"/>
                        </w14:solidFill>
                      </w14:textFill>
                    </w:rPr>
                    <w:t>202</w:t>
                  </w:r>
                  <w:r>
                    <w:rPr>
                      <w:rFonts w:hint="eastAsia" w:ascii="Times New Roman" w:cs="Times New Roman"/>
                      <w:bCs/>
                      <w:color w:val="000000" w:themeColor="text1"/>
                      <w:sz w:val="21"/>
                      <w:szCs w:val="21"/>
                      <w:highlight w:val="none"/>
                      <w:lang w:val="en-US" w:eastAsia="zh-CN"/>
                      <w14:textFill>
                        <w14:solidFill>
                          <w14:schemeClr w14:val="tx1"/>
                        </w14:solidFill>
                      </w14:textFill>
                    </w:rPr>
                    <w:t>3</w:t>
                  </w:r>
                  <w:r>
                    <w:rPr>
                      <w:rFonts w:hint="default" w:ascii="Times New Roman" w:hAnsi="Times New Roman" w:cs="Times New Roman"/>
                      <w:bCs/>
                      <w:color w:val="000000" w:themeColor="text1"/>
                      <w:sz w:val="21"/>
                      <w:szCs w:val="21"/>
                      <w:highlight w:val="none"/>
                      <w14:textFill>
                        <w14:solidFill>
                          <w14:schemeClr w14:val="tx1"/>
                        </w14:solidFill>
                      </w14:textFill>
                    </w:rPr>
                    <w:t>年12月2</w:t>
                  </w:r>
                  <w:r>
                    <w:rPr>
                      <w:rFonts w:hint="eastAsia" w:ascii="Times New Roman" w:cs="Times New Roman"/>
                      <w:bCs/>
                      <w:color w:val="000000" w:themeColor="text1"/>
                      <w:sz w:val="21"/>
                      <w:szCs w:val="21"/>
                      <w:highlight w:val="none"/>
                      <w:lang w:val="en-US" w:eastAsia="zh-CN"/>
                      <w14:textFill>
                        <w14:solidFill>
                          <w14:schemeClr w14:val="tx1"/>
                        </w14:solidFill>
                      </w14:textFill>
                    </w:rPr>
                    <w:t>5</w:t>
                  </w:r>
                  <w:r>
                    <w:rPr>
                      <w:rFonts w:hint="default" w:ascii="Times New Roman" w:hAnsi="Times New Roman" w:cs="Times New Roman"/>
                      <w:bCs/>
                      <w:color w:val="000000" w:themeColor="text1"/>
                      <w:sz w:val="21"/>
                      <w:szCs w:val="21"/>
                      <w:highlight w:val="none"/>
                      <w14:textFill>
                        <w14:solidFill>
                          <w14:schemeClr w14:val="tx1"/>
                        </w14:solidFill>
                      </w14:textFill>
                    </w:rPr>
                    <w:t>日</w:t>
                  </w:r>
                </w:p>
              </w:tc>
              <w:tc>
                <w:tcPr>
                  <w:tcW w:w="1015" w:type="dxa"/>
                  <w:tcBorders>
                    <w:tl2br w:val="nil"/>
                    <w:tr2bl w:val="nil"/>
                  </w:tcBorders>
                  <w:noWrap w:val="0"/>
                  <w:vAlign w:val="center"/>
                </w:tcPr>
                <w:p w14:paraId="1463832A">
                  <w:pPr>
                    <w:pStyle w:val="2"/>
                    <w:pageBreakBefore w:val="0"/>
                    <w:widowControl w:val="0"/>
                    <w:kinsoku/>
                    <w:overflowPunct/>
                    <w:topLinePunct w:val="0"/>
                    <w:bidi w:val="0"/>
                    <w:snapToGrid w:val="0"/>
                    <w:spacing w:line="240" w:lineRule="auto"/>
                    <w:jc w:val="center"/>
                    <w:textAlignment w:val="auto"/>
                    <w:outlineLvl w:val="9"/>
                    <w:rPr>
                      <w:rFonts w:hint="default" w:ascii="Times New Roman" w:hAnsi="Times New Roman" w:eastAsia="宋体....." w:cs="Times New Roman"/>
                      <w:color w:val="000000" w:themeColor="text1"/>
                      <w:sz w:val="21"/>
                      <w:szCs w:val="21"/>
                      <w:highlight w:val="none"/>
                      <w:lang w:val="en-US" w:eastAsia="zh-CN" w:bidi="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西南</w:t>
                  </w:r>
                </w:p>
              </w:tc>
              <w:tc>
                <w:tcPr>
                  <w:tcW w:w="1098" w:type="dxa"/>
                  <w:tcBorders>
                    <w:tl2br w:val="nil"/>
                    <w:tr2bl w:val="nil"/>
                  </w:tcBorders>
                  <w:noWrap w:val="0"/>
                  <w:vAlign w:val="center"/>
                </w:tcPr>
                <w:p w14:paraId="4BB9EE29">
                  <w:pPr>
                    <w:pStyle w:val="2"/>
                    <w:pageBreakBefore w:val="0"/>
                    <w:widowControl w:val="0"/>
                    <w:kinsoku/>
                    <w:overflowPunct/>
                    <w:topLinePunct w:val="0"/>
                    <w:bidi w:val="0"/>
                    <w:snapToGrid w:val="0"/>
                    <w:spacing w:line="240" w:lineRule="auto"/>
                    <w:jc w:val="center"/>
                    <w:textAlignment w:val="auto"/>
                    <w:outlineLvl w:val="9"/>
                    <w:rPr>
                      <w:rFonts w:hint="default" w:ascii="Times New Roman" w:hAnsi="Times New Roman" w:cs="Times New Roman"/>
                      <w:color w:val="000000" w:themeColor="text1"/>
                      <w:sz w:val="21"/>
                      <w:szCs w:val="21"/>
                      <w:highlight w:val="none"/>
                      <w:lang w:val="en-US" w:bidi="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4472</w:t>
                  </w:r>
                </w:p>
              </w:tc>
            </w:tr>
          </w:tbl>
          <w:p w14:paraId="1200B58B">
            <w:pPr>
              <w:keepNext w:val="0"/>
              <w:keepLines w:val="0"/>
              <w:pageBreakBefore w:val="0"/>
              <w:widowControl w:val="0"/>
              <w:tabs>
                <w:tab w:val="left" w:pos="1472"/>
              </w:tabs>
              <w:kinsoku/>
              <w:wordWrap/>
              <w:overflowPunct/>
              <w:topLinePunct w:val="0"/>
              <w:autoSpaceDE/>
              <w:autoSpaceDN/>
              <w:bidi w:val="0"/>
              <w:adjustRightInd/>
              <w:snapToGrid/>
              <w:spacing w:line="100" w:lineRule="exact"/>
              <w:ind w:left="771"/>
              <w:jc w:val="center"/>
              <w:textAlignment w:val="auto"/>
              <w:rPr>
                <w:rFonts w:hint="default" w:ascii="Times New Roman" w:hAnsi="Times New Roman" w:cs="Times New Roman"/>
                <w:color w:val="000000" w:themeColor="text1"/>
                <w:szCs w:val="21"/>
                <w:highlight w:val="none"/>
                <w14:textFill>
                  <w14:solidFill>
                    <w14:schemeClr w14:val="tx1"/>
                  </w14:solidFill>
                </w14:textFill>
              </w:rPr>
            </w:pPr>
          </w:p>
          <w:p w14:paraId="02EDE957">
            <w:pPr>
              <w:numPr>
                <w:ilvl w:val="0"/>
                <w:numId w:val="14"/>
              </w:numPr>
              <w:spacing w:line="240" w:lineRule="auto"/>
              <w:ind w:left="0" w:leftChars="0" w:firstLine="40" w:firstLineChars="0"/>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 xml:space="preserve"> 其他污染物环境质量现状（监测结果）表</w:t>
            </w:r>
          </w:p>
          <w:tbl>
            <w:tblPr>
              <w:tblStyle w:val="44"/>
              <w:tblW w:w="4996" w:type="pct"/>
              <w:tblInd w:w="-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849"/>
              <w:gridCol w:w="924"/>
              <w:gridCol w:w="941"/>
              <w:gridCol w:w="1326"/>
              <w:gridCol w:w="1647"/>
              <w:gridCol w:w="1146"/>
              <w:gridCol w:w="674"/>
              <w:gridCol w:w="812"/>
            </w:tblGrid>
            <w:tr w14:paraId="2DD3D4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510" w:type="pct"/>
                  <w:tcBorders>
                    <w:tl2br w:val="nil"/>
                    <w:tr2bl w:val="nil"/>
                  </w:tcBorders>
                  <w:noWrap w:val="0"/>
                  <w:vAlign w:val="center"/>
                </w:tcPr>
                <w:p w14:paraId="398927D7">
                  <w:pPr>
                    <w:pStyle w:val="112"/>
                    <w:spacing w:line="240" w:lineRule="auto"/>
                    <w:jc w:val="cente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pPr>
                  <w: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t>点位名称</w:t>
                  </w:r>
                </w:p>
              </w:tc>
              <w:tc>
                <w:tcPr>
                  <w:tcW w:w="555" w:type="pct"/>
                  <w:tcBorders>
                    <w:tl2br w:val="nil"/>
                    <w:tr2bl w:val="nil"/>
                  </w:tcBorders>
                  <w:noWrap w:val="0"/>
                  <w:vAlign w:val="center"/>
                </w:tcPr>
                <w:p w14:paraId="1B42AEAE">
                  <w:pPr>
                    <w:pStyle w:val="112"/>
                    <w:spacing w:line="240" w:lineRule="auto"/>
                    <w:jc w:val="cente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pPr>
                  <w: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t>污染物</w:t>
                  </w:r>
                </w:p>
              </w:tc>
              <w:tc>
                <w:tcPr>
                  <w:tcW w:w="565" w:type="pct"/>
                  <w:tcBorders>
                    <w:tl2br w:val="nil"/>
                    <w:tr2bl w:val="nil"/>
                  </w:tcBorders>
                  <w:noWrap w:val="0"/>
                  <w:vAlign w:val="center"/>
                </w:tcPr>
                <w:p w14:paraId="6EF51787">
                  <w:pPr>
                    <w:pStyle w:val="112"/>
                    <w:spacing w:line="240" w:lineRule="auto"/>
                    <w:jc w:val="cente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pPr>
                  <w: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t>平均时间</w:t>
                  </w:r>
                </w:p>
              </w:tc>
              <w:tc>
                <w:tcPr>
                  <w:tcW w:w="796" w:type="pct"/>
                  <w:tcBorders>
                    <w:tl2br w:val="nil"/>
                    <w:tr2bl w:val="nil"/>
                  </w:tcBorders>
                  <w:noWrap w:val="0"/>
                  <w:vAlign w:val="center"/>
                </w:tcPr>
                <w:p w14:paraId="17BFFC57">
                  <w:pPr>
                    <w:pStyle w:val="112"/>
                    <w:spacing w:line="240" w:lineRule="auto"/>
                    <w:jc w:val="cente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pPr>
                  <w: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t>评价标准</w:t>
                  </w:r>
                </w:p>
                <w:p w14:paraId="03FFC0B3">
                  <w:pPr>
                    <w:pStyle w:val="112"/>
                    <w:spacing w:line="240" w:lineRule="auto"/>
                    <w:jc w:val="cente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pPr>
                  <w: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t>(</w:t>
                  </w:r>
                  <w:r>
                    <w:rPr>
                      <w:rFonts w:hint="default" w:ascii="Times New Roman" w:hAnsi="Times New Roman" w:cs="Times New Roman"/>
                      <w:b/>
                      <w:bCs/>
                      <w:color w:val="000000" w:themeColor="text1"/>
                      <w:kern w:val="2"/>
                      <w:sz w:val="21"/>
                      <w:szCs w:val="21"/>
                      <w:highlight w:val="none"/>
                      <w:lang w:val="en-US" w:eastAsia="zh-CN" w:bidi="zh-CN"/>
                      <w14:textFill>
                        <w14:solidFill>
                          <w14:schemeClr w14:val="tx1"/>
                        </w14:solidFill>
                      </w14:textFill>
                    </w:rPr>
                    <w:t>μg</w:t>
                  </w:r>
                  <w: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t>/m</w:t>
                  </w:r>
                  <w:r>
                    <w:rPr>
                      <w:rFonts w:hint="default" w:ascii="Times New Roman" w:hAnsi="Times New Roman" w:cs="Times New Roman"/>
                      <w:b/>
                      <w:bCs/>
                      <w:color w:val="000000" w:themeColor="text1"/>
                      <w:kern w:val="2"/>
                      <w:sz w:val="21"/>
                      <w:szCs w:val="21"/>
                      <w:highlight w:val="none"/>
                      <w:vertAlign w:val="superscript"/>
                      <w:lang w:eastAsia="zh-CN" w:bidi="zh-CN"/>
                      <w14:textFill>
                        <w14:solidFill>
                          <w14:schemeClr w14:val="tx1"/>
                        </w14:solidFill>
                      </w14:textFill>
                    </w:rPr>
                    <w:t>3)</w:t>
                  </w:r>
                </w:p>
              </w:tc>
              <w:tc>
                <w:tcPr>
                  <w:tcW w:w="989" w:type="pct"/>
                  <w:tcBorders>
                    <w:tl2br w:val="nil"/>
                    <w:tr2bl w:val="nil"/>
                  </w:tcBorders>
                  <w:noWrap w:val="0"/>
                  <w:vAlign w:val="center"/>
                </w:tcPr>
                <w:p w14:paraId="2FCA8483">
                  <w:pPr>
                    <w:pStyle w:val="112"/>
                    <w:spacing w:line="240" w:lineRule="auto"/>
                    <w:jc w:val="cente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pPr>
                  <w: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t>现状浓度范围</w:t>
                  </w:r>
                  <w:r>
                    <w:rPr>
                      <w:rFonts w:hint="default" w:ascii="Times New Roman" w:hAnsi="Times New Roman" w:cs="Times New Roman"/>
                      <w:b/>
                      <w:bCs/>
                      <w:color w:val="000000" w:themeColor="text1"/>
                      <w:kern w:val="2"/>
                      <w:sz w:val="21"/>
                      <w:szCs w:val="21"/>
                      <w:highlight w:val="none"/>
                      <w:lang w:val="en-US" w:eastAsia="zh-CN" w:bidi="zh-CN"/>
                      <w14:textFill>
                        <w14:solidFill>
                          <w14:schemeClr w14:val="tx1"/>
                        </w14:solidFill>
                      </w14:textFill>
                    </w:rPr>
                    <w:t>μg</w:t>
                  </w:r>
                  <w: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t>/m</w:t>
                  </w:r>
                  <w:r>
                    <w:rPr>
                      <w:rFonts w:hint="default" w:ascii="Times New Roman" w:hAnsi="Times New Roman" w:cs="Times New Roman"/>
                      <w:b/>
                      <w:bCs/>
                      <w:color w:val="000000" w:themeColor="text1"/>
                      <w:kern w:val="2"/>
                      <w:sz w:val="21"/>
                      <w:szCs w:val="21"/>
                      <w:highlight w:val="none"/>
                      <w:vertAlign w:val="superscript"/>
                      <w:lang w:eastAsia="zh-CN" w:bidi="zh-CN"/>
                      <w14:textFill>
                        <w14:solidFill>
                          <w14:schemeClr w14:val="tx1"/>
                        </w14:solidFill>
                      </w14:textFill>
                    </w:rPr>
                    <w:t>3</w:t>
                  </w:r>
                </w:p>
              </w:tc>
              <w:tc>
                <w:tcPr>
                  <w:tcW w:w="688" w:type="pct"/>
                  <w:tcBorders>
                    <w:tl2br w:val="nil"/>
                    <w:tr2bl w:val="nil"/>
                  </w:tcBorders>
                  <w:noWrap w:val="0"/>
                  <w:vAlign w:val="center"/>
                </w:tcPr>
                <w:p w14:paraId="6FB4E311">
                  <w:pPr>
                    <w:pStyle w:val="112"/>
                    <w:spacing w:line="240" w:lineRule="auto"/>
                    <w:jc w:val="cente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pPr>
                  <w: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t>最大浓度占标率/%</w:t>
                  </w:r>
                </w:p>
              </w:tc>
              <w:tc>
                <w:tcPr>
                  <w:tcW w:w="405" w:type="pct"/>
                  <w:tcBorders>
                    <w:tl2br w:val="nil"/>
                    <w:tr2bl w:val="nil"/>
                  </w:tcBorders>
                  <w:noWrap w:val="0"/>
                  <w:vAlign w:val="center"/>
                </w:tcPr>
                <w:p w14:paraId="60BECAA8">
                  <w:pPr>
                    <w:pStyle w:val="112"/>
                    <w:spacing w:line="240" w:lineRule="auto"/>
                    <w:jc w:val="cente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pPr>
                  <w: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t>超标</w:t>
                  </w:r>
                  <w:r>
                    <w:rPr>
                      <w:rFonts w:hint="default" w:ascii="Times New Roman" w:hAnsi="Times New Roman" w:cs="Times New Roman"/>
                      <w:b/>
                      <w:bCs/>
                      <w:color w:val="000000" w:themeColor="text1"/>
                      <w:kern w:val="2"/>
                      <w:sz w:val="21"/>
                      <w:szCs w:val="21"/>
                      <w:highlight w:val="none"/>
                      <w:lang w:val="en-US" w:eastAsia="zh-CN" w:bidi="zh-CN"/>
                      <w14:textFill>
                        <w14:solidFill>
                          <w14:schemeClr w14:val="tx1"/>
                        </w14:solidFill>
                      </w14:textFill>
                    </w:rPr>
                    <w:t>倍数</w:t>
                  </w:r>
                </w:p>
              </w:tc>
              <w:tc>
                <w:tcPr>
                  <w:tcW w:w="487" w:type="pct"/>
                  <w:tcBorders>
                    <w:tl2br w:val="nil"/>
                    <w:tr2bl w:val="nil"/>
                  </w:tcBorders>
                  <w:noWrap w:val="0"/>
                  <w:vAlign w:val="center"/>
                </w:tcPr>
                <w:p w14:paraId="3920CF17">
                  <w:pPr>
                    <w:pStyle w:val="112"/>
                    <w:spacing w:line="240" w:lineRule="auto"/>
                    <w:jc w:val="cente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pPr>
                  <w:r>
                    <w:rPr>
                      <w:rFonts w:hint="default" w:ascii="Times New Roman" w:hAnsi="Times New Roman" w:cs="Times New Roman"/>
                      <w:b/>
                      <w:bCs/>
                      <w:color w:val="000000" w:themeColor="text1"/>
                      <w:kern w:val="2"/>
                      <w:sz w:val="21"/>
                      <w:szCs w:val="21"/>
                      <w:highlight w:val="none"/>
                      <w:lang w:eastAsia="zh-CN" w:bidi="zh-CN"/>
                      <w14:textFill>
                        <w14:solidFill>
                          <w14:schemeClr w14:val="tx1"/>
                        </w14:solidFill>
                      </w14:textFill>
                    </w:rPr>
                    <w:t>达标情况</w:t>
                  </w:r>
                </w:p>
              </w:tc>
            </w:tr>
            <w:tr w14:paraId="44F416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510" w:type="pct"/>
                  <w:vMerge w:val="restart"/>
                  <w:tcBorders>
                    <w:tl2br w:val="nil"/>
                    <w:tr2bl w:val="nil"/>
                  </w:tcBorders>
                  <w:noWrap w:val="0"/>
                  <w:vAlign w:val="center"/>
                </w:tcPr>
                <w:p w14:paraId="647DD99E">
                  <w:pPr>
                    <w:pStyle w:val="112"/>
                    <w:spacing w:line="240" w:lineRule="auto"/>
                    <w:jc w:val="center"/>
                    <w:rPr>
                      <w:rFonts w:hint="default" w:ascii="Times New Roman" w:hAnsi="Times New Roman" w:cs="Times New Roman"/>
                      <w:color w:val="000000" w:themeColor="text1"/>
                      <w:kern w:val="2"/>
                      <w:sz w:val="21"/>
                      <w:szCs w:val="21"/>
                      <w:highlight w:val="none"/>
                      <w:lang w:eastAsia="zh-CN" w:bidi="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G1</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和</w:t>
                  </w:r>
                  <w:r>
                    <w:rPr>
                      <w:rFonts w:hint="default" w:ascii="Times New Roman" w:hAnsi="Times New Roman" w:cs="Times New Roman"/>
                      <w:color w:val="000000" w:themeColor="text1"/>
                      <w:sz w:val="21"/>
                      <w:szCs w:val="21"/>
                      <w:highlight w:val="none"/>
                      <w14:textFill>
                        <w14:solidFill>
                          <w14:schemeClr w14:val="tx1"/>
                        </w14:solidFill>
                      </w14:textFill>
                    </w:rPr>
                    <w:t>村</w:t>
                  </w:r>
                </w:p>
              </w:tc>
              <w:tc>
                <w:tcPr>
                  <w:tcW w:w="555" w:type="pct"/>
                  <w:tcBorders>
                    <w:tl2br w:val="nil"/>
                    <w:tr2bl w:val="nil"/>
                  </w:tcBorders>
                  <w:noWrap w:val="0"/>
                  <w:vAlign w:val="center"/>
                </w:tcPr>
                <w:p w14:paraId="7B791243">
                  <w:pPr>
                    <w:pStyle w:val="114"/>
                    <w:pageBreakBefore w:val="0"/>
                    <w:widowControl w:val="0"/>
                    <w:kinsoku/>
                    <w:overflowPunct/>
                    <w:topLinePunct w:val="0"/>
                    <w:bidi w:val="0"/>
                    <w:spacing w:before="46" w:after="46" w:line="240" w:lineRule="auto"/>
                    <w:textAlignment w:val="auto"/>
                    <w:outlineLvl w:val="9"/>
                    <w:rPr>
                      <w:rFonts w:hint="default" w:ascii="Times New Roman" w:hAnsi="Times New Roman" w:cs="Times New Roman"/>
                      <w:color w:val="000000" w:themeColor="text1"/>
                      <w:kern w:val="2"/>
                      <w:sz w:val="21"/>
                      <w:szCs w:val="21"/>
                      <w:highlight w:val="none"/>
                      <w:lang w:val="en-US" w:eastAsia="zh-CN" w:bidi="zh-CN"/>
                      <w14:textFill>
                        <w14:solidFill>
                          <w14:schemeClr w14:val="tx1"/>
                        </w14:solidFill>
                      </w14:textFill>
                    </w:rPr>
                  </w:pPr>
                  <w:r>
                    <w:rPr>
                      <w:rFonts w:hint="default" w:ascii="Times New Roman" w:hAnsi="Times New Roman" w:cs="Times New Roman"/>
                      <w:bCs/>
                      <w:color w:val="000000" w:themeColor="text1"/>
                      <w:sz w:val="21"/>
                      <w:highlight w:val="none"/>
                      <w14:textFill>
                        <w14:solidFill>
                          <w14:schemeClr w14:val="tx1"/>
                        </w14:solidFill>
                      </w14:textFill>
                    </w:rPr>
                    <w:t>TSP</w:t>
                  </w:r>
                </w:p>
              </w:tc>
              <w:tc>
                <w:tcPr>
                  <w:tcW w:w="565" w:type="pct"/>
                  <w:tcBorders>
                    <w:tl2br w:val="nil"/>
                    <w:tr2bl w:val="nil"/>
                  </w:tcBorders>
                  <w:noWrap w:val="0"/>
                  <w:vAlign w:val="center"/>
                </w:tcPr>
                <w:p w14:paraId="472B4AE6">
                  <w:pPr>
                    <w:pStyle w:val="114"/>
                    <w:pageBreakBefore w:val="0"/>
                    <w:widowControl w:val="0"/>
                    <w:kinsoku/>
                    <w:overflowPunct/>
                    <w:topLinePunct w:val="0"/>
                    <w:bidi w:val="0"/>
                    <w:spacing w:before="46" w:after="46" w:line="240" w:lineRule="auto"/>
                    <w:textAlignment w:val="auto"/>
                    <w:outlineLvl w:val="9"/>
                    <w:rPr>
                      <w:rFonts w:hint="default" w:ascii="Times New Roman" w:hAnsi="Times New Roman" w:cs="Times New Roman"/>
                      <w:color w:val="000000" w:themeColor="text1"/>
                      <w:sz w:val="21"/>
                      <w:szCs w:val="21"/>
                      <w:highlight w:val="none"/>
                      <w:lang w:bidi="zh-CN"/>
                      <w14:textFill>
                        <w14:solidFill>
                          <w14:schemeClr w14:val="tx1"/>
                        </w14:solidFill>
                      </w14:textFill>
                    </w:rPr>
                  </w:pPr>
                  <w:r>
                    <w:rPr>
                      <w:rFonts w:hint="default" w:ascii="Times New Roman" w:hAnsi="Times New Roman" w:cs="Times New Roman"/>
                      <w:bCs/>
                      <w:color w:val="000000" w:themeColor="text1"/>
                      <w:sz w:val="21"/>
                      <w:highlight w:val="none"/>
                      <w14:textFill>
                        <w14:solidFill>
                          <w14:schemeClr w14:val="tx1"/>
                        </w14:solidFill>
                      </w14:textFill>
                    </w:rPr>
                    <w:t>日均值</w:t>
                  </w:r>
                </w:p>
              </w:tc>
              <w:tc>
                <w:tcPr>
                  <w:tcW w:w="796" w:type="pct"/>
                  <w:tcBorders>
                    <w:tl2br w:val="nil"/>
                    <w:tr2bl w:val="nil"/>
                  </w:tcBorders>
                  <w:noWrap w:val="0"/>
                  <w:vAlign w:val="center"/>
                </w:tcPr>
                <w:p w14:paraId="7D18D4F3">
                  <w:pPr>
                    <w:pStyle w:val="114"/>
                    <w:pageBreakBefore w:val="0"/>
                    <w:widowControl w:val="0"/>
                    <w:kinsoku/>
                    <w:overflowPunct/>
                    <w:topLinePunct w:val="0"/>
                    <w:bidi w:val="0"/>
                    <w:spacing w:before="46" w:after="46" w:line="240" w:lineRule="auto"/>
                    <w:textAlignment w:val="auto"/>
                    <w:outlineLvl w:val="9"/>
                    <w:rPr>
                      <w:rFonts w:hint="default" w:ascii="Times New Roman" w:hAnsi="Times New Roman" w:cs="Times New Roman"/>
                      <w:color w:val="000000" w:themeColor="text1"/>
                      <w:kern w:val="2"/>
                      <w:sz w:val="21"/>
                      <w:szCs w:val="21"/>
                      <w:highlight w:val="none"/>
                      <w:lang w:val="en-US" w:eastAsia="zh-CN" w:bidi="zh-CN"/>
                      <w14:textFill>
                        <w14:solidFill>
                          <w14:schemeClr w14:val="tx1"/>
                        </w14:solidFill>
                      </w14:textFill>
                    </w:rPr>
                  </w:pPr>
                  <w:r>
                    <w:rPr>
                      <w:rFonts w:hint="eastAsia" w:cs="Times New Roman"/>
                      <w:bCs/>
                      <w:color w:val="000000" w:themeColor="text1"/>
                      <w:sz w:val="21"/>
                      <w:highlight w:val="none"/>
                      <w:lang w:val="en-US" w:eastAsia="zh-CN"/>
                      <w14:textFill>
                        <w14:solidFill>
                          <w14:schemeClr w14:val="tx1"/>
                        </w14:solidFill>
                      </w14:textFill>
                    </w:rPr>
                    <w:t>0.3m</w:t>
                  </w:r>
                  <w:r>
                    <w:rPr>
                      <w:rFonts w:hint="default" w:ascii="Times New Roman" w:hAnsi="Times New Roman" w:cs="Times New Roman"/>
                      <w:b w:val="0"/>
                      <w:bCs/>
                      <w:color w:val="000000" w:themeColor="text1"/>
                      <w:kern w:val="0"/>
                      <w:sz w:val="21"/>
                      <w:szCs w:val="21"/>
                      <w:highlight w:val="none"/>
                      <w14:textFill>
                        <w14:solidFill>
                          <w14:schemeClr w14:val="tx1"/>
                        </w14:solidFill>
                      </w14:textFill>
                    </w:rPr>
                    <w:t>g/m</w:t>
                  </w:r>
                  <w:r>
                    <w:rPr>
                      <w:rFonts w:hint="default" w:ascii="Times New Roman" w:hAnsi="Times New Roman" w:cs="Times New Roman"/>
                      <w:b w:val="0"/>
                      <w:bCs/>
                      <w:color w:val="000000" w:themeColor="text1"/>
                      <w:kern w:val="0"/>
                      <w:sz w:val="21"/>
                      <w:szCs w:val="21"/>
                      <w:highlight w:val="none"/>
                      <w:vertAlign w:val="superscript"/>
                      <w14:textFill>
                        <w14:solidFill>
                          <w14:schemeClr w14:val="tx1"/>
                        </w14:solidFill>
                      </w14:textFill>
                    </w:rPr>
                    <w:t>3</w:t>
                  </w:r>
                </w:p>
              </w:tc>
              <w:tc>
                <w:tcPr>
                  <w:tcW w:w="989" w:type="pct"/>
                  <w:tcBorders>
                    <w:tl2br w:val="nil"/>
                    <w:tr2bl w:val="nil"/>
                  </w:tcBorders>
                  <w:noWrap w:val="0"/>
                  <w:vAlign w:val="center"/>
                </w:tcPr>
                <w:p w14:paraId="05650A89">
                  <w:pPr>
                    <w:pStyle w:val="22"/>
                    <w:pageBreakBefore w:val="0"/>
                    <w:widowControl w:val="0"/>
                    <w:kinsoku/>
                    <w:overflowPunct/>
                    <w:topLinePunct w:val="0"/>
                    <w:bidi w:val="0"/>
                    <w:spacing w:line="240" w:lineRule="auto"/>
                    <w:ind w:right="113" w:rightChars="0" w:firstLine="0" w:firstLineChars="0"/>
                    <w:jc w:val="center"/>
                    <w:textAlignment w:val="auto"/>
                    <w:outlineLvl w:val="9"/>
                    <w:rPr>
                      <w:rFonts w:hint="default" w:ascii="Times New Roman" w:hAnsi="Times New Roman" w:cs="Times New Roman"/>
                      <w:color w:val="000000" w:themeColor="text1"/>
                      <w:kern w:val="2"/>
                      <w:sz w:val="21"/>
                      <w:szCs w:val="21"/>
                      <w:highlight w:val="none"/>
                      <w:lang w:val="en-US" w:eastAsia="zh-CN" w:bidi="zh-CN"/>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0.</w:t>
                  </w:r>
                  <w:r>
                    <w:rPr>
                      <w:rFonts w:hint="eastAsia" w:cs="Times New Roman"/>
                      <w:color w:val="000000" w:themeColor="text1"/>
                      <w:kern w:val="0"/>
                      <w:sz w:val="21"/>
                      <w:szCs w:val="21"/>
                      <w:highlight w:val="none"/>
                      <w:lang w:val="en-US" w:eastAsia="zh-CN"/>
                      <w14:textFill>
                        <w14:solidFill>
                          <w14:schemeClr w14:val="tx1"/>
                        </w14:solidFill>
                      </w14:textFill>
                    </w:rPr>
                    <w:t>100</w:t>
                  </w:r>
                  <w:r>
                    <w:rPr>
                      <w:rFonts w:hint="default" w:ascii="Times New Roman" w:hAnsi="Times New Roman" w:cs="Times New Roman"/>
                      <w:color w:val="000000" w:themeColor="text1"/>
                      <w:kern w:val="0"/>
                      <w:sz w:val="21"/>
                      <w:szCs w:val="21"/>
                      <w:highlight w:val="none"/>
                      <w14:textFill>
                        <w14:solidFill>
                          <w14:schemeClr w14:val="tx1"/>
                        </w14:solidFill>
                      </w14:textFill>
                    </w:rPr>
                    <w:t>~0.1</w:t>
                  </w:r>
                  <w:r>
                    <w:rPr>
                      <w:rFonts w:hint="eastAsia" w:cs="Times New Roman"/>
                      <w:color w:val="000000" w:themeColor="text1"/>
                      <w:kern w:val="0"/>
                      <w:sz w:val="21"/>
                      <w:szCs w:val="21"/>
                      <w:highlight w:val="none"/>
                      <w:lang w:val="en-US" w:eastAsia="zh-CN"/>
                      <w14:textFill>
                        <w14:solidFill>
                          <w14:schemeClr w14:val="tx1"/>
                        </w14:solidFill>
                      </w14:textFill>
                    </w:rPr>
                    <w:t>11</w:t>
                  </w:r>
                </w:p>
              </w:tc>
              <w:tc>
                <w:tcPr>
                  <w:tcW w:w="688" w:type="pct"/>
                  <w:tcBorders>
                    <w:tl2br w:val="nil"/>
                    <w:tr2bl w:val="nil"/>
                  </w:tcBorders>
                  <w:noWrap w:val="0"/>
                  <w:vAlign w:val="center"/>
                </w:tcPr>
                <w:p w14:paraId="3F33736A">
                  <w:pPr>
                    <w:pStyle w:val="22"/>
                    <w:pageBreakBefore w:val="0"/>
                    <w:widowControl w:val="0"/>
                    <w:kinsoku/>
                    <w:overflowPunct/>
                    <w:topLinePunct w:val="0"/>
                    <w:bidi w:val="0"/>
                    <w:spacing w:line="240" w:lineRule="auto"/>
                    <w:ind w:right="113" w:rightChars="0" w:firstLine="0" w:firstLineChars="0"/>
                    <w:jc w:val="center"/>
                    <w:textAlignment w:val="auto"/>
                    <w:outlineLvl w:val="9"/>
                    <w:rPr>
                      <w:rFonts w:hint="default" w:ascii="Times New Roman" w:hAnsi="Times New Roman" w:cs="Times New Roman"/>
                      <w:color w:val="000000" w:themeColor="text1"/>
                      <w:kern w:val="2"/>
                      <w:sz w:val="21"/>
                      <w:szCs w:val="21"/>
                      <w:highlight w:val="none"/>
                      <w:lang w:val="en-US" w:eastAsia="zh-CN" w:bidi="zh-CN"/>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3</w:t>
                  </w:r>
                  <w:r>
                    <w:rPr>
                      <w:rFonts w:hint="eastAsia" w:cs="Times New Roman"/>
                      <w:color w:val="000000" w:themeColor="text1"/>
                      <w:kern w:val="0"/>
                      <w:sz w:val="21"/>
                      <w:szCs w:val="21"/>
                      <w:highlight w:val="none"/>
                      <w:lang w:val="en-US" w:eastAsia="zh-CN"/>
                      <w14:textFill>
                        <w14:solidFill>
                          <w14:schemeClr w14:val="tx1"/>
                        </w14:solidFill>
                      </w14:textFill>
                    </w:rPr>
                    <w:t>7</w:t>
                  </w:r>
                </w:p>
              </w:tc>
              <w:tc>
                <w:tcPr>
                  <w:tcW w:w="405" w:type="pct"/>
                  <w:tcBorders>
                    <w:tl2br w:val="nil"/>
                    <w:tr2bl w:val="nil"/>
                  </w:tcBorders>
                  <w:noWrap w:val="0"/>
                  <w:vAlign w:val="center"/>
                </w:tcPr>
                <w:p w14:paraId="68A7D4E3">
                  <w:pPr>
                    <w:pageBreakBefore w:val="0"/>
                    <w:widowControl w:val="0"/>
                    <w:kinsoku/>
                    <w:overflowPunct/>
                    <w:topLinePunct w:val="0"/>
                    <w:bidi w:val="0"/>
                    <w:spacing w:line="240" w:lineRule="auto"/>
                    <w:jc w:val="center"/>
                    <w:textAlignment w:val="auto"/>
                    <w:outlineLvl w:val="9"/>
                    <w:rPr>
                      <w:rFonts w:hint="default" w:ascii="Times New Roman" w:hAnsi="Times New Roman" w:cs="Times New Roman"/>
                      <w:color w:val="000000" w:themeColor="text1"/>
                      <w:kern w:val="2"/>
                      <w:sz w:val="21"/>
                      <w:szCs w:val="21"/>
                      <w:highlight w:val="none"/>
                      <w:lang w:eastAsia="zh-CN" w:bidi="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0</w:t>
                  </w:r>
                </w:p>
              </w:tc>
              <w:tc>
                <w:tcPr>
                  <w:tcW w:w="487" w:type="pct"/>
                  <w:tcBorders>
                    <w:tl2br w:val="nil"/>
                    <w:tr2bl w:val="nil"/>
                  </w:tcBorders>
                  <w:noWrap w:val="0"/>
                  <w:vAlign w:val="center"/>
                </w:tcPr>
                <w:p w14:paraId="56DD4A11">
                  <w:pPr>
                    <w:pageBreakBefore w:val="0"/>
                    <w:widowControl w:val="0"/>
                    <w:kinsoku/>
                    <w:overflowPunct/>
                    <w:topLinePunct w:val="0"/>
                    <w:bidi w:val="0"/>
                    <w:spacing w:line="240" w:lineRule="auto"/>
                    <w:jc w:val="center"/>
                    <w:textAlignment w:val="auto"/>
                    <w:outlineLvl w:val="9"/>
                    <w:rPr>
                      <w:rFonts w:hint="default" w:ascii="Times New Roman" w:hAnsi="Times New Roman" w:cs="Times New Roman"/>
                      <w:color w:val="000000" w:themeColor="text1"/>
                      <w:kern w:val="2"/>
                      <w:sz w:val="21"/>
                      <w:szCs w:val="21"/>
                      <w:highlight w:val="none"/>
                      <w:lang w:eastAsia="zh-CN" w:bidi="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达标</w:t>
                  </w:r>
                </w:p>
              </w:tc>
            </w:tr>
            <w:tr w14:paraId="52EB72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510" w:type="pct"/>
                  <w:vMerge w:val="continue"/>
                  <w:tcBorders>
                    <w:tl2br w:val="nil"/>
                    <w:tr2bl w:val="nil"/>
                  </w:tcBorders>
                  <w:noWrap w:val="0"/>
                  <w:vAlign w:val="center"/>
                </w:tcPr>
                <w:p w14:paraId="1F95BC33">
                  <w:pPr>
                    <w:pStyle w:val="112"/>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555" w:type="pct"/>
                  <w:tcBorders>
                    <w:tl2br w:val="nil"/>
                    <w:tr2bl w:val="nil"/>
                  </w:tcBorders>
                  <w:noWrap w:val="0"/>
                  <w:vAlign w:val="center"/>
                </w:tcPr>
                <w:p w14:paraId="1C3634D6">
                  <w:pPr>
                    <w:pStyle w:val="114"/>
                    <w:pageBreakBefore w:val="0"/>
                    <w:widowControl w:val="0"/>
                    <w:kinsoku/>
                    <w:overflowPunct/>
                    <w:topLinePunct w:val="0"/>
                    <w:bidi w:val="0"/>
                    <w:spacing w:before="46" w:after="46" w:line="240" w:lineRule="auto"/>
                    <w:textAlignment w:val="auto"/>
                    <w:outlineLvl w:val="9"/>
                    <w:rPr>
                      <w:rFonts w:hint="eastAsia" w:ascii="Times New Roman" w:hAnsi="Times New Roman" w:cs="Times New Roman"/>
                      <w:color w:val="000000" w:themeColor="text1"/>
                      <w:kern w:val="2"/>
                      <w:sz w:val="21"/>
                      <w:szCs w:val="21"/>
                      <w:highlight w:val="none"/>
                      <w:lang w:val="en-US" w:eastAsia="zh-CN" w:bidi="zh-CN"/>
                      <w14:textFill>
                        <w14:solidFill>
                          <w14:schemeClr w14:val="tx1"/>
                        </w14:solidFill>
                      </w14:textFill>
                    </w:rPr>
                  </w:pPr>
                  <w:r>
                    <w:rPr>
                      <w:rFonts w:hint="eastAsia" w:cs="Times New Roman"/>
                      <w:bCs/>
                      <w:color w:val="000000" w:themeColor="text1"/>
                      <w:sz w:val="21"/>
                      <w:highlight w:val="none"/>
                      <w:lang w:val="en-US" w:eastAsia="zh-CN"/>
                      <w14:textFill>
                        <w14:solidFill>
                          <w14:schemeClr w14:val="tx1"/>
                        </w14:solidFill>
                      </w14:textFill>
                    </w:rPr>
                    <w:t>非甲烷总烃</w:t>
                  </w:r>
                </w:p>
              </w:tc>
              <w:tc>
                <w:tcPr>
                  <w:tcW w:w="565" w:type="pct"/>
                  <w:tcBorders>
                    <w:tl2br w:val="nil"/>
                    <w:tr2bl w:val="nil"/>
                  </w:tcBorders>
                  <w:noWrap w:val="0"/>
                  <w:vAlign w:val="center"/>
                </w:tcPr>
                <w:p w14:paraId="07114699">
                  <w:pPr>
                    <w:pStyle w:val="114"/>
                    <w:pageBreakBefore w:val="0"/>
                    <w:widowControl w:val="0"/>
                    <w:kinsoku/>
                    <w:overflowPunct/>
                    <w:topLinePunct w:val="0"/>
                    <w:bidi w:val="0"/>
                    <w:spacing w:before="46" w:after="46" w:line="240" w:lineRule="auto"/>
                    <w:textAlignment w:val="auto"/>
                    <w:outlineLvl w:val="9"/>
                    <w:rPr>
                      <w:rFonts w:hint="eastAsia" w:ascii="Times New Roman" w:hAnsi="Times New Roman" w:cs="Times New Roman"/>
                      <w:color w:val="000000" w:themeColor="text1"/>
                      <w:sz w:val="21"/>
                      <w:szCs w:val="21"/>
                      <w:highlight w:val="none"/>
                      <w:lang w:val="en-US" w:bidi="zh-CN"/>
                      <w14:textFill>
                        <w14:solidFill>
                          <w14:schemeClr w14:val="tx1"/>
                        </w14:solidFill>
                      </w14:textFill>
                    </w:rPr>
                  </w:pPr>
                  <w:r>
                    <w:rPr>
                      <w:rFonts w:hint="eastAsia" w:cs="Times New Roman"/>
                      <w:bCs/>
                      <w:color w:val="000000" w:themeColor="text1"/>
                      <w:sz w:val="21"/>
                      <w:highlight w:val="none"/>
                      <w:lang w:val="en-US" w:eastAsia="zh-CN"/>
                      <w14:textFill>
                        <w14:solidFill>
                          <w14:schemeClr w14:val="tx1"/>
                        </w14:solidFill>
                      </w14:textFill>
                    </w:rPr>
                    <w:t>小时值</w:t>
                  </w:r>
                </w:p>
              </w:tc>
              <w:tc>
                <w:tcPr>
                  <w:tcW w:w="796" w:type="pct"/>
                  <w:tcBorders>
                    <w:tl2br w:val="nil"/>
                    <w:tr2bl w:val="nil"/>
                  </w:tcBorders>
                  <w:noWrap w:val="0"/>
                  <w:vAlign w:val="center"/>
                </w:tcPr>
                <w:p w14:paraId="2E403C22">
                  <w:pPr>
                    <w:pStyle w:val="114"/>
                    <w:pageBreakBefore w:val="0"/>
                    <w:widowControl w:val="0"/>
                    <w:kinsoku/>
                    <w:overflowPunct/>
                    <w:topLinePunct w:val="0"/>
                    <w:bidi w:val="0"/>
                    <w:spacing w:before="46" w:after="46" w:line="240" w:lineRule="auto"/>
                    <w:textAlignment w:val="auto"/>
                    <w:outlineLvl w:val="9"/>
                    <w:rPr>
                      <w:rFonts w:hint="eastAsia" w:ascii="Times New Roman" w:hAnsi="Times New Roman" w:cs="Times New Roman"/>
                      <w:color w:val="000000" w:themeColor="text1"/>
                      <w:kern w:val="2"/>
                      <w:sz w:val="21"/>
                      <w:szCs w:val="21"/>
                      <w:highlight w:val="none"/>
                      <w:lang w:val="en-US" w:eastAsia="zh-CN" w:bidi="zh-CN"/>
                      <w14:textFill>
                        <w14:solidFill>
                          <w14:schemeClr w14:val="tx1"/>
                        </w14:solidFill>
                      </w14:textFill>
                    </w:rPr>
                  </w:pPr>
                  <w:r>
                    <w:rPr>
                      <w:rFonts w:hint="eastAsia" w:cs="Times New Roman"/>
                      <w:bCs/>
                      <w:color w:val="000000" w:themeColor="text1"/>
                      <w:sz w:val="21"/>
                      <w:highlight w:val="none"/>
                      <w:lang w:val="en-US" w:eastAsia="zh-CN"/>
                      <w14:textFill>
                        <w14:solidFill>
                          <w14:schemeClr w14:val="tx1"/>
                        </w14:solidFill>
                      </w14:textFill>
                    </w:rPr>
                    <w:t>2.0mg/</w:t>
                  </w:r>
                  <w:r>
                    <w:rPr>
                      <w:rFonts w:hint="default" w:ascii="Times New Roman" w:hAnsi="Times New Roman" w:cs="Times New Roman"/>
                      <w:b w:val="0"/>
                      <w:bCs/>
                      <w:color w:val="000000" w:themeColor="text1"/>
                      <w:kern w:val="0"/>
                      <w:sz w:val="21"/>
                      <w:szCs w:val="21"/>
                      <w:highlight w:val="none"/>
                      <w14:textFill>
                        <w14:solidFill>
                          <w14:schemeClr w14:val="tx1"/>
                        </w14:solidFill>
                      </w14:textFill>
                    </w:rPr>
                    <w:t>m</w:t>
                  </w:r>
                  <w:r>
                    <w:rPr>
                      <w:rFonts w:hint="default" w:ascii="Times New Roman" w:hAnsi="Times New Roman" w:cs="Times New Roman"/>
                      <w:b w:val="0"/>
                      <w:bCs/>
                      <w:color w:val="000000" w:themeColor="text1"/>
                      <w:kern w:val="0"/>
                      <w:sz w:val="21"/>
                      <w:szCs w:val="21"/>
                      <w:highlight w:val="none"/>
                      <w:vertAlign w:val="superscript"/>
                      <w14:textFill>
                        <w14:solidFill>
                          <w14:schemeClr w14:val="tx1"/>
                        </w14:solidFill>
                      </w14:textFill>
                    </w:rPr>
                    <w:t>3</w:t>
                  </w:r>
                </w:p>
              </w:tc>
              <w:tc>
                <w:tcPr>
                  <w:tcW w:w="989" w:type="pct"/>
                  <w:tcBorders>
                    <w:tl2br w:val="nil"/>
                    <w:tr2bl w:val="nil"/>
                  </w:tcBorders>
                  <w:noWrap w:val="0"/>
                  <w:vAlign w:val="center"/>
                </w:tcPr>
                <w:p w14:paraId="4E0A1235">
                  <w:pPr>
                    <w:pStyle w:val="22"/>
                    <w:pageBreakBefore w:val="0"/>
                    <w:widowControl w:val="0"/>
                    <w:kinsoku/>
                    <w:overflowPunct/>
                    <w:topLinePunct w:val="0"/>
                    <w:bidi w:val="0"/>
                    <w:spacing w:line="240" w:lineRule="auto"/>
                    <w:ind w:right="113" w:rightChars="0" w:firstLine="0" w:firstLineChars="0"/>
                    <w:jc w:val="center"/>
                    <w:textAlignment w:val="auto"/>
                    <w:outlineLvl w:val="9"/>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0.812~0.972</w:t>
                  </w:r>
                </w:p>
              </w:tc>
              <w:tc>
                <w:tcPr>
                  <w:tcW w:w="688" w:type="pct"/>
                  <w:tcBorders>
                    <w:tl2br w:val="nil"/>
                    <w:tr2bl w:val="nil"/>
                  </w:tcBorders>
                  <w:noWrap w:val="0"/>
                  <w:vAlign w:val="center"/>
                </w:tcPr>
                <w:p w14:paraId="212C668C">
                  <w:pPr>
                    <w:pStyle w:val="22"/>
                    <w:pageBreakBefore w:val="0"/>
                    <w:widowControl w:val="0"/>
                    <w:kinsoku/>
                    <w:overflowPunct/>
                    <w:topLinePunct w:val="0"/>
                    <w:bidi w:val="0"/>
                    <w:spacing w:line="240" w:lineRule="auto"/>
                    <w:ind w:right="113" w:rightChars="0" w:firstLine="0" w:firstLineChars="0"/>
                    <w:jc w:val="center"/>
                    <w:textAlignment w:val="auto"/>
                    <w:outlineLvl w:val="9"/>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48.6</w:t>
                  </w:r>
                </w:p>
              </w:tc>
              <w:tc>
                <w:tcPr>
                  <w:tcW w:w="405" w:type="pct"/>
                  <w:tcBorders>
                    <w:tl2br w:val="nil"/>
                    <w:tr2bl w:val="nil"/>
                  </w:tcBorders>
                  <w:noWrap w:val="0"/>
                  <w:vAlign w:val="center"/>
                </w:tcPr>
                <w:p w14:paraId="0138BBEB">
                  <w:pPr>
                    <w:pageBreakBefore w:val="0"/>
                    <w:widowControl w:val="0"/>
                    <w:kinsoku/>
                    <w:overflowPunct/>
                    <w:topLinePunct w:val="0"/>
                    <w:bidi w:val="0"/>
                    <w:spacing w:line="240" w:lineRule="auto"/>
                    <w:jc w:val="center"/>
                    <w:textAlignment w:val="auto"/>
                    <w:outlineLvl w:val="9"/>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0</w:t>
                  </w:r>
                </w:p>
              </w:tc>
              <w:tc>
                <w:tcPr>
                  <w:tcW w:w="487" w:type="pct"/>
                  <w:tcBorders>
                    <w:tl2br w:val="nil"/>
                    <w:tr2bl w:val="nil"/>
                  </w:tcBorders>
                  <w:noWrap w:val="0"/>
                  <w:vAlign w:val="center"/>
                </w:tcPr>
                <w:p w14:paraId="402AA2A1">
                  <w:pPr>
                    <w:pageBreakBefore w:val="0"/>
                    <w:widowControl w:val="0"/>
                    <w:kinsoku/>
                    <w:overflowPunct/>
                    <w:topLinePunct w:val="0"/>
                    <w:bidi w:val="0"/>
                    <w:spacing w:line="240" w:lineRule="auto"/>
                    <w:jc w:val="center"/>
                    <w:textAlignment w:val="auto"/>
                    <w:outlineLvl w:val="9"/>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达标</w:t>
                  </w:r>
                </w:p>
              </w:tc>
            </w:tr>
            <w:tr w14:paraId="3BD670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510" w:type="pct"/>
                  <w:vMerge w:val="continue"/>
                  <w:tcBorders>
                    <w:tl2br w:val="nil"/>
                    <w:tr2bl w:val="nil"/>
                  </w:tcBorders>
                  <w:noWrap w:val="0"/>
                  <w:vAlign w:val="center"/>
                </w:tcPr>
                <w:p w14:paraId="5DF935EB">
                  <w:pPr>
                    <w:pStyle w:val="112"/>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555" w:type="pct"/>
                  <w:tcBorders>
                    <w:tl2br w:val="nil"/>
                    <w:tr2bl w:val="nil"/>
                  </w:tcBorders>
                  <w:noWrap w:val="0"/>
                  <w:vAlign w:val="center"/>
                </w:tcPr>
                <w:p w14:paraId="1AB86752">
                  <w:pPr>
                    <w:pStyle w:val="114"/>
                    <w:pageBreakBefore w:val="0"/>
                    <w:widowControl w:val="0"/>
                    <w:kinsoku/>
                    <w:overflowPunct/>
                    <w:topLinePunct w:val="0"/>
                    <w:bidi w:val="0"/>
                    <w:spacing w:before="46" w:after="46" w:line="240" w:lineRule="auto"/>
                    <w:textAlignment w:val="auto"/>
                    <w:outlineLvl w:val="9"/>
                    <w:rPr>
                      <w:rFonts w:hint="eastAsia" w:ascii="Times New Roman" w:hAnsi="Times New Roman" w:cs="Times New Roman"/>
                      <w:color w:val="000000" w:themeColor="text1"/>
                      <w:kern w:val="2"/>
                      <w:sz w:val="21"/>
                      <w:szCs w:val="21"/>
                      <w:highlight w:val="none"/>
                      <w:lang w:val="en-US" w:eastAsia="zh-CN" w:bidi="zh-CN"/>
                      <w14:textFill>
                        <w14:solidFill>
                          <w14:schemeClr w14:val="tx1"/>
                        </w14:solidFill>
                      </w14:textFill>
                    </w:rPr>
                  </w:pPr>
                  <w:r>
                    <w:rPr>
                      <w:rFonts w:hint="eastAsia" w:cs="Times New Roman"/>
                      <w:bCs/>
                      <w:color w:val="000000" w:themeColor="text1"/>
                      <w:sz w:val="21"/>
                      <w:highlight w:val="none"/>
                      <w:lang w:val="en-US" w:eastAsia="zh-CN"/>
                      <w14:textFill>
                        <w14:solidFill>
                          <w14:schemeClr w14:val="tx1"/>
                        </w14:solidFill>
                      </w14:textFill>
                    </w:rPr>
                    <w:t>二甲苯</w:t>
                  </w:r>
                </w:p>
              </w:tc>
              <w:tc>
                <w:tcPr>
                  <w:tcW w:w="565" w:type="pct"/>
                  <w:tcBorders>
                    <w:tl2br w:val="nil"/>
                    <w:tr2bl w:val="nil"/>
                  </w:tcBorders>
                  <w:noWrap w:val="0"/>
                  <w:vAlign w:val="center"/>
                </w:tcPr>
                <w:p w14:paraId="09EA8031">
                  <w:pPr>
                    <w:pStyle w:val="114"/>
                    <w:pageBreakBefore w:val="0"/>
                    <w:widowControl w:val="0"/>
                    <w:kinsoku/>
                    <w:overflowPunct/>
                    <w:topLinePunct w:val="0"/>
                    <w:bidi w:val="0"/>
                    <w:spacing w:before="46" w:after="46" w:line="240" w:lineRule="auto"/>
                    <w:textAlignment w:val="auto"/>
                    <w:outlineLvl w:val="9"/>
                    <w:rPr>
                      <w:rFonts w:hint="eastAsia" w:ascii="Times New Roman" w:hAnsi="Times New Roman" w:cs="Times New Roman"/>
                      <w:color w:val="000000" w:themeColor="text1"/>
                      <w:sz w:val="21"/>
                      <w:szCs w:val="21"/>
                      <w:highlight w:val="none"/>
                      <w:lang w:val="en-US" w:bidi="zh-CN"/>
                      <w14:textFill>
                        <w14:solidFill>
                          <w14:schemeClr w14:val="tx1"/>
                        </w14:solidFill>
                      </w14:textFill>
                    </w:rPr>
                  </w:pPr>
                  <w:r>
                    <w:rPr>
                      <w:rFonts w:hint="eastAsia" w:cs="Times New Roman"/>
                      <w:bCs/>
                      <w:color w:val="000000" w:themeColor="text1"/>
                      <w:sz w:val="21"/>
                      <w:highlight w:val="none"/>
                      <w:lang w:val="en-US" w:eastAsia="zh-CN"/>
                      <w14:textFill>
                        <w14:solidFill>
                          <w14:schemeClr w14:val="tx1"/>
                        </w14:solidFill>
                      </w14:textFill>
                    </w:rPr>
                    <w:t>小时值</w:t>
                  </w:r>
                </w:p>
              </w:tc>
              <w:tc>
                <w:tcPr>
                  <w:tcW w:w="796" w:type="pct"/>
                  <w:tcBorders>
                    <w:tl2br w:val="nil"/>
                    <w:tr2bl w:val="nil"/>
                  </w:tcBorders>
                  <w:noWrap w:val="0"/>
                  <w:vAlign w:val="center"/>
                </w:tcPr>
                <w:p w14:paraId="4C09D457">
                  <w:pPr>
                    <w:pStyle w:val="114"/>
                    <w:pageBreakBefore w:val="0"/>
                    <w:widowControl w:val="0"/>
                    <w:kinsoku/>
                    <w:overflowPunct/>
                    <w:topLinePunct w:val="0"/>
                    <w:bidi w:val="0"/>
                    <w:spacing w:before="46" w:after="46" w:line="240" w:lineRule="auto"/>
                    <w:textAlignment w:val="auto"/>
                    <w:outlineLvl w:val="9"/>
                    <w:rPr>
                      <w:rFonts w:hint="eastAsia" w:ascii="Times New Roman" w:hAnsi="Times New Roman" w:cs="Times New Roman"/>
                      <w:color w:val="000000" w:themeColor="text1"/>
                      <w:kern w:val="2"/>
                      <w:sz w:val="21"/>
                      <w:szCs w:val="21"/>
                      <w:highlight w:val="none"/>
                      <w:lang w:val="en-US" w:eastAsia="zh-CN" w:bidi="zh-CN"/>
                      <w14:textFill>
                        <w14:solidFill>
                          <w14:schemeClr w14:val="tx1"/>
                        </w14:solidFill>
                      </w14:textFill>
                    </w:rPr>
                  </w:pPr>
                  <w:r>
                    <w:rPr>
                      <w:rFonts w:hint="eastAsia" w:cs="Times New Roman"/>
                      <w:bCs/>
                      <w:color w:val="000000" w:themeColor="text1"/>
                      <w:sz w:val="21"/>
                      <w:highlight w:val="none"/>
                      <w:lang w:val="en-US" w:eastAsia="zh-CN"/>
                      <w14:textFill>
                        <w14:solidFill>
                          <w14:schemeClr w14:val="tx1"/>
                        </w14:solidFill>
                      </w14:textFill>
                    </w:rPr>
                    <w:t>0.2m</w:t>
                  </w:r>
                  <w:r>
                    <w:rPr>
                      <w:rFonts w:hint="default" w:ascii="Times New Roman" w:hAnsi="Times New Roman" w:cs="Times New Roman"/>
                      <w:b w:val="0"/>
                      <w:bCs/>
                      <w:color w:val="000000" w:themeColor="text1"/>
                      <w:kern w:val="0"/>
                      <w:sz w:val="21"/>
                      <w:szCs w:val="21"/>
                      <w:highlight w:val="none"/>
                      <w14:textFill>
                        <w14:solidFill>
                          <w14:schemeClr w14:val="tx1"/>
                        </w14:solidFill>
                      </w14:textFill>
                    </w:rPr>
                    <w:t>g/m</w:t>
                  </w:r>
                  <w:r>
                    <w:rPr>
                      <w:rFonts w:hint="default" w:ascii="Times New Roman" w:hAnsi="Times New Roman" w:cs="Times New Roman"/>
                      <w:b w:val="0"/>
                      <w:bCs/>
                      <w:color w:val="000000" w:themeColor="text1"/>
                      <w:kern w:val="0"/>
                      <w:sz w:val="21"/>
                      <w:szCs w:val="21"/>
                      <w:highlight w:val="none"/>
                      <w:vertAlign w:val="superscript"/>
                      <w14:textFill>
                        <w14:solidFill>
                          <w14:schemeClr w14:val="tx1"/>
                        </w14:solidFill>
                      </w14:textFill>
                    </w:rPr>
                    <w:t>3</w:t>
                  </w:r>
                </w:p>
              </w:tc>
              <w:tc>
                <w:tcPr>
                  <w:tcW w:w="989" w:type="pct"/>
                  <w:tcBorders>
                    <w:tl2br w:val="nil"/>
                    <w:tr2bl w:val="nil"/>
                  </w:tcBorders>
                  <w:noWrap w:val="0"/>
                  <w:vAlign w:val="center"/>
                </w:tcPr>
                <w:p w14:paraId="5C3C09F5">
                  <w:pPr>
                    <w:pStyle w:val="22"/>
                    <w:pageBreakBefore w:val="0"/>
                    <w:widowControl w:val="0"/>
                    <w:kinsoku/>
                    <w:overflowPunct/>
                    <w:topLinePunct w:val="0"/>
                    <w:bidi w:val="0"/>
                    <w:spacing w:line="240" w:lineRule="auto"/>
                    <w:ind w:right="113" w:rightChars="0" w:firstLine="0" w:firstLineChars="0"/>
                    <w:jc w:val="center"/>
                    <w:textAlignment w:val="auto"/>
                    <w:outlineLvl w:val="9"/>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&lt;0.5×10</w:t>
                  </w:r>
                  <w:r>
                    <w:rPr>
                      <w:rFonts w:hint="eastAsia" w:cs="Times New Roman"/>
                      <w:color w:val="000000" w:themeColor="text1"/>
                      <w:kern w:val="0"/>
                      <w:sz w:val="21"/>
                      <w:szCs w:val="21"/>
                      <w:highlight w:val="none"/>
                      <w:vertAlign w:val="superscript"/>
                      <w:lang w:val="en-US" w:eastAsia="zh-CN"/>
                      <w14:textFill>
                        <w14:solidFill>
                          <w14:schemeClr w14:val="tx1"/>
                        </w14:solidFill>
                      </w14:textFill>
                    </w:rPr>
                    <w:t>4</w:t>
                  </w:r>
                </w:p>
              </w:tc>
              <w:tc>
                <w:tcPr>
                  <w:tcW w:w="688" w:type="pct"/>
                  <w:tcBorders>
                    <w:tl2br w:val="nil"/>
                    <w:tr2bl w:val="nil"/>
                  </w:tcBorders>
                  <w:noWrap w:val="0"/>
                  <w:vAlign w:val="center"/>
                </w:tcPr>
                <w:p w14:paraId="2C2507C6">
                  <w:pPr>
                    <w:pStyle w:val="22"/>
                    <w:pageBreakBefore w:val="0"/>
                    <w:widowControl w:val="0"/>
                    <w:kinsoku/>
                    <w:overflowPunct/>
                    <w:topLinePunct w:val="0"/>
                    <w:bidi w:val="0"/>
                    <w:spacing w:line="240" w:lineRule="auto"/>
                    <w:ind w:right="113" w:rightChars="0" w:firstLine="0" w:firstLineChars="0"/>
                    <w:jc w:val="center"/>
                    <w:textAlignment w:val="auto"/>
                    <w:outlineLvl w:val="9"/>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0.0025</w:t>
                  </w:r>
                </w:p>
              </w:tc>
              <w:tc>
                <w:tcPr>
                  <w:tcW w:w="405" w:type="pct"/>
                  <w:tcBorders>
                    <w:tl2br w:val="nil"/>
                    <w:tr2bl w:val="nil"/>
                  </w:tcBorders>
                  <w:noWrap w:val="0"/>
                  <w:vAlign w:val="center"/>
                </w:tcPr>
                <w:p w14:paraId="2F3D06FA">
                  <w:pPr>
                    <w:pageBreakBefore w:val="0"/>
                    <w:widowControl w:val="0"/>
                    <w:kinsoku/>
                    <w:overflowPunct/>
                    <w:topLinePunct w:val="0"/>
                    <w:bidi w:val="0"/>
                    <w:spacing w:line="240" w:lineRule="auto"/>
                    <w:jc w:val="center"/>
                    <w:textAlignment w:val="auto"/>
                    <w:outlineLvl w:val="9"/>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0</w:t>
                  </w:r>
                </w:p>
              </w:tc>
              <w:tc>
                <w:tcPr>
                  <w:tcW w:w="487" w:type="pct"/>
                  <w:tcBorders>
                    <w:tl2br w:val="nil"/>
                    <w:tr2bl w:val="nil"/>
                  </w:tcBorders>
                  <w:noWrap w:val="0"/>
                  <w:vAlign w:val="center"/>
                </w:tcPr>
                <w:p w14:paraId="7E71C05E">
                  <w:pPr>
                    <w:pageBreakBefore w:val="0"/>
                    <w:widowControl w:val="0"/>
                    <w:kinsoku/>
                    <w:overflowPunct/>
                    <w:topLinePunct w:val="0"/>
                    <w:bidi w:val="0"/>
                    <w:spacing w:line="240" w:lineRule="auto"/>
                    <w:jc w:val="center"/>
                    <w:textAlignment w:val="auto"/>
                    <w:outlineLvl w:val="9"/>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达标</w:t>
                  </w:r>
                </w:p>
              </w:tc>
            </w:tr>
            <w:tr w14:paraId="65290D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510" w:type="pct"/>
                  <w:vMerge w:val="continue"/>
                  <w:tcBorders>
                    <w:tl2br w:val="nil"/>
                    <w:tr2bl w:val="nil"/>
                  </w:tcBorders>
                  <w:noWrap w:val="0"/>
                  <w:vAlign w:val="center"/>
                </w:tcPr>
                <w:p w14:paraId="0E189719">
                  <w:pPr>
                    <w:pStyle w:val="112"/>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555" w:type="pct"/>
                  <w:tcBorders>
                    <w:tl2br w:val="nil"/>
                    <w:tr2bl w:val="nil"/>
                  </w:tcBorders>
                  <w:noWrap w:val="0"/>
                  <w:vAlign w:val="center"/>
                </w:tcPr>
                <w:p w14:paraId="5A59377C">
                  <w:pPr>
                    <w:pStyle w:val="114"/>
                    <w:pageBreakBefore w:val="0"/>
                    <w:widowControl w:val="0"/>
                    <w:kinsoku/>
                    <w:overflowPunct/>
                    <w:topLinePunct w:val="0"/>
                    <w:bidi w:val="0"/>
                    <w:spacing w:before="46" w:after="46" w:line="240" w:lineRule="auto"/>
                    <w:textAlignment w:val="auto"/>
                    <w:outlineLvl w:val="9"/>
                    <w:rPr>
                      <w:rFonts w:hint="eastAsia" w:ascii="Times New Roman" w:hAnsi="Times New Roman" w:cs="Times New Roman"/>
                      <w:color w:val="000000" w:themeColor="text1"/>
                      <w:kern w:val="2"/>
                      <w:sz w:val="21"/>
                      <w:szCs w:val="21"/>
                      <w:highlight w:val="none"/>
                      <w:lang w:val="en-US" w:eastAsia="zh-CN" w:bidi="zh-CN"/>
                      <w14:textFill>
                        <w14:solidFill>
                          <w14:schemeClr w14:val="tx1"/>
                        </w14:solidFill>
                      </w14:textFill>
                    </w:rPr>
                  </w:pPr>
                  <w:r>
                    <w:rPr>
                      <w:rFonts w:hint="eastAsia" w:cs="Times New Roman"/>
                      <w:bCs/>
                      <w:color w:val="000000" w:themeColor="text1"/>
                      <w:sz w:val="21"/>
                      <w:highlight w:val="none"/>
                      <w:lang w:val="en-US" w:eastAsia="zh-CN"/>
                      <w14:textFill>
                        <w14:solidFill>
                          <w14:schemeClr w14:val="tx1"/>
                        </w14:solidFill>
                      </w14:textFill>
                    </w:rPr>
                    <w:t>臭气浓度</w:t>
                  </w:r>
                </w:p>
              </w:tc>
              <w:tc>
                <w:tcPr>
                  <w:tcW w:w="565" w:type="pct"/>
                  <w:tcBorders>
                    <w:tl2br w:val="nil"/>
                    <w:tr2bl w:val="nil"/>
                  </w:tcBorders>
                  <w:noWrap w:val="0"/>
                  <w:vAlign w:val="center"/>
                </w:tcPr>
                <w:p w14:paraId="27898B8C">
                  <w:pPr>
                    <w:pStyle w:val="114"/>
                    <w:pageBreakBefore w:val="0"/>
                    <w:widowControl w:val="0"/>
                    <w:kinsoku/>
                    <w:overflowPunct/>
                    <w:topLinePunct w:val="0"/>
                    <w:bidi w:val="0"/>
                    <w:spacing w:before="46" w:after="46" w:line="240" w:lineRule="auto"/>
                    <w:textAlignment w:val="auto"/>
                    <w:outlineLvl w:val="9"/>
                    <w:rPr>
                      <w:rFonts w:hint="eastAsia" w:ascii="Times New Roman" w:hAnsi="Times New Roman" w:cs="Times New Roman"/>
                      <w:color w:val="000000" w:themeColor="text1"/>
                      <w:sz w:val="21"/>
                      <w:szCs w:val="21"/>
                      <w:highlight w:val="none"/>
                      <w:lang w:val="en-US" w:bidi="zh-CN"/>
                      <w14:textFill>
                        <w14:solidFill>
                          <w14:schemeClr w14:val="tx1"/>
                        </w14:solidFill>
                      </w14:textFill>
                    </w:rPr>
                  </w:pPr>
                  <w:r>
                    <w:rPr>
                      <w:rFonts w:hint="eastAsia" w:cs="Times New Roman"/>
                      <w:bCs/>
                      <w:color w:val="000000" w:themeColor="text1"/>
                      <w:sz w:val="21"/>
                      <w:highlight w:val="none"/>
                      <w:lang w:val="en-US" w:eastAsia="zh-CN"/>
                      <w14:textFill>
                        <w14:solidFill>
                          <w14:schemeClr w14:val="tx1"/>
                        </w14:solidFill>
                      </w14:textFill>
                    </w:rPr>
                    <w:t>小时值</w:t>
                  </w:r>
                </w:p>
              </w:tc>
              <w:tc>
                <w:tcPr>
                  <w:tcW w:w="796" w:type="pct"/>
                  <w:tcBorders>
                    <w:tl2br w:val="nil"/>
                    <w:tr2bl w:val="nil"/>
                  </w:tcBorders>
                  <w:noWrap w:val="0"/>
                  <w:vAlign w:val="center"/>
                </w:tcPr>
                <w:p w14:paraId="35C24722">
                  <w:pPr>
                    <w:pStyle w:val="114"/>
                    <w:pageBreakBefore w:val="0"/>
                    <w:widowControl w:val="0"/>
                    <w:kinsoku/>
                    <w:overflowPunct/>
                    <w:topLinePunct w:val="0"/>
                    <w:bidi w:val="0"/>
                    <w:spacing w:before="46" w:after="46" w:line="240" w:lineRule="auto"/>
                    <w:textAlignment w:val="auto"/>
                    <w:outlineLvl w:val="9"/>
                    <w:rPr>
                      <w:rFonts w:hint="eastAsia" w:ascii="Times New Roman" w:hAnsi="Times New Roman" w:cs="Times New Roman"/>
                      <w:color w:val="000000" w:themeColor="text1"/>
                      <w:kern w:val="2"/>
                      <w:sz w:val="21"/>
                      <w:szCs w:val="21"/>
                      <w:highlight w:val="none"/>
                      <w:lang w:val="en-US" w:eastAsia="zh-CN" w:bidi="zh-CN"/>
                      <w14:textFill>
                        <w14:solidFill>
                          <w14:schemeClr w14:val="tx1"/>
                        </w14:solidFill>
                      </w14:textFill>
                    </w:rPr>
                  </w:pPr>
                  <w:r>
                    <w:rPr>
                      <w:rFonts w:hint="eastAsia" w:cs="Times New Roman"/>
                      <w:bCs/>
                      <w:color w:val="000000" w:themeColor="text1"/>
                      <w:sz w:val="21"/>
                      <w:highlight w:val="none"/>
                      <w:lang w:val="en-US" w:eastAsia="zh-CN"/>
                      <w14:textFill>
                        <w14:solidFill>
                          <w14:schemeClr w14:val="tx1"/>
                        </w14:solidFill>
                      </w14:textFill>
                    </w:rPr>
                    <w:t>/</w:t>
                  </w:r>
                </w:p>
              </w:tc>
              <w:tc>
                <w:tcPr>
                  <w:tcW w:w="989" w:type="pct"/>
                  <w:tcBorders>
                    <w:tl2br w:val="nil"/>
                    <w:tr2bl w:val="nil"/>
                  </w:tcBorders>
                  <w:noWrap w:val="0"/>
                  <w:vAlign w:val="center"/>
                </w:tcPr>
                <w:p w14:paraId="6D892ABB">
                  <w:pPr>
                    <w:pStyle w:val="22"/>
                    <w:pageBreakBefore w:val="0"/>
                    <w:widowControl w:val="0"/>
                    <w:kinsoku/>
                    <w:overflowPunct/>
                    <w:topLinePunct w:val="0"/>
                    <w:bidi w:val="0"/>
                    <w:spacing w:line="240" w:lineRule="auto"/>
                    <w:ind w:right="113" w:rightChars="0" w:firstLine="0" w:firstLineChars="0"/>
                    <w:jc w:val="center"/>
                    <w:textAlignment w:val="auto"/>
                    <w:outlineLvl w:val="9"/>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＜10</w:t>
                  </w:r>
                </w:p>
              </w:tc>
              <w:tc>
                <w:tcPr>
                  <w:tcW w:w="688" w:type="pct"/>
                  <w:tcBorders>
                    <w:tl2br w:val="nil"/>
                    <w:tr2bl w:val="nil"/>
                  </w:tcBorders>
                  <w:noWrap w:val="0"/>
                  <w:vAlign w:val="center"/>
                </w:tcPr>
                <w:p w14:paraId="78C8D963">
                  <w:pPr>
                    <w:pStyle w:val="22"/>
                    <w:pageBreakBefore w:val="0"/>
                    <w:widowControl w:val="0"/>
                    <w:kinsoku/>
                    <w:overflowPunct/>
                    <w:topLinePunct w:val="0"/>
                    <w:bidi w:val="0"/>
                    <w:spacing w:line="240" w:lineRule="auto"/>
                    <w:ind w:right="113" w:rightChars="0" w:firstLine="0" w:firstLineChars="0"/>
                    <w:jc w:val="center"/>
                    <w:textAlignment w:val="auto"/>
                    <w:outlineLvl w:val="9"/>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w:t>
                  </w:r>
                </w:p>
              </w:tc>
              <w:tc>
                <w:tcPr>
                  <w:tcW w:w="405" w:type="pct"/>
                  <w:tcBorders>
                    <w:tl2br w:val="nil"/>
                    <w:tr2bl w:val="nil"/>
                  </w:tcBorders>
                  <w:noWrap w:val="0"/>
                  <w:vAlign w:val="center"/>
                </w:tcPr>
                <w:p w14:paraId="5C6D2D20">
                  <w:pPr>
                    <w:pageBreakBefore w:val="0"/>
                    <w:widowControl w:val="0"/>
                    <w:kinsoku/>
                    <w:overflowPunct/>
                    <w:topLinePunct w:val="0"/>
                    <w:bidi w:val="0"/>
                    <w:spacing w:line="240" w:lineRule="auto"/>
                    <w:jc w:val="center"/>
                    <w:textAlignment w:val="auto"/>
                    <w:outlineLvl w:val="9"/>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487" w:type="pct"/>
                  <w:tcBorders>
                    <w:tl2br w:val="nil"/>
                    <w:tr2bl w:val="nil"/>
                  </w:tcBorders>
                  <w:noWrap w:val="0"/>
                  <w:vAlign w:val="center"/>
                </w:tcPr>
                <w:p w14:paraId="6A6423D9">
                  <w:pPr>
                    <w:pageBreakBefore w:val="0"/>
                    <w:widowControl w:val="0"/>
                    <w:kinsoku/>
                    <w:overflowPunct/>
                    <w:topLinePunct w:val="0"/>
                    <w:bidi w:val="0"/>
                    <w:spacing w:line="240" w:lineRule="auto"/>
                    <w:jc w:val="center"/>
                    <w:textAlignment w:val="auto"/>
                    <w:outlineLvl w:val="9"/>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r>
          </w:tbl>
          <w:p w14:paraId="07ABFCBF">
            <w:pPr>
              <w:keepNext w:val="0"/>
              <w:keepLines w:val="0"/>
              <w:pageBreakBefore w:val="0"/>
              <w:widowControl w:val="0"/>
              <w:tabs>
                <w:tab w:val="left" w:pos="1472"/>
              </w:tabs>
              <w:kinsoku/>
              <w:wordWrap/>
              <w:overflowPunct/>
              <w:topLinePunct w:val="0"/>
              <w:autoSpaceDE/>
              <w:autoSpaceDN/>
              <w:bidi w:val="0"/>
              <w:adjustRightInd/>
              <w:snapToGrid/>
              <w:spacing w:line="100" w:lineRule="exact"/>
              <w:ind w:left="771"/>
              <w:jc w:val="center"/>
              <w:textAlignment w:val="auto"/>
              <w:rPr>
                <w:rFonts w:hint="default" w:ascii="Times New Roman" w:hAnsi="Times New Roman" w:cs="Times New Roman"/>
                <w:color w:val="000000" w:themeColor="text1"/>
                <w:szCs w:val="21"/>
                <w:highlight w:val="none"/>
                <w14:textFill>
                  <w14:solidFill>
                    <w14:schemeClr w14:val="tx1"/>
                  </w14:solidFill>
                </w14:textFill>
              </w:rPr>
            </w:pPr>
          </w:p>
          <w:p w14:paraId="60355857">
            <w:pPr>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监测结果表明，项目周围区域空气中，特征污染物TSP相应浓度可达到《环境空气质量标准》（GB3095-2026）过渡阶段浓度限值二级标准要求。非甲烷总烃可达到《大气污染物综合排放标准详解》（1997）要求。二甲苯（苯系物）监测浓度可满足《环境影响评价技术导则 大气环境》(HJ2.2-2018)附录D 表D.1其它污染物空气质量浓度参考限值。</w:t>
            </w:r>
          </w:p>
          <w:p w14:paraId="66183169">
            <w:pPr>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总体来说，项目</w:t>
            </w:r>
            <w:r>
              <w:rPr>
                <w:rFonts w:hint="default" w:ascii="Times New Roman" w:hAnsi="Times New Roman" w:cs="Times New Roman"/>
                <w:color w:val="000000" w:themeColor="text1"/>
                <w:sz w:val="24"/>
                <w:highlight w:val="none"/>
                <w:lang w:val="en-US" w:eastAsia="zh-CN"/>
                <w14:textFill>
                  <w14:solidFill>
                    <w14:schemeClr w14:val="tx1"/>
                  </w14:solidFill>
                </w14:textFill>
              </w:rPr>
              <w:t>周边环境空气质量良好</w:t>
            </w:r>
            <w:r>
              <w:rPr>
                <w:rFonts w:hint="default" w:ascii="Times New Roman" w:hAnsi="Times New Roman" w:cs="Times New Roman"/>
                <w:color w:val="000000" w:themeColor="text1"/>
                <w:sz w:val="24"/>
                <w:highlight w:val="none"/>
                <w14:textFill>
                  <w14:solidFill>
                    <w14:schemeClr w14:val="tx1"/>
                  </w14:solidFill>
                </w14:textFill>
              </w:rPr>
              <w:t>。</w:t>
            </w:r>
          </w:p>
          <w:p w14:paraId="3D8452B9">
            <w:pPr>
              <w:pStyle w:val="39"/>
              <w:spacing w:after="0" w:line="360" w:lineRule="auto"/>
              <w:ind w:left="420" w:leftChars="200"/>
              <w:rPr>
                <w:rFonts w:hint="default" w:ascii="Times New Roman" w:hAnsi="Times New Roman" w:cs="Times New Roman"/>
                <w:b/>
                <w:color w:val="000000" w:themeColor="text1"/>
                <w:sz w:val="24"/>
                <w:highlight w:val="none"/>
                <w14:textFill>
                  <w14:solidFill>
                    <w14:schemeClr w14:val="tx1"/>
                  </w14:solidFill>
                </w14:textFill>
              </w:rPr>
            </w:pPr>
            <w:r>
              <w:rPr>
                <w:rFonts w:hint="default" w:ascii="Times New Roman" w:hAnsi="Times New Roman" w:cs="Times New Roman"/>
                <w:b/>
                <w:color w:val="000000" w:themeColor="text1"/>
                <w:sz w:val="24"/>
                <w:highlight w:val="none"/>
                <w:lang w:val="en-US" w:eastAsia="zh-CN"/>
                <w14:textFill>
                  <w14:solidFill>
                    <w14:schemeClr w14:val="tx1"/>
                  </w14:solidFill>
                </w14:textFill>
              </w:rPr>
              <w:t>2</w:t>
            </w:r>
            <w:r>
              <w:rPr>
                <w:rFonts w:hint="default" w:ascii="Times New Roman" w:hAnsi="Times New Roman" w:cs="Times New Roman"/>
                <w:b/>
                <w:color w:val="000000" w:themeColor="text1"/>
                <w:sz w:val="24"/>
                <w:highlight w:val="none"/>
                <w14:textFill>
                  <w14:solidFill>
                    <w14:schemeClr w14:val="tx1"/>
                  </w14:solidFill>
                </w14:textFill>
              </w:rPr>
              <w:t>、地表水质量现状</w:t>
            </w:r>
          </w:p>
          <w:p w14:paraId="006F1407">
            <w:pPr>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根据《乐昌市人民政府办公室关于印发乐昌市生态环境保护“十四五”规划的通知》（乐府办〔2022〕16号）中</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的</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地表水</w:t>
            </w:r>
            <w:r>
              <w:rPr>
                <w:rFonts w:hint="default" w:ascii="Times New Roman" w:hAnsi="Times New Roman" w:eastAsia="宋体" w:cs="Times New Roman"/>
                <w:color w:val="000000" w:themeColor="text1"/>
                <w:sz w:val="24"/>
                <w:highlight w:val="none"/>
                <w14:textFill>
                  <w14:solidFill>
                    <w14:schemeClr w14:val="tx1"/>
                  </w14:solidFill>
                </w14:textFill>
              </w:rPr>
              <w:t>环境功能区划图（详见附图</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及</w:t>
            </w:r>
            <w:r>
              <w:rPr>
                <w:rFonts w:hint="default" w:ascii="Times New Roman" w:hAnsi="Times New Roman" w:eastAsia="宋体" w:cs="Times New Roman"/>
                <w:color w:val="000000" w:themeColor="text1"/>
                <w:sz w:val="24"/>
                <w:highlight w:val="none"/>
                <w14:textFill>
                  <w14:solidFill>
                    <w14:schemeClr w14:val="tx1"/>
                  </w14:solidFill>
                </w14:textFill>
              </w:rPr>
              <w:t>《广东省地表水环境功能区划》（粤环</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〔2011〕14号</w:t>
            </w:r>
            <w:r>
              <w:rPr>
                <w:rFonts w:hint="default" w:ascii="Times New Roman" w:hAnsi="Times New Roman" w:eastAsia="宋体" w:cs="Times New Roman"/>
                <w:color w:val="000000" w:themeColor="text1"/>
                <w:sz w:val="24"/>
                <w:highlight w:val="none"/>
                <w14:textFill>
                  <w14:solidFill>
                    <w14:schemeClr w14:val="tx1"/>
                  </w14:solidFill>
                </w14:textFill>
              </w:rPr>
              <w:t>），本项目所在区域主要地表水及纳污水体为武江（乐昌城-犁市），为</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Ⅲ</w:t>
            </w:r>
            <w:r>
              <w:rPr>
                <w:rFonts w:hint="default" w:ascii="Times New Roman" w:hAnsi="Times New Roman" w:eastAsia="宋体" w:cs="Times New Roman"/>
                <w:color w:val="000000" w:themeColor="text1"/>
                <w:sz w:val="24"/>
                <w:highlight w:val="none"/>
                <w14:textFill>
                  <w14:solidFill>
                    <w14:schemeClr w14:val="tx1"/>
                  </w14:solidFill>
                </w14:textFill>
              </w:rPr>
              <w:t>类水质功能区，执行《地表水环境质量标准》（GB3838-2002）中的</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Ⅲ</w:t>
            </w:r>
            <w:r>
              <w:rPr>
                <w:rFonts w:hint="default" w:ascii="Times New Roman" w:hAnsi="Times New Roman" w:eastAsia="宋体" w:cs="Times New Roman"/>
                <w:color w:val="000000" w:themeColor="text1"/>
                <w:sz w:val="24"/>
                <w:highlight w:val="none"/>
                <w14:textFill>
                  <w14:solidFill>
                    <w14:schemeClr w14:val="tx1"/>
                  </w14:solidFill>
                </w14:textFill>
              </w:rPr>
              <w:t>类标准。</w:t>
            </w:r>
          </w:p>
          <w:p w14:paraId="0B9A0C4F">
            <w:pPr>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根据《202</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highlight w:val="none"/>
                <w14:textFill>
                  <w14:solidFill>
                    <w14:schemeClr w14:val="tx1"/>
                  </w14:solidFill>
                </w14:textFill>
              </w:rPr>
              <w:t>年韶关市生态环境状况公报》，2024年，韶关市11条主要江河（北江、武江、浈江、南水河、墨江、锦江、马坝河、滃江、新丰江、横石水和大潭河）34个市考以上手工监测断面水质优良率为100%，与2023年持平，其中Ⅰ类比例为2.9%、Ⅱ类比例为88.2%、Ⅲ类比例为8.8%。故项目所在地地表水环境质量现状良好。</w:t>
            </w:r>
          </w:p>
          <w:p w14:paraId="2EF2056B">
            <w:pPr>
              <w:spacing w:line="360" w:lineRule="auto"/>
              <w:ind w:firstLine="480" w:firstLineChars="200"/>
              <w:rPr>
                <w:rFonts w:hint="default" w:ascii="Times New Roman" w:hAnsi="Times New Roman" w:eastAsia="宋体" w:cs="Times New Roman"/>
                <w:b/>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为了进一步了解项目纳污水体武江中钛的污染状况，引用广东省韶关生态环境监测中心站于2024年11月18日对张滩闸坝上游780米处监测断面进行的地表水环境质量现状监测数据（报告编号：（韶）环境监测（水）字（2024）第095号）来评价钛的污染现状。监测报告详见附件7。</w:t>
            </w:r>
          </w:p>
          <w:p w14:paraId="3DB65E29">
            <w:pPr>
              <w:numPr>
                <w:ilvl w:val="0"/>
                <w:numId w:val="14"/>
              </w:numPr>
              <w:spacing w:line="240" w:lineRule="auto"/>
              <w:ind w:left="0" w:leftChars="0" w:firstLine="40" w:firstLineChars="0"/>
              <w:jc w:val="center"/>
              <w:rPr>
                <w:rFonts w:hint="default" w:ascii="Times New Roman" w:hAnsi="Times New Roman" w:eastAsia="宋体" w:cs="Times New Roman"/>
                <w:b/>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val="0"/>
                <w:color w:val="000000" w:themeColor="text1"/>
                <w:kern w:val="2"/>
                <w:sz w:val="21"/>
                <w:szCs w:val="21"/>
                <w:highlight w:val="none"/>
                <w:lang w:val="en-US" w:eastAsia="zh-CN" w:bidi="ar-SA"/>
                <w14:textFill>
                  <w14:solidFill>
                    <w14:schemeClr w14:val="tx1"/>
                  </w14:solidFill>
                </w14:textFill>
              </w:rPr>
              <w:t xml:space="preserve"> </w:t>
            </w:r>
            <w:r>
              <w:rPr>
                <w:rFonts w:hint="eastAsia" w:ascii="Times New Roman" w:hAnsi="Times New Roman" w:eastAsia="宋体" w:cs="Times New Roman"/>
                <w:b/>
                <w:bCs w:val="0"/>
                <w:color w:val="000000" w:themeColor="text1"/>
                <w:kern w:val="2"/>
                <w:sz w:val="21"/>
                <w:szCs w:val="21"/>
                <w:highlight w:val="none"/>
                <w:lang w:val="en-US" w:eastAsia="zh-CN" w:bidi="ar-SA"/>
                <w14:textFill>
                  <w14:solidFill>
                    <w14:schemeClr w14:val="tx1"/>
                  </w14:solidFill>
                </w14:textFill>
              </w:rPr>
              <w:t xml:space="preserve"> </w:t>
            </w:r>
            <w:r>
              <w:rPr>
                <w:rFonts w:hint="default" w:ascii="Times New Roman" w:hAnsi="Times New Roman" w:eastAsia="宋体" w:cs="Times New Roman"/>
                <w:b/>
                <w:bCs w:val="0"/>
                <w:color w:val="000000" w:themeColor="text1"/>
                <w:kern w:val="2"/>
                <w:sz w:val="21"/>
                <w:szCs w:val="21"/>
                <w:highlight w:val="none"/>
                <w:lang w:val="en-US" w:eastAsia="zh-CN" w:bidi="ar-SA"/>
                <w14:textFill>
                  <w14:solidFill>
                    <w14:schemeClr w14:val="tx1"/>
                  </w14:solidFill>
                </w14:textFill>
              </w:rPr>
              <w:t>武江中钛的监测结果及统计分析一览表</w:t>
            </w:r>
          </w:p>
          <w:tbl>
            <w:tblPr>
              <w:tblStyle w:val="4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751"/>
              <w:gridCol w:w="989"/>
              <w:gridCol w:w="1354"/>
              <w:gridCol w:w="989"/>
              <w:gridCol w:w="1257"/>
              <w:gridCol w:w="1214"/>
              <w:gridCol w:w="1234"/>
            </w:tblGrid>
            <w:tr w14:paraId="41F7C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3" w:type="pct"/>
                  <w:vMerge w:val="restart"/>
                  <w:noWrap w:val="0"/>
                  <w:vAlign w:val="center"/>
                </w:tcPr>
                <w:p w14:paraId="6BD60E47">
                  <w:pPr>
                    <w:keepNext w:val="0"/>
                    <w:keepLines w:val="0"/>
                    <w:widowControl w:val="0"/>
                    <w:suppressLineNumbers w:val="0"/>
                    <w:wordWrap/>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序号</w:t>
                  </w:r>
                </w:p>
              </w:tc>
              <w:tc>
                <w:tcPr>
                  <w:tcW w:w="451" w:type="pct"/>
                  <w:vMerge w:val="restart"/>
                  <w:noWrap w:val="0"/>
                  <w:vAlign w:val="center"/>
                </w:tcPr>
                <w:p w14:paraId="45093043">
                  <w:pPr>
                    <w:keepNext w:val="0"/>
                    <w:keepLines w:val="0"/>
                    <w:widowControl w:val="0"/>
                    <w:suppressLineNumbers w:val="0"/>
                    <w:wordWrap/>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河流名称</w:t>
                  </w:r>
                </w:p>
              </w:tc>
              <w:tc>
                <w:tcPr>
                  <w:tcW w:w="594" w:type="pct"/>
                  <w:vMerge w:val="restart"/>
                  <w:noWrap w:val="0"/>
                  <w:vAlign w:val="center"/>
                </w:tcPr>
                <w:p w14:paraId="141B31D0">
                  <w:pPr>
                    <w:keepNext w:val="0"/>
                    <w:keepLines w:val="0"/>
                    <w:widowControl w:val="0"/>
                    <w:suppressLineNumbers w:val="0"/>
                    <w:wordWrap/>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所在</w:t>
                  </w:r>
                </w:p>
                <w:p w14:paraId="54C5FE34">
                  <w:pPr>
                    <w:keepNext w:val="0"/>
                    <w:keepLines w:val="0"/>
                    <w:widowControl w:val="0"/>
                    <w:suppressLineNumbers w:val="0"/>
                    <w:wordWrap/>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县区</w:t>
                  </w:r>
                </w:p>
              </w:tc>
              <w:tc>
                <w:tcPr>
                  <w:tcW w:w="813" w:type="pct"/>
                  <w:vMerge w:val="restart"/>
                  <w:noWrap w:val="0"/>
                  <w:vAlign w:val="center"/>
                </w:tcPr>
                <w:p w14:paraId="636CCAD2">
                  <w:pPr>
                    <w:keepNext w:val="0"/>
                    <w:keepLines w:val="0"/>
                    <w:widowControl w:val="0"/>
                    <w:suppressLineNumbers w:val="0"/>
                    <w:wordWrap/>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监测断面</w:t>
                  </w:r>
                </w:p>
              </w:tc>
              <w:tc>
                <w:tcPr>
                  <w:tcW w:w="594" w:type="pct"/>
                  <w:vMerge w:val="restart"/>
                  <w:noWrap w:val="0"/>
                  <w:vAlign w:val="center"/>
                </w:tcPr>
                <w:p w14:paraId="5DD0E73D">
                  <w:pPr>
                    <w:keepNext w:val="0"/>
                    <w:keepLines w:val="0"/>
                    <w:widowControl w:val="0"/>
                    <w:suppressLineNumbers w:val="0"/>
                    <w:wordWrap/>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监测因子</w:t>
                  </w:r>
                </w:p>
              </w:tc>
              <w:tc>
                <w:tcPr>
                  <w:tcW w:w="755" w:type="pct"/>
                  <w:vMerge w:val="restart"/>
                  <w:noWrap w:val="0"/>
                  <w:vAlign w:val="center"/>
                </w:tcPr>
                <w:p w14:paraId="61383F08">
                  <w:pPr>
                    <w:keepNext w:val="0"/>
                    <w:keepLines w:val="0"/>
                    <w:widowControl w:val="0"/>
                    <w:suppressLineNumbers w:val="0"/>
                    <w:wordWrap/>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监测结果(mg/L)</w:t>
                  </w:r>
                </w:p>
              </w:tc>
              <w:tc>
                <w:tcPr>
                  <w:tcW w:w="729" w:type="pct"/>
                  <w:vMerge w:val="restart"/>
                  <w:noWrap w:val="0"/>
                  <w:vAlign w:val="center"/>
                </w:tcPr>
                <w:p w14:paraId="08743C55">
                  <w:pPr>
                    <w:keepNext w:val="0"/>
                    <w:keepLines w:val="0"/>
                    <w:widowControl w:val="0"/>
                    <w:suppressLineNumbers w:val="0"/>
                    <w:wordWrap/>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标准限值</w:t>
                  </w:r>
                  <w: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(mg/L)</w:t>
                  </w:r>
                </w:p>
              </w:tc>
              <w:tc>
                <w:tcPr>
                  <w:tcW w:w="737" w:type="pct"/>
                  <w:vMerge w:val="restart"/>
                  <w:noWrap w:val="0"/>
                  <w:vAlign w:val="center"/>
                </w:tcPr>
                <w:p w14:paraId="14F99E0F">
                  <w:pPr>
                    <w:keepNext w:val="0"/>
                    <w:keepLines w:val="0"/>
                    <w:widowControl w:val="0"/>
                    <w:suppressLineNumbers w:val="0"/>
                    <w:wordWrap/>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达标情况</w:t>
                  </w:r>
                </w:p>
              </w:tc>
            </w:tr>
            <w:tr w14:paraId="1D08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3" w:type="pct"/>
                  <w:vMerge w:val="continue"/>
                  <w:noWrap w:val="0"/>
                  <w:vAlign w:val="center"/>
                </w:tcPr>
                <w:p w14:paraId="0EAF9BDD">
                  <w:pPr>
                    <w:keepNext w:val="0"/>
                    <w:keepLines w:val="0"/>
                    <w:widowControl w:val="0"/>
                    <w:suppressLineNumbers w:val="0"/>
                    <w:wordWrap/>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p>
              </w:tc>
              <w:tc>
                <w:tcPr>
                  <w:tcW w:w="451" w:type="pct"/>
                  <w:vMerge w:val="continue"/>
                  <w:noWrap w:val="0"/>
                  <w:vAlign w:val="center"/>
                </w:tcPr>
                <w:p w14:paraId="6051FC9F">
                  <w:pPr>
                    <w:keepNext w:val="0"/>
                    <w:keepLines w:val="0"/>
                    <w:widowControl w:val="0"/>
                    <w:suppressLineNumbers w:val="0"/>
                    <w:wordWrap/>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p>
              </w:tc>
              <w:tc>
                <w:tcPr>
                  <w:tcW w:w="594" w:type="pct"/>
                  <w:vMerge w:val="continue"/>
                  <w:noWrap w:val="0"/>
                  <w:vAlign w:val="center"/>
                </w:tcPr>
                <w:p w14:paraId="63D78E4F">
                  <w:pPr>
                    <w:keepNext w:val="0"/>
                    <w:keepLines w:val="0"/>
                    <w:widowControl w:val="0"/>
                    <w:suppressLineNumbers w:val="0"/>
                    <w:wordWrap/>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p>
              </w:tc>
              <w:tc>
                <w:tcPr>
                  <w:tcW w:w="813" w:type="pct"/>
                  <w:vMerge w:val="continue"/>
                  <w:noWrap w:val="0"/>
                  <w:vAlign w:val="center"/>
                </w:tcPr>
                <w:p w14:paraId="442864D4">
                  <w:pPr>
                    <w:keepNext w:val="0"/>
                    <w:keepLines w:val="0"/>
                    <w:widowControl w:val="0"/>
                    <w:suppressLineNumbers w:val="0"/>
                    <w:wordWrap/>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p>
              </w:tc>
              <w:tc>
                <w:tcPr>
                  <w:tcW w:w="594" w:type="pct"/>
                  <w:vMerge w:val="continue"/>
                  <w:noWrap w:val="0"/>
                  <w:vAlign w:val="center"/>
                </w:tcPr>
                <w:p w14:paraId="69F6122D">
                  <w:pPr>
                    <w:keepNext w:val="0"/>
                    <w:keepLines w:val="0"/>
                    <w:widowControl w:val="0"/>
                    <w:suppressLineNumbers w:val="0"/>
                    <w:wordWrap/>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p>
              </w:tc>
              <w:tc>
                <w:tcPr>
                  <w:tcW w:w="755" w:type="pct"/>
                  <w:vMerge w:val="continue"/>
                  <w:noWrap w:val="0"/>
                  <w:vAlign w:val="center"/>
                </w:tcPr>
                <w:p w14:paraId="3EA6F0D7">
                  <w:pPr>
                    <w:keepNext w:val="0"/>
                    <w:keepLines w:val="0"/>
                    <w:widowControl w:val="0"/>
                    <w:suppressLineNumbers w:val="0"/>
                    <w:wordWrap/>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p>
              </w:tc>
              <w:tc>
                <w:tcPr>
                  <w:tcW w:w="729" w:type="pct"/>
                  <w:vMerge w:val="continue"/>
                  <w:noWrap w:val="0"/>
                  <w:vAlign w:val="center"/>
                </w:tcPr>
                <w:p w14:paraId="2E70FE5A">
                  <w:pPr>
                    <w:keepNext w:val="0"/>
                    <w:keepLines w:val="0"/>
                    <w:widowControl w:val="0"/>
                    <w:suppressLineNumbers w:val="0"/>
                    <w:wordWrap/>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p>
              </w:tc>
              <w:tc>
                <w:tcPr>
                  <w:tcW w:w="737" w:type="pct"/>
                  <w:vMerge w:val="continue"/>
                  <w:noWrap w:val="0"/>
                  <w:vAlign w:val="center"/>
                </w:tcPr>
                <w:p w14:paraId="3ABC69CF">
                  <w:pPr>
                    <w:keepNext w:val="0"/>
                    <w:keepLines w:val="0"/>
                    <w:widowControl w:val="0"/>
                    <w:suppressLineNumbers w:val="0"/>
                    <w:wordWrap/>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p>
              </w:tc>
            </w:tr>
            <w:tr w14:paraId="22A2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3" w:type="pct"/>
                  <w:noWrap w:val="0"/>
                  <w:vAlign w:val="center"/>
                </w:tcPr>
                <w:p w14:paraId="0C28DB89">
                  <w:pPr>
                    <w:keepNext w:val="0"/>
                    <w:keepLines w:val="0"/>
                    <w:widowControl w:val="0"/>
                    <w:suppressLineNumbers w:val="0"/>
                    <w:wordWrap/>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t>1</w:t>
                  </w:r>
                </w:p>
              </w:tc>
              <w:tc>
                <w:tcPr>
                  <w:tcW w:w="451" w:type="pct"/>
                  <w:noWrap w:val="0"/>
                  <w:vAlign w:val="center"/>
                </w:tcPr>
                <w:p w14:paraId="6F74DC4B">
                  <w:pPr>
                    <w:keepNext w:val="0"/>
                    <w:keepLines w:val="0"/>
                    <w:widowControl w:val="0"/>
                    <w:suppressLineNumbers w:val="0"/>
                    <w:adjustRightInd w:val="0"/>
                    <w:snapToGrid w:val="0"/>
                    <w:spacing w:before="46" w:beforeLines="15" w:beforeAutospacing="0" w:after="46" w:afterAutospacing="0" w:line="240" w:lineRule="auto"/>
                    <w:ind w:left="0" w:right="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t>武江</w:t>
                  </w:r>
                </w:p>
              </w:tc>
              <w:tc>
                <w:tcPr>
                  <w:tcW w:w="594" w:type="pct"/>
                  <w:noWrap w:val="0"/>
                  <w:vAlign w:val="center"/>
                </w:tcPr>
                <w:p w14:paraId="47E6C0F3">
                  <w:pPr>
                    <w:keepNext w:val="0"/>
                    <w:keepLines w:val="0"/>
                    <w:widowControl w:val="0"/>
                    <w:suppressLineNumbers w:val="0"/>
                    <w:adjustRightInd w:val="0"/>
                    <w:snapToGrid w:val="0"/>
                    <w:spacing w:before="46" w:beforeLines="15" w:beforeAutospacing="0" w:after="46" w:afterAutospacing="0" w:line="240" w:lineRule="auto"/>
                    <w:ind w:left="0" w:right="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t>乐昌市</w:t>
                  </w:r>
                </w:p>
              </w:tc>
              <w:tc>
                <w:tcPr>
                  <w:tcW w:w="813" w:type="pct"/>
                  <w:noWrap w:val="0"/>
                  <w:vAlign w:val="center"/>
                </w:tcPr>
                <w:p w14:paraId="3204F728">
                  <w:pPr>
                    <w:keepNext w:val="0"/>
                    <w:keepLines w:val="0"/>
                    <w:widowControl w:val="0"/>
                    <w:suppressLineNumbers w:val="0"/>
                    <w:adjustRightInd w:val="0"/>
                    <w:snapToGrid w:val="0"/>
                    <w:spacing w:before="46" w:beforeLines="15" w:beforeAutospacing="0" w:after="46" w:afterAutospacing="0" w:line="240" w:lineRule="auto"/>
                    <w:ind w:left="0" w:right="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t>张滩闸坝上游780米处</w:t>
                  </w:r>
                </w:p>
              </w:tc>
              <w:tc>
                <w:tcPr>
                  <w:tcW w:w="594" w:type="pct"/>
                  <w:noWrap w:val="0"/>
                  <w:vAlign w:val="center"/>
                </w:tcPr>
                <w:p w14:paraId="266E056A">
                  <w:pPr>
                    <w:keepNext w:val="0"/>
                    <w:keepLines w:val="0"/>
                    <w:widowControl w:val="0"/>
                    <w:suppressLineNumbers w:val="0"/>
                    <w:wordWrap/>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钛</w:t>
                  </w:r>
                </w:p>
              </w:tc>
              <w:tc>
                <w:tcPr>
                  <w:tcW w:w="755" w:type="pct"/>
                  <w:noWrap w:val="0"/>
                  <w:vAlign w:val="center"/>
                </w:tcPr>
                <w:p w14:paraId="2DD68D91">
                  <w:pPr>
                    <w:keepNext w:val="0"/>
                    <w:keepLines w:val="0"/>
                    <w:widowControl w:val="0"/>
                    <w:suppressLineNumbers w:val="0"/>
                    <w:wordWrap/>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ND</w:t>
                  </w:r>
                </w:p>
              </w:tc>
              <w:tc>
                <w:tcPr>
                  <w:tcW w:w="729" w:type="pct"/>
                  <w:noWrap w:val="0"/>
                  <w:vAlign w:val="center"/>
                </w:tcPr>
                <w:p w14:paraId="72E327B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t>0.1</w:t>
                  </w:r>
                </w:p>
              </w:tc>
              <w:tc>
                <w:tcPr>
                  <w:tcW w:w="737" w:type="pct"/>
                  <w:noWrap w:val="0"/>
                  <w:vAlign w:val="center"/>
                </w:tcPr>
                <w:p w14:paraId="0EAE39BB">
                  <w:pPr>
                    <w:keepNext w:val="0"/>
                    <w:keepLines w:val="0"/>
                    <w:widowControl w:val="0"/>
                    <w:suppressLineNumbers w:val="0"/>
                    <w:wordWrap/>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达标</w:t>
                  </w:r>
                </w:p>
              </w:tc>
            </w:tr>
            <w:tr w14:paraId="393B3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8"/>
                  <w:noWrap w:val="0"/>
                  <w:vAlign w:val="center"/>
                </w:tcPr>
                <w:p w14:paraId="65661949">
                  <w:pPr>
                    <w:keepNext w:val="0"/>
                    <w:keepLines w:val="0"/>
                    <w:widowControl w:val="0"/>
                    <w:suppressLineNumbers w:val="0"/>
                    <w:wordWrap/>
                    <w:spacing w:before="0" w:beforeAutospacing="0" w:after="0" w:afterAutospacing="0" w:line="240" w:lineRule="auto"/>
                    <w:ind w:left="0" w:leftChars="0" w:right="0" w:rightChars="0" w:firstLine="0" w:firstLineChars="0"/>
                    <w:jc w:val="left"/>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注：ND为低于检出限</w:t>
                  </w:r>
                </w:p>
              </w:tc>
            </w:tr>
          </w:tbl>
          <w:p w14:paraId="7C9168B1">
            <w:pPr>
              <w:keepNext w:val="0"/>
              <w:keepLines w:val="0"/>
              <w:pageBreakBefore w:val="0"/>
              <w:widowControl w:val="0"/>
              <w:tabs>
                <w:tab w:val="left" w:pos="1472"/>
              </w:tabs>
              <w:kinsoku/>
              <w:wordWrap/>
              <w:overflowPunct/>
              <w:topLinePunct w:val="0"/>
              <w:autoSpaceDE/>
              <w:autoSpaceDN/>
              <w:bidi w:val="0"/>
              <w:adjustRightInd/>
              <w:snapToGrid/>
              <w:spacing w:line="100" w:lineRule="exact"/>
              <w:ind w:left="771"/>
              <w:jc w:val="center"/>
              <w:textAlignment w:val="auto"/>
              <w:rPr>
                <w:rFonts w:hint="default" w:ascii="Times New Roman" w:hAnsi="Times New Roman" w:cs="Times New Roman"/>
                <w:color w:val="000000" w:themeColor="text1"/>
                <w:szCs w:val="21"/>
                <w:highlight w:val="none"/>
                <w14:textFill>
                  <w14:solidFill>
                    <w14:schemeClr w14:val="tx1"/>
                  </w14:solidFill>
                </w14:textFill>
              </w:rPr>
            </w:pPr>
          </w:p>
          <w:p w14:paraId="3340EB94">
            <w:pPr>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根据监测结果显示，武江张滩闸坝上游780米处监测断面</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中钛的监测结果为低于检出限，浓度</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满足《地表水环境质量标准》(GB3838-2002)表3集中式生活饮用水地表水源地特定项目标准限值，表明项目附近地表水体武江水环境</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中钛的浓度较低，</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水环境质量现状良好。</w:t>
            </w:r>
          </w:p>
          <w:p w14:paraId="6D559E89">
            <w:pPr>
              <w:pStyle w:val="39"/>
              <w:spacing w:after="0" w:line="360" w:lineRule="auto"/>
              <w:ind w:firstLine="480"/>
              <w:rPr>
                <w:rFonts w:hint="default" w:ascii="Times New Roman" w:hAnsi="Times New Roman" w:cs="Times New Roman"/>
                <w:b/>
                <w:color w:val="000000" w:themeColor="text1"/>
                <w:sz w:val="24"/>
                <w:highlight w:val="none"/>
                <w14:textFill>
                  <w14:solidFill>
                    <w14:schemeClr w14:val="tx1"/>
                  </w14:solidFill>
                </w14:textFill>
              </w:rPr>
            </w:pPr>
            <w:r>
              <w:rPr>
                <w:rFonts w:hint="default" w:ascii="Times New Roman" w:hAnsi="Times New Roman" w:cs="Times New Roman"/>
                <w:b/>
                <w:color w:val="000000" w:themeColor="text1"/>
                <w:sz w:val="24"/>
                <w:highlight w:val="none"/>
                <w14:textFill>
                  <w14:solidFill>
                    <w14:schemeClr w14:val="tx1"/>
                  </w14:solidFill>
                </w14:textFill>
              </w:rPr>
              <w:t>3、声环境质量现状</w:t>
            </w:r>
          </w:p>
          <w:p w14:paraId="7641BCA1">
            <w:pPr>
              <w:pStyle w:val="20"/>
              <w:spacing w:line="360" w:lineRule="auto"/>
              <w:ind w:firstLine="480" w:firstLineChars="20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w:t>
            </w:r>
            <w:r>
              <w:rPr>
                <w:rFonts w:hint="eastAsia" w:cs="Times New Roman"/>
                <w:color w:val="000000" w:themeColor="text1"/>
                <w:sz w:val="24"/>
                <w:szCs w:val="24"/>
                <w:highlight w:val="none"/>
                <w:lang w:val="en-US" w:eastAsia="zh-CN"/>
                <w14:textFill>
                  <w14:solidFill>
                    <w14:schemeClr w14:val="tx1"/>
                  </w14:solidFill>
                </w14:textFill>
              </w:rPr>
              <w:t>声功能区划图</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（见附图</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），本项目所在</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区域</w:t>
            </w:r>
            <w:r>
              <w:rPr>
                <w:rFonts w:hint="default" w:ascii="Times New Roman" w:hAnsi="Times New Roman" w:cs="Times New Roman"/>
                <w:color w:val="000000" w:themeColor="text1"/>
                <w:szCs w:val="24"/>
                <w:highlight w:val="none"/>
                <w14:textFill>
                  <w14:solidFill>
                    <w14:schemeClr w14:val="tx1"/>
                  </w14:solidFill>
                </w14:textFill>
              </w:rPr>
              <w:t>属</w:t>
            </w:r>
            <w:r>
              <w:rPr>
                <w:rFonts w:hint="eastAsia" w:ascii="Times New Roman" w:hAnsi="Times New Roman" w:cs="Times New Roman"/>
                <w:color w:val="000000" w:themeColor="text1"/>
                <w:szCs w:val="24"/>
                <w:highlight w:val="none"/>
                <w:lang w:val="en-US" w:eastAsia="zh-CN"/>
                <w14:textFill>
                  <w14:solidFill>
                    <w14:schemeClr w14:val="tx1"/>
                  </w14:solidFill>
                </w14:textFill>
              </w:rPr>
              <w:t>3</w:t>
            </w:r>
            <w:r>
              <w:rPr>
                <w:rFonts w:hint="default" w:ascii="Times New Roman" w:hAnsi="Times New Roman" w:cs="Times New Roman"/>
                <w:color w:val="000000" w:themeColor="text1"/>
                <w:szCs w:val="24"/>
                <w:highlight w:val="none"/>
                <w14:textFill>
                  <w14:solidFill>
                    <w14:schemeClr w14:val="tx1"/>
                  </w14:solidFill>
                </w14:textFill>
              </w:rPr>
              <w:t>类</w:t>
            </w:r>
            <w:r>
              <w:rPr>
                <w:rFonts w:hint="eastAsia" w:ascii="Times New Roman" w:hAnsi="Times New Roman" w:cs="Times New Roman"/>
                <w:color w:val="000000" w:themeColor="text1"/>
                <w:szCs w:val="24"/>
                <w:highlight w:val="none"/>
                <w:lang w:val="en-US" w:eastAsia="zh-CN"/>
                <w14:textFill>
                  <w14:solidFill>
                    <w14:schemeClr w14:val="tx1"/>
                  </w14:solidFill>
                </w14:textFill>
              </w:rPr>
              <w:t>、4a类</w:t>
            </w:r>
            <w:r>
              <w:rPr>
                <w:rFonts w:hint="default" w:ascii="Times New Roman" w:hAnsi="Times New Roman" w:cs="Times New Roman"/>
                <w:color w:val="000000" w:themeColor="text1"/>
                <w:szCs w:val="24"/>
                <w:highlight w:val="none"/>
                <w14:textFill>
                  <w14:solidFill>
                    <w14:schemeClr w14:val="tx1"/>
                  </w14:solidFill>
                </w14:textFill>
              </w:rPr>
              <w:t>声环境功能区，</w:t>
            </w:r>
            <w:r>
              <w:rPr>
                <w:rFonts w:hint="eastAsia" w:cs="Times New Roman"/>
                <w:color w:val="000000" w:themeColor="text1"/>
                <w:szCs w:val="24"/>
                <w:highlight w:val="none"/>
                <w:lang w:val="en-US" w:eastAsia="zh-CN"/>
                <w14:textFill>
                  <w14:solidFill>
                    <w14:schemeClr w14:val="tx1"/>
                  </w14:solidFill>
                </w14:textFill>
              </w:rPr>
              <w:t>项目东面、南</w:t>
            </w:r>
            <w:r>
              <w:rPr>
                <w:rFonts w:hint="eastAsia" w:ascii="Times New Roman" w:hAnsi="Times New Roman" w:cs="Times New Roman"/>
                <w:color w:val="000000" w:themeColor="text1"/>
                <w:szCs w:val="24"/>
                <w:highlight w:val="none"/>
                <w:lang w:val="en-US" w:eastAsia="zh-CN"/>
                <w14:textFill>
                  <w14:solidFill>
                    <w14:schemeClr w14:val="tx1"/>
                  </w14:solidFill>
                </w14:textFill>
              </w:rPr>
              <w:t>面</w:t>
            </w:r>
            <w:r>
              <w:rPr>
                <w:rFonts w:hint="eastAsia" w:cs="Times New Roman"/>
                <w:color w:val="000000" w:themeColor="text1"/>
                <w:szCs w:val="24"/>
                <w:highlight w:val="none"/>
                <w:lang w:val="en-US" w:eastAsia="zh-CN"/>
                <w14:textFill>
                  <w14:solidFill>
                    <w14:schemeClr w14:val="tx1"/>
                  </w14:solidFill>
                </w14:textFill>
              </w:rPr>
              <w:t>红线距离道路边界小于20m，</w:t>
            </w:r>
            <w:r>
              <w:rPr>
                <w:rFonts w:hint="default" w:ascii="Times New Roman" w:hAnsi="Times New Roman" w:cs="Times New Roman"/>
                <w:color w:val="000000" w:themeColor="text1"/>
                <w:szCs w:val="24"/>
                <w:highlight w:val="none"/>
                <w14:textFill>
                  <w14:solidFill>
                    <w14:schemeClr w14:val="tx1"/>
                  </w14:solidFill>
                </w14:textFill>
              </w:rPr>
              <w:t>执行《声环境质量标准》（GB3096-2008）</w:t>
            </w:r>
            <w:r>
              <w:rPr>
                <w:rFonts w:hint="eastAsia" w:ascii="Times New Roman" w:hAnsi="Times New Roman" w:cs="Times New Roman"/>
                <w:color w:val="000000" w:themeColor="text1"/>
                <w:szCs w:val="24"/>
                <w:highlight w:val="none"/>
                <w:lang w:val="en-US" w:eastAsia="zh-CN"/>
                <w14:textFill>
                  <w14:solidFill>
                    <w14:schemeClr w14:val="tx1"/>
                  </w14:solidFill>
                </w14:textFill>
              </w:rPr>
              <w:t>4a</w:t>
            </w:r>
            <w:r>
              <w:rPr>
                <w:rFonts w:hint="default" w:ascii="Times New Roman" w:hAnsi="Times New Roman" w:cs="Times New Roman"/>
                <w:color w:val="000000" w:themeColor="text1"/>
                <w:szCs w:val="24"/>
                <w:highlight w:val="none"/>
                <w14:textFill>
                  <w14:solidFill>
                    <w14:schemeClr w14:val="tx1"/>
                  </w14:solidFill>
                </w14:textFill>
              </w:rPr>
              <w:t>类标准的要求，即昼间≤</w:t>
            </w:r>
            <w:r>
              <w:rPr>
                <w:rFonts w:hint="eastAsia" w:ascii="Times New Roman" w:hAnsi="Times New Roman" w:cs="Times New Roman"/>
                <w:color w:val="000000" w:themeColor="text1"/>
                <w:szCs w:val="24"/>
                <w:highlight w:val="none"/>
                <w:lang w:val="en-US" w:eastAsia="zh-CN"/>
                <w14:textFill>
                  <w14:solidFill>
                    <w14:schemeClr w14:val="tx1"/>
                  </w14:solidFill>
                </w14:textFill>
              </w:rPr>
              <w:t>70</w:t>
            </w:r>
            <w:r>
              <w:rPr>
                <w:rFonts w:hint="default" w:ascii="Times New Roman" w:hAnsi="Times New Roman" w:cs="Times New Roman"/>
                <w:color w:val="000000" w:themeColor="text1"/>
                <w:szCs w:val="24"/>
                <w:highlight w:val="none"/>
                <w14:textFill>
                  <w14:solidFill>
                    <w14:schemeClr w14:val="tx1"/>
                  </w14:solidFill>
                </w14:textFill>
              </w:rPr>
              <w:t>dB(A)，夜间≤5</w:t>
            </w:r>
            <w:r>
              <w:rPr>
                <w:rFonts w:hint="eastAsia" w:ascii="Times New Roman" w:hAnsi="Times New Roman" w:cs="Times New Roman"/>
                <w:color w:val="000000" w:themeColor="text1"/>
                <w:szCs w:val="24"/>
                <w:highlight w:val="none"/>
                <w:lang w:val="en-US" w:eastAsia="zh-CN"/>
                <w14:textFill>
                  <w14:solidFill>
                    <w14:schemeClr w14:val="tx1"/>
                  </w14:solidFill>
                </w14:textFill>
              </w:rPr>
              <w:t>5</w:t>
            </w:r>
            <w:r>
              <w:rPr>
                <w:rFonts w:hint="default" w:ascii="Times New Roman" w:hAnsi="Times New Roman" w:cs="Times New Roman"/>
                <w:color w:val="000000" w:themeColor="text1"/>
                <w:szCs w:val="24"/>
                <w:highlight w:val="none"/>
                <w14:textFill>
                  <w14:solidFill>
                    <w14:schemeClr w14:val="tx1"/>
                  </w14:solidFill>
                </w14:textFill>
              </w:rPr>
              <w:t>dB(A)</w:t>
            </w:r>
            <w:r>
              <w:rPr>
                <w:rFonts w:hint="eastAsia" w:ascii="Times New Roman" w:hAnsi="Times New Roman" w:cs="Times New Roman"/>
                <w:color w:val="000000" w:themeColor="text1"/>
                <w:szCs w:val="24"/>
                <w:highlight w:val="none"/>
                <w:lang w:eastAsia="zh-CN"/>
                <w14:textFill>
                  <w14:solidFill>
                    <w14:schemeClr w14:val="tx1"/>
                  </w14:solidFill>
                </w14:textFill>
              </w:rPr>
              <w:t>；</w:t>
            </w:r>
            <w:r>
              <w:rPr>
                <w:rFonts w:hint="eastAsia" w:ascii="Times New Roman" w:hAnsi="Times New Roman" w:cs="Times New Roman"/>
                <w:color w:val="000000" w:themeColor="text1"/>
                <w:szCs w:val="24"/>
                <w:highlight w:val="none"/>
                <w:lang w:val="en-US" w:eastAsia="zh-CN"/>
                <w14:textFill>
                  <w14:solidFill>
                    <w14:schemeClr w14:val="tx1"/>
                  </w14:solidFill>
                </w14:textFill>
              </w:rPr>
              <w:t>其他边界</w:t>
            </w:r>
            <w:r>
              <w:rPr>
                <w:rFonts w:hint="default" w:ascii="Times New Roman" w:hAnsi="Times New Roman" w:cs="Times New Roman"/>
                <w:color w:val="000000" w:themeColor="text1"/>
                <w:szCs w:val="24"/>
                <w:highlight w:val="none"/>
                <w14:textFill>
                  <w14:solidFill>
                    <w14:schemeClr w14:val="tx1"/>
                  </w14:solidFill>
                </w14:textFill>
              </w:rPr>
              <w:t>执行《声环境质量标准》（GB3096-2008）</w:t>
            </w:r>
            <w:r>
              <w:rPr>
                <w:rFonts w:hint="eastAsia" w:ascii="Times New Roman" w:hAnsi="Times New Roman" w:cs="Times New Roman"/>
                <w:color w:val="000000" w:themeColor="text1"/>
                <w:szCs w:val="24"/>
                <w:highlight w:val="none"/>
                <w:lang w:val="en-US" w:eastAsia="zh-CN"/>
                <w14:textFill>
                  <w14:solidFill>
                    <w14:schemeClr w14:val="tx1"/>
                  </w14:solidFill>
                </w14:textFill>
              </w:rPr>
              <w:t>3</w:t>
            </w:r>
            <w:r>
              <w:rPr>
                <w:rFonts w:hint="default" w:ascii="Times New Roman" w:hAnsi="Times New Roman" w:cs="Times New Roman"/>
                <w:color w:val="000000" w:themeColor="text1"/>
                <w:szCs w:val="24"/>
                <w:highlight w:val="none"/>
                <w14:textFill>
                  <w14:solidFill>
                    <w14:schemeClr w14:val="tx1"/>
                  </w14:solidFill>
                </w14:textFill>
              </w:rPr>
              <w:t>类标准的要求，即昼间≤6</w:t>
            </w:r>
            <w:r>
              <w:rPr>
                <w:rFonts w:hint="eastAsia" w:ascii="Times New Roman" w:hAnsi="Times New Roman" w:cs="Times New Roman"/>
                <w:color w:val="000000" w:themeColor="text1"/>
                <w:szCs w:val="24"/>
                <w:highlight w:val="none"/>
                <w:lang w:val="en-US" w:eastAsia="zh-CN"/>
                <w14:textFill>
                  <w14:solidFill>
                    <w14:schemeClr w14:val="tx1"/>
                  </w14:solidFill>
                </w14:textFill>
              </w:rPr>
              <w:t>5</w:t>
            </w:r>
            <w:r>
              <w:rPr>
                <w:rFonts w:hint="default" w:ascii="Times New Roman" w:hAnsi="Times New Roman" w:cs="Times New Roman"/>
                <w:color w:val="000000" w:themeColor="text1"/>
                <w:szCs w:val="24"/>
                <w:highlight w:val="none"/>
                <w14:textFill>
                  <w14:solidFill>
                    <w14:schemeClr w14:val="tx1"/>
                  </w14:solidFill>
                </w14:textFill>
              </w:rPr>
              <w:t>dB(A)，夜间≤5</w:t>
            </w:r>
            <w:r>
              <w:rPr>
                <w:rFonts w:hint="eastAsia" w:ascii="Times New Roman" w:hAnsi="Times New Roman" w:cs="Times New Roman"/>
                <w:color w:val="000000" w:themeColor="text1"/>
                <w:szCs w:val="24"/>
                <w:highlight w:val="none"/>
                <w:lang w:val="en-US" w:eastAsia="zh-CN"/>
                <w14:textFill>
                  <w14:solidFill>
                    <w14:schemeClr w14:val="tx1"/>
                  </w14:solidFill>
                </w14:textFill>
              </w:rPr>
              <w:t>5</w:t>
            </w:r>
            <w:r>
              <w:rPr>
                <w:rFonts w:hint="default" w:ascii="Times New Roman" w:hAnsi="Times New Roman" w:cs="Times New Roman"/>
                <w:color w:val="000000" w:themeColor="text1"/>
                <w:szCs w:val="24"/>
                <w:highlight w:val="none"/>
                <w14:textFill>
                  <w14:solidFill>
                    <w14:schemeClr w14:val="tx1"/>
                  </w14:solidFill>
                </w14:textFill>
              </w:rPr>
              <w:t>dB(A)。</w:t>
            </w:r>
          </w:p>
          <w:p w14:paraId="1409CF91">
            <w:pPr>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本项目厂界外50m范围内无声环境保护目标，根据《建设项目环境影响报告表编制技术指南（污染影响类）（试行）》，无需进行声环境质量现状调查。</w:t>
            </w:r>
          </w:p>
          <w:p w14:paraId="0EF10DA5">
            <w:pPr>
              <w:pStyle w:val="39"/>
              <w:spacing w:after="0" w:line="360" w:lineRule="auto"/>
              <w:ind w:firstLine="480"/>
              <w:rPr>
                <w:rFonts w:hint="default" w:ascii="Times New Roman" w:hAnsi="Times New Roman" w:cs="Times New Roman"/>
                <w:b/>
                <w:bCs/>
                <w:color w:val="000000" w:themeColor="text1"/>
                <w:sz w:val="24"/>
                <w:highlight w:val="none"/>
                <w14:textFill>
                  <w14:solidFill>
                    <w14:schemeClr w14:val="tx1"/>
                  </w14:solidFill>
                </w14:textFill>
              </w:rPr>
            </w:pPr>
            <w:r>
              <w:rPr>
                <w:rFonts w:hint="default" w:ascii="Times New Roman" w:hAnsi="Times New Roman" w:cs="Times New Roman"/>
                <w:b/>
                <w:bCs/>
                <w:color w:val="000000" w:themeColor="text1"/>
                <w:sz w:val="24"/>
                <w:highlight w:val="none"/>
                <w14:textFill>
                  <w14:solidFill>
                    <w14:schemeClr w14:val="tx1"/>
                  </w14:solidFill>
                </w14:textFill>
              </w:rPr>
              <w:t>4、生态环境质量现状</w:t>
            </w:r>
          </w:p>
          <w:p w14:paraId="09D6D560">
            <w:pPr>
              <w:pStyle w:val="39"/>
              <w:spacing w:after="0" w:line="360" w:lineRule="auto"/>
              <w:ind w:firstLine="480"/>
              <w:rPr>
                <w:rFonts w:hint="default" w:ascii="Times New Roman" w:hAnsi="Times New Roman" w:cs="Times New Roman"/>
                <w:b w:val="0"/>
                <w:bCs w:val="0"/>
                <w:color w:val="000000" w:themeColor="text1"/>
                <w:sz w:val="24"/>
                <w:highlight w:val="none"/>
                <w14:textFill>
                  <w14:solidFill>
                    <w14:schemeClr w14:val="tx1"/>
                  </w14:solidFill>
                </w14:textFill>
              </w:rPr>
            </w:pPr>
            <w:r>
              <w:rPr>
                <w:rFonts w:hint="default" w:ascii="Times New Roman" w:hAnsi="Times New Roman" w:cs="Times New Roman"/>
                <w:b w:val="0"/>
                <w:bCs w:val="0"/>
                <w:color w:val="000000" w:themeColor="text1"/>
                <w:sz w:val="24"/>
                <w:highlight w:val="none"/>
                <w14:textFill>
                  <w14:solidFill>
                    <w14:schemeClr w14:val="tx1"/>
                  </w14:solidFill>
                </w14:textFill>
              </w:rPr>
              <w:t>本项目位于乐昌市乐昌产业转移工业园内，根据现场勘踏和调查，项目用地范围内不含生态环境保护目标，不需进行生态环境调查。</w:t>
            </w:r>
          </w:p>
          <w:p w14:paraId="27B87A7D">
            <w:pPr>
              <w:pStyle w:val="39"/>
              <w:spacing w:after="0" w:line="360" w:lineRule="auto"/>
              <w:ind w:firstLine="480"/>
              <w:rPr>
                <w:rFonts w:hint="default" w:ascii="Times New Roman" w:hAnsi="Times New Roman" w:cs="Times New Roman"/>
                <w:b/>
                <w:bCs/>
                <w:color w:val="000000" w:themeColor="text1"/>
                <w:sz w:val="24"/>
                <w:highlight w:val="none"/>
                <w14:textFill>
                  <w14:solidFill>
                    <w14:schemeClr w14:val="tx1"/>
                  </w14:solidFill>
                </w14:textFill>
              </w:rPr>
            </w:pPr>
            <w:r>
              <w:rPr>
                <w:rFonts w:hint="default" w:ascii="Times New Roman" w:hAnsi="Times New Roman" w:cs="Times New Roman"/>
                <w:b/>
                <w:bCs/>
                <w:color w:val="000000" w:themeColor="text1"/>
                <w:sz w:val="24"/>
                <w:highlight w:val="none"/>
                <w14:textFill>
                  <w14:solidFill>
                    <w14:schemeClr w14:val="tx1"/>
                  </w14:solidFill>
                </w14:textFill>
              </w:rPr>
              <w:t>5、电磁辐射</w:t>
            </w:r>
          </w:p>
          <w:p w14:paraId="0B73E93A">
            <w:pPr>
              <w:pStyle w:val="39"/>
              <w:spacing w:after="0" w:line="360" w:lineRule="auto"/>
              <w:ind w:firstLine="48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项目类别不属于广播电台、差转台、电视塔台卫星地球上行站、雷达等电磁辐射类项目，因此无需开展项目电磁辐射现状监测与评价。</w:t>
            </w:r>
          </w:p>
          <w:p w14:paraId="14EFC43C">
            <w:pPr>
              <w:pStyle w:val="39"/>
              <w:spacing w:after="0" w:line="360" w:lineRule="auto"/>
              <w:ind w:firstLine="480"/>
              <w:rPr>
                <w:rFonts w:hint="default" w:ascii="Times New Roman" w:hAnsi="Times New Roman" w:cs="Times New Roman"/>
                <w:b/>
                <w:bCs/>
                <w:color w:val="000000" w:themeColor="text1"/>
                <w:sz w:val="24"/>
                <w:highlight w:val="none"/>
                <w14:textFill>
                  <w14:solidFill>
                    <w14:schemeClr w14:val="tx1"/>
                  </w14:solidFill>
                </w14:textFill>
              </w:rPr>
            </w:pPr>
            <w:r>
              <w:rPr>
                <w:rFonts w:hint="default" w:ascii="Times New Roman" w:hAnsi="Times New Roman" w:cs="Times New Roman"/>
                <w:b/>
                <w:bCs/>
                <w:color w:val="000000" w:themeColor="text1"/>
                <w:sz w:val="24"/>
                <w:highlight w:val="none"/>
                <w14:textFill>
                  <w14:solidFill>
                    <w14:schemeClr w14:val="tx1"/>
                  </w14:solidFill>
                </w14:textFill>
              </w:rPr>
              <w:t>6、地下水、土壤环境质量现状</w:t>
            </w:r>
          </w:p>
          <w:p w14:paraId="3CE1F751">
            <w:pPr>
              <w:pStyle w:val="20"/>
              <w:spacing w:line="360" w:lineRule="auto"/>
              <w:ind w:firstLine="480" w:firstLineChars="20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bCs/>
                <w:color w:val="000000" w:themeColor="text1"/>
                <w:kern w:val="28"/>
                <w:sz w:val="24"/>
                <w:highlight w:val="none"/>
                <w14:textFill>
                  <w14:solidFill>
                    <w14:schemeClr w14:val="tx1"/>
                  </w14:solidFill>
                </w14:textFill>
              </w:rPr>
              <w:t>本项目</w:t>
            </w:r>
            <w:r>
              <w:rPr>
                <w:rFonts w:hint="default" w:ascii="Times New Roman" w:hAnsi="Times New Roman" w:cs="Times New Roman"/>
                <w:bCs/>
                <w:color w:val="000000" w:themeColor="text1"/>
                <w:kern w:val="28"/>
                <w:sz w:val="24"/>
                <w:highlight w:val="none"/>
                <w:lang w:eastAsia="zh-CN"/>
                <w14:textFill>
                  <w14:solidFill>
                    <w14:schemeClr w14:val="tx1"/>
                  </w14:solidFill>
                </w14:textFill>
              </w:rPr>
              <w:t>生产车间</w:t>
            </w:r>
            <w:r>
              <w:rPr>
                <w:rFonts w:hint="default" w:ascii="Times New Roman" w:hAnsi="Times New Roman" w:cs="Times New Roman"/>
                <w:bCs/>
                <w:color w:val="000000" w:themeColor="text1"/>
                <w:kern w:val="28"/>
                <w:sz w:val="24"/>
                <w:highlight w:val="none"/>
                <w14:textFill>
                  <w14:solidFill>
                    <w14:schemeClr w14:val="tx1"/>
                  </w14:solidFill>
                </w14:textFill>
              </w:rPr>
              <w:t>厂区内均已进行地面硬化，</w:t>
            </w:r>
            <w:r>
              <w:rPr>
                <w:rFonts w:hint="eastAsia" w:cs="Times New Roman"/>
                <w:bCs/>
                <w:color w:val="000000" w:themeColor="text1"/>
                <w:kern w:val="28"/>
                <w:sz w:val="24"/>
                <w:highlight w:val="none"/>
                <w:lang w:val="en-US" w:eastAsia="zh-CN"/>
                <w14:textFill>
                  <w14:solidFill>
                    <w14:schemeClr w14:val="tx1"/>
                  </w14:solidFill>
                </w14:textFill>
              </w:rPr>
              <w:t>工件表面预处理</w:t>
            </w:r>
            <w:r>
              <w:rPr>
                <w:rFonts w:hint="default" w:ascii="Times New Roman" w:hAnsi="Times New Roman" w:cs="Times New Roman"/>
                <w:bCs/>
                <w:color w:val="000000" w:themeColor="text1"/>
                <w:kern w:val="28"/>
                <w:sz w:val="24"/>
                <w:highlight w:val="none"/>
                <w:lang w:val="en-US" w:eastAsia="zh-CN"/>
                <w14:textFill>
                  <w14:solidFill>
                    <w14:schemeClr w14:val="tx1"/>
                  </w14:solidFill>
                </w14:textFill>
              </w:rPr>
              <w:t>生产车间、</w:t>
            </w:r>
            <w:r>
              <w:rPr>
                <w:rFonts w:hint="eastAsia" w:cs="Times New Roman"/>
                <w:bCs/>
                <w:color w:val="000000" w:themeColor="text1"/>
                <w:kern w:val="28"/>
                <w:sz w:val="24"/>
                <w:highlight w:val="none"/>
                <w:lang w:eastAsia="zh-CN"/>
                <w14:textFill>
                  <w14:solidFill>
                    <w14:schemeClr w14:val="tx1"/>
                  </w14:solidFill>
                </w14:textFill>
              </w:rPr>
              <w:t>危险废物贮存间</w:t>
            </w:r>
            <w:r>
              <w:rPr>
                <w:rFonts w:hint="default" w:ascii="Times New Roman" w:hAnsi="Times New Roman" w:cs="Times New Roman"/>
                <w:bCs/>
                <w:color w:val="000000" w:themeColor="text1"/>
                <w:kern w:val="28"/>
                <w:sz w:val="24"/>
                <w:highlight w:val="none"/>
                <w:lang w:eastAsia="zh-CN"/>
                <w14:textFill>
                  <w14:solidFill>
                    <w14:schemeClr w14:val="tx1"/>
                  </w14:solidFill>
                </w14:textFill>
              </w:rPr>
              <w:t>、自建污水处理站</w:t>
            </w:r>
            <w:r>
              <w:rPr>
                <w:rFonts w:hint="default" w:ascii="Times New Roman" w:hAnsi="Times New Roman" w:cs="Times New Roman"/>
                <w:bCs/>
                <w:color w:val="000000" w:themeColor="text1"/>
                <w:kern w:val="28"/>
                <w:sz w:val="24"/>
                <w:highlight w:val="none"/>
                <w14:textFill>
                  <w14:solidFill>
                    <w14:schemeClr w14:val="tx1"/>
                  </w14:solidFill>
                </w14:textFill>
              </w:rPr>
              <w:t>作基础防渗，防渗层为至少lm厚粘土层（渗透系数≤10</w:t>
            </w:r>
            <w:r>
              <w:rPr>
                <w:rFonts w:hint="default" w:ascii="Times New Roman" w:hAnsi="Times New Roman" w:cs="Times New Roman"/>
                <w:bCs/>
                <w:color w:val="000000" w:themeColor="text1"/>
                <w:kern w:val="28"/>
                <w:sz w:val="24"/>
                <w:highlight w:val="none"/>
                <w:vertAlign w:val="superscript"/>
                <w14:textFill>
                  <w14:solidFill>
                    <w14:schemeClr w14:val="tx1"/>
                  </w14:solidFill>
                </w14:textFill>
              </w:rPr>
              <w:t>-7</w:t>
            </w:r>
            <w:r>
              <w:rPr>
                <w:rFonts w:hint="default" w:ascii="Times New Roman" w:hAnsi="Times New Roman" w:cs="Times New Roman"/>
                <w:bCs/>
                <w:color w:val="000000" w:themeColor="text1"/>
                <w:kern w:val="28"/>
                <w:sz w:val="24"/>
                <w:highlight w:val="none"/>
                <w14:textFill>
                  <w14:solidFill>
                    <w14:schemeClr w14:val="tx1"/>
                  </w14:solidFill>
                </w14:textFill>
              </w:rPr>
              <w:t>cm/s），或2mm厚高密度聚乙烯，或至少2mm厚的其他人工材料，渗透系数≤10</w:t>
            </w:r>
            <w:r>
              <w:rPr>
                <w:rFonts w:hint="default" w:ascii="Times New Roman" w:hAnsi="Times New Roman" w:cs="Times New Roman"/>
                <w:bCs/>
                <w:color w:val="000000" w:themeColor="text1"/>
                <w:kern w:val="28"/>
                <w:sz w:val="24"/>
                <w:highlight w:val="none"/>
                <w:vertAlign w:val="superscript"/>
                <w14:textFill>
                  <w14:solidFill>
                    <w14:schemeClr w14:val="tx1"/>
                  </w14:solidFill>
                </w14:textFill>
              </w:rPr>
              <w:t>-10</w:t>
            </w:r>
            <w:r>
              <w:rPr>
                <w:rFonts w:hint="default" w:ascii="Times New Roman" w:hAnsi="Times New Roman" w:cs="Times New Roman"/>
                <w:bCs/>
                <w:color w:val="000000" w:themeColor="text1"/>
                <w:kern w:val="28"/>
                <w:sz w:val="24"/>
                <w:highlight w:val="none"/>
                <w14:textFill>
                  <w14:solidFill>
                    <w14:schemeClr w14:val="tx1"/>
                  </w14:solidFill>
                </w14:textFill>
              </w:rPr>
              <w:t>cm/s；本项目液态</w:t>
            </w:r>
            <w:r>
              <w:rPr>
                <w:rFonts w:hint="default" w:ascii="Times New Roman" w:hAnsi="Times New Roman" w:cs="Times New Roman"/>
                <w:bCs/>
                <w:color w:val="000000" w:themeColor="text1"/>
                <w:kern w:val="28"/>
                <w:sz w:val="24"/>
                <w:highlight w:val="none"/>
                <w:lang w:eastAsia="zh-CN"/>
                <w14:textFill>
                  <w14:solidFill>
                    <w14:schemeClr w14:val="tx1"/>
                  </w14:solidFill>
                </w14:textFill>
              </w:rPr>
              <w:t>原辅料</w:t>
            </w:r>
            <w:r>
              <w:rPr>
                <w:rFonts w:hint="default" w:ascii="Times New Roman" w:hAnsi="Times New Roman" w:cs="Times New Roman"/>
                <w:bCs/>
                <w:color w:val="000000" w:themeColor="text1"/>
                <w:kern w:val="28"/>
                <w:sz w:val="24"/>
                <w:highlight w:val="none"/>
                <w14:textFill>
                  <w14:solidFill>
                    <w14:schemeClr w14:val="tx1"/>
                  </w14:solidFill>
                </w14:textFill>
              </w:rPr>
              <w:t>均储存在</w:t>
            </w:r>
            <w:r>
              <w:rPr>
                <w:rFonts w:hint="eastAsia" w:ascii="Times New Roman" w:hAnsi="Times New Roman" w:cs="Times New Roman"/>
                <w:bCs/>
                <w:color w:val="000000" w:themeColor="text1"/>
                <w:kern w:val="28"/>
                <w:sz w:val="24"/>
                <w:highlight w:val="none"/>
                <w:lang w:val="en-US" w:eastAsia="zh-CN"/>
                <w14:textFill>
                  <w14:solidFill>
                    <w14:schemeClr w14:val="tx1"/>
                  </w14:solidFill>
                </w14:textFill>
              </w:rPr>
              <w:t>5#</w:t>
            </w:r>
            <w:r>
              <w:rPr>
                <w:rFonts w:hint="default" w:ascii="Times New Roman" w:hAnsi="Times New Roman" w:cs="Times New Roman"/>
                <w:bCs/>
                <w:color w:val="000000" w:themeColor="text1"/>
                <w:kern w:val="28"/>
                <w:sz w:val="24"/>
                <w:highlight w:val="none"/>
                <w14:textFill>
                  <w14:solidFill>
                    <w14:schemeClr w14:val="tx1"/>
                  </w14:solidFill>
                </w14:textFill>
              </w:rPr>
              <w:t>厂房设置的化学品仓内，且出入口处设置围堰围挡，物料随用随取，不使用时密闭封存，厂界四周设置围墙围挡，仅保留</w:t>
            </w:r>
            <w:r>
              <w:rPr>
                <w:rFonts w:hint="default" w:ascii="Times New Roman" w:hAnsi="Times New Roman" w:cs="Times New Roman"/>
                <w:bCs/>
                <w:color w:val="000000" w:themeColor="text1"/>
                <w:kern w:val="28"/>
                <w:sz w:val="24"/>
                <w:highlight w:val="none"/>
                <w:lang w:val="en-US" w:eastAsia="zh-CN"/>
                <w14:textFill>
                  <w14:solidFill>
                    <w14:schemeClr w14:val="tx1"/>
                  </w14:solidFill>
                </w14:textFill>
              </w:rPr>
              <w:t>东南</w:t>
            </w:r>
            <w:r>
              <w:rPr>
                <w:rFonts w:hint="default" w:ascii="Times New Roman" w:hAnsi="Times New Roman" w:cs="Times New Roman"/>
                <w:bCs/>
                <w:color w:val="000000" w:themeColor="text1"/>
                <w:kern w:val="28"/>
                <w:sz w:val="24"/>
                <w:highlight w:val="none"/>
                <w14:textFill>
                  <w14:solidFill>
                    <w14:schemeClr w14:val="tx1"/>
                  </w14:solidFill>
                </w14:textFill>
              </w:rPr>
              <w:t>侧厂区出入口，可防止地表径流直接进入本项目</w:t>
            </w:r>
            <w:r>
              <w:rPr>
                <w:rFonts w:hint="default" w:ascii="Times New Roman" w:hAnsi="Times New Roman" w:cs="Times New Roman"/>
                <w:bCs/>
                <w:color w:val="000000" w:themeColor="text1"/>
                <w:kern w:val="28"/>
                <w:sz w:val="24"/>
                <w:highlight w:val="none"/>
                <w:lang w:val="en-US" w:eastAsia="zh-CN"/>
                <w14:textFill>
                  <w14:solidFill>
                    <w14:schemeClr w14:val="tx1"/>
                  </w14:solidFill>
                </w14:textFill>
              </w:rPr>
              <w:t>周边水体</w:t>
            </w:r>
            <w:r>
              <w:rPr>
                <w:rFonts w:hint="default" w:ascii="Times New Roman" w:hAnsi="Times New Roman" w:cs="Times New Roman"/>
                <w:bCs/>
                <w:color w:val="000000" w:themeColor="text1"/>
                <w:kern w:val="28"/>
                <w:sz w:val="24"/>
                <w:highlight w:val="none"/>
                <w14:textFill>
                  <w14:solidFill>
                    <w14:schemeClr w14:val="tx1"/>
                  </w14:solidFill>
                </w14:textFill>
              </w:rPr>
              <w:t>。因此不存在地</w:t>
            </w:r>
            <w:r>
              <w:rPr>
                <w:rFonts w:hint="default" w:ascii="Times New Roman" w:hAnsi="Times New Roman" w:cs="Times New Roman"/>
                <w:bCs/>
                <w:color w:val="000000" w:themeColor="text1"/>
                <w:kern w:val="28"/>
                <w:sz w:val="24"/>
                <w:highlight w:val="none"/>
                <w:lang w:eastAsia="zh-CN"/>
                <w14:textFill>
                  <w14:solidFill>
                    <w14:schemeClr w14:val="tx1"/>
                  </w14:solidFill>
                </w14:textFill>
              </w:rPr>
              <w:t>下</w:t>
            </w:r>
            <w:r>
              <w:rPr>
                <w:rFonts w:hint="default" w:ascii="Times New Roman" w:hAnsi="Times New Roman" w:cs="Times New Roman"/>
                <w:bCs/>
                <w:color w:val="000000" w:themeColor="text1"/>
                <w:kern w:val="28"/>
                <w:sz w:val="24"/>
                <w:highlight w:val="none"/>
                <w14:textFill>
                  <w14:solidFill>
                    <w14:schemeClr w14:val="tx1"/>
                  </w14:solidFill>
                </w14:textFill>
              </w:rPr>
              <w:t>水、</w:t>
            </w:r>
            <w:r>
              <w:rPr>
                <w:rFonts w:hint="default" w:ascii="Times New Roman" w:hAnsi="Times New Roman" w:cs="Times New Roman"/>
                <w:bCs/>
                <w:color w:val="000000" w:themeColor="text1"/>
                <w:kern w:val="28"/>
                <w:sz w:val="24"/>
                <w:highlight w:val="none"/>
                <w:lang w:eastAsia="zh-CN"/>
                <w14:textFill>
                  <w14:solidFill>
                    <w14:schemeClr w14:val="tx1"/>
                  </w14:solidFill>
                </w14:textFill>
              </w:rPr>
              <w:t>土壤</w:t>
            </w:r>
            <w:r>
              <w:rPr>
                <w:rFonts w:hint="default" w:ascii="Times New Roman" w:hAnsi="Times New Roman" w:cs="Times New Roman"/>
                <w:bCs/>
                <w:color w:val="000000" w:themeColor="text1"/>
                <w:kern w:val="28"/>
                <w:sz w:val="24"/>
                <w:highlight w:val="none"/>
                <w14:textFill>
                  <w14:solidFill>
                    <w14:schemeClr w14:val="tx1"/>
                  </w14:solidFill>
                </w14:textFill>
              </w:rPr>
              <w:t>环境污染途径。其他区域均进行水泥地面硬底化。项目生产经营范围内具有一定的防腐防渗作用，可有效阻断污染物入渗土壤的途径，正常工况下不会对地下水、土壤环境造成显著不良影响，且占地范围内不具备监测条件。因此</w:t>
            </w:r>
            <w:r>
              <w:rPr>
                <w:rFonts w:hint="eastAsia" w:cs="Times New Roman"/>
                <w:bCs/>
                <w:color w:val="000000" w:themeColor="text1"/>
                <w:kern w:val="28"/>
                <w:sz w:val="24"/>
                <w:highlight w:val="none"/>
                <w:lang w:val="en-US" w:eastAsia="zh-CN"/>
                <w14:textFill>
                  <w14:solidFill>
                    <w14:schemeClr w14:val="tx1"/>
                  </w14:solidFill>
                </w14:textFill>
              </w:rPr>
              <w:t>本项目不对地下水、土壤环境质量现状监测</w:t>
            </w:r>
            <w:r>
              <w:rPr>
                <w:rFonts w:hint="default" w:ascii="Times New Roman" w:hAnsi="Times New Roman" w:cs="Times New Roman"/>
                <w:bCs/>
                <w:color w:val="000000" w:themeColor="text1"/>
                <w:kern w:val="28"/>
                <w:sz w:val="24"/>
                <w:highlight w:val="none"/>
                <w:lang w:eastAsia="zh-CN"/>
                <w14:textFill>
                  <w14:solidFill>
                    <w14:schemeClr w14:val="tx1"/>
                  </w14:solidFill>
                </w14:textFill>
              </w:rPr>
              <w:t>。</w:t>
            </w:r>
          </w:p>
        </w:tc>
      </w:tr>
      <w:tr w14:paraId="2C227D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11" w:hRule="atLeast"/>
          <w:jc w:val="center"/>
        </w:trPr>
        <w:tc>
          <w:tcPr>
            <w:tcW w:w="278" w:type="pct"/>
            <w:noWrap w:val="0"/>
            <w:vAlign w:val="center"/>
          </w:tcPr>
          <w:p w14:paraId="044F2BD2">
            <w:pPr>
              <w:adjustRightInd w:val="0"/>
              <w:snapToGrid w:val="0"/>
              <w:jc w:val="center"/>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环境</w:t>
            </w:r>
          </w:p>
          <w:p w14:paraId="46A3D136">
            <w:pPr>
              <w:adjustRightInd w:val="0"/>
              <w:snapToGrid w:val="0"/>
              <w:jc w:val="center"/>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保护</w:t>
            </w:r>
          </w:p>
          <w:p w14:paraId="037D47D5">
            <w:pPr>
              <w:adjustRightInd w:val="0"/>
              <w:snapToGrid w:val="0"/>
              <w:jc w:val="center"/>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目标</w:t>
            </w:r>
          </w:p>
        </w:tc>
        <w:tc>
          <w:tcPr>
            <w:tcW w:w="4721" w:type="pct"/>
            <w:noWrap w:val="0"/>
            <w:vAlign w:val="center"/>
          </w:tcPr>
          <w:p w14:paraId="3943FEF8">
            <w:pPr>
              <w:keepNext w:val="0"/>
              <w:keepLines w:val="0"/>
              <w:pageBreakBefore w:val="0"/>
              <w:widowControl w:val="0"/>
              <w:tabs>
                <w:tab w:val="left" w:pos="1472"/>
              </w:tabs>
              <w:kinsoku/>
              <w:wordWrap/>
              <w:overflowPunct/>
              <w:topLinePunct w:val="0"/>
              <w:autoSpaceDE/>
              <w:autoSpaceDN/>
              <w:bidi w:val="0"/>
              <w:adjustRightInd/>
              <w:snapToGrid/>
              <w:spacing w:line="120" w:lineRule="exact"/>
              <w:ind w:left="771"/>
              <w:jc w:val="center"/>
              <w:textAlignment w:val="auto"/>
              <w:rPr>
                <w:rFonts w:hint="default" w:ascii="Times New Roman" w:hAnsi="Times New Roman" w:cs="Times New Roman"/>
                <w:color w:val="000000" w:themeColor="text1"/>
                <w:szCs w:val="21"/>
                <w:highlight w:val="none"/>
                <w14:textFill>
                  <w14:solidFill>
                    <w14:schemeClr w14:val="tx1"/>
                  </w14:solidFill>
                </w14:textFill>
              </w:rPr>
            </w:pPr>
          </w:p>
          <w:p w14:paraId="69F1679B">
            <w:pPr>
              <w:pStyle w:val="39"/>
              <w:spacing w:after="0" w:line="360" w:lineRule="auto"/>
              <w:ind w:firstLine="480"/>
              <w:rPr>
                <w:rFonts w:hint="default" w:ascii="Times New Roman" w:hAnsi="Times New Roman" w:cs="Times New Roman"/>
                <w:b w:val="0"/>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根据</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现场调查及结合卫星地图，绘制了</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项目</w:t>
            </w:r>
            <w:r>
              <w:rPr>
                <w:rFonts w:hint="default" w:ascii="Times New Roman" w:hAnsi="Times New Roman" w:cs="Times New Roman"/>
                <w:b w:val="0"/>
                <w:bCs/>
                <w:color w:val="000000" w:themeColor="text1"/>
                <w:sz w:val="24"/>
                <w:highlight w:val="none"/>
                <w14:textFill>
                  <w14:solidFill>
                    <w14:schemeClr w14:val="tx1"/>
                  </w14:solidFill>
                </w14:textFill>
              </w:rPr>
              <w:t>周边环境保护目标</w:t>
            </w:r>
            <w:r>
              <w:rPr>
                <w:rFonts w:hint="default" w:ascii="Times New Roman" w:hAnsi="Times New Roman" w:cs="Times New Roman"/>
                <w:b w:val="0"/>
                <w:bCs/>
                <w:color w:val="000000" w:themeColor="text1"/>
                <w:sz w:val="24"/>
                <w:highlight w:val="none"/>
                <w:lang w:val="en-US" w:eastAsia="zh-CN"/>
                <w14:textFill>
                  <w14:solidFill>
                    <w14:schemeClr w14:val="tx1"/>
                  </w14:solidFill>
                </w14:textFill>
              </w:rPr>
              <w:t>分布</w:t>
            </w:r>
            <w:r>
              <w:rPr>
                <w:rFonts w:hint="default" w:ascii="Times New Roman" w:hAnsi="Times New Roman" w:cs="Times New Roman"/>
                <w:b w:val="0"/>
                <w:bCs/>
                <w:color w:val="000000" w:themeColor="text1"/>
                <w:sz w:val="24"/>
                <w:highlight w:val="none"/>
                <w14:textFill>
                  <w14:solidFill>
                    <w14:schemeClr w14:val="tx1"/>
                  </w14:solidFill>
                </w14:textFill>
              </w:rPr>
              <w:t>图</w:t>
            </w:r>
            <w:r>
              <w:rPr>
                <w:rFonts w:hint="default" w:ascii="Times New Roman" w:hAnsi="Times New Roman" w:cs="Times New Roman"/>
                <w:b w:val="0"/>
                <w:bCs/>
                <w:color w:val="000000" w:themeColor="text1"/>
                <w:sz w:val="24"/>
                <w:highlight w:val="none"/>
                <w:lang w:eastAsia="zh-CN"/>
                <w14:textFill>
                  <w14:solidFill>
                    <w14:schemeClr w14:val="tx1"/>
                  </w14:solidFill>
                </w14:textFill>
              </w:rPr>
              <w:t>（</w:t>
            </w:r>
            <w:r>
              <w:rPr>
                <w:rFonts w:hint="default" w:ascii="Times New Roman" w:hAnsi="Times New Roman" w:cs="Times New Roman"/>
                <w:b w:val="0"/>
                <w:bCs/>
                <w:color w:val="000000" w:themeColor="text1"/>
                <w:sz w:val="24"/>
                <w:highlight w:val="none"/>
                <w:lang w:val="en-US" w:eastAsia="zh-CN"/>
                <w14:textFill>
                  <w14:solidFill>
                    <w14:schemeClr w14:val="tx1"/>
                  </w14:solidFill>
                </w14:textFill>
              </w:rPr>
              <w:t>详见附图</w:t>
            </w:r>
            <w:r>
              <w:rPr>
                <w:rFonts w:hint="eastAsia" w:ascii="Times New Roman" w:hAnsi="Times New Roman" w:cs="Times New Roman"/>
                <w:b w:val="0"/>
                <w:bCs/>
                <w:color w:val="000000" w:themeColor="text1"/>
                <w:sz w:val="24"/>
                <w:highlight w:val="none"/>
                <w:lang w:val="en-US" w:eastAsia="zh-CN"/>
                <w14:textFill>
                  <w14:solidFill>
                    <w14:schemeClr w14:val="tx1"/>
                  </w14:solidFill>
                </w14:textFill>
              </w:rPr>
              <w:t>11</w:t>
            </w:r>
            <w:r>
              <w:rPr>
                <w:rFonts w:hint="default" w:ascii="Times New Roman" w:hAnsi="Times New Roman" w:cs="Times New Roman"/>
                <w:b w:val="0"/>
                <w:bCs/>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由此可知</w:t>
            </w:r>
            <w:r>
              <w:rPr>
                <w:rFonts w:hint="default" w:ascii="Times New Roman" w:hAnsi="Times New Roman" w:cs="Times New Roman"/>
                <w:b w:val="0"/>
                <w:bCs/>
                <w:color w:val="000000" w:themeColor="text1"/>
                <w:sz w:val="24"/>
                <w:highlight w:val="none"/>
                <w:lang w:val="en-US" w:eastAsia="zh-CN"/>
                <w14:textFill>
                  <w14:solidFill>
                    <w14:schemeClr w14:val="tx1"/>
                  </w14:solidFill>
                </w14:textFill>
              </w:rPr>
              <w:t>：</w:t>
            </w:r>
          </w:p>
          <w:p w14:paraId="27E105F0">
            <w:pPr>
              <w:pStyle w:val="39"/>
              <w:spacing w:after="0" w:line="360" w:lineRule="auto"/>
              <w:ind w:firstLine="480"/>
              <w:rPr>
                <w:rFonts w:hint="default" w:ascii="Times New Roman" w:hAnsi="Times New Roman" w:cs="Times New Roman"/>
                <w:b/>
                <w:color w:val="000000" w:themeColor="text1"/>
                <w:sz w:val="24"/>
                <w:highlight w:val="none"/>
                <w14:textFill>
                  <w14:solidFill>
                    <w14:schemeClr w14:val="tx1"/>
                  </w14:solidFill>
                </w14:textFill>
              </w:rPr>
            </w:pPr>
            <w:r>
              <w:rPr>
                <w:rFonts w:hint="default" w:ascii="Times New Roman" w:hAnsi="Times New Roman" w:cs="Times New Roman"/>
                <w:b/>
                <w:color w:val="000000" w:themeColor="text1"/>
                <w:sz w:val="24"/>
                <w:highlight w:val="none"/>
                <w14:textFill>
                  <w14:solidFill>
                    <w14:schemeClr w14:val="tx1"/>
                  </w14:solidFill>
                </w14:textFill>
              </w:rPr>
              <w:t>1、环境空气保护目标</w:t>
            </w:r>
          </w:p>
          <w:p w14:paraId="620DDB3F">
            <w:pPr>
              <w:pStyle w:val="39"/>
              <w:spacing w:after="0" w:line="360" w:lineRule="auto"/>
              <w:ind w:firstLine="48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根据现场调查，项目厂界外500米范围内大气环境保护目标</w:t>
            </w:r>
            <w:r>
              <w:rPr>
                <w:rFonts w:hint="default" w:ascii="Times New Roman" w:hAnsi="Times New Roman" w:cs="Times New Roman"/>
                <w:color w:val="000000" w:themeColor="text1"/>
                <w:sz w:val="24"/>
                <w:highlight w:val="none"/>
                <w:lang w:val="en-US" w:eastAsia="zh-CN"/>
                <w14:textFill>
                  <w14:solidFill>
                    <w14:schemeClr w14:val="tx1"/>
                  </w14:solidFill>
                </w14:textFill>
              </w:rPr>
              <w:t>分布情况见下表</w:t>
            </w:r>
            <w:r>
              <w:rPr>
                <w:rFonts w:hint="default" w:ascii="Times New Roman" w:hAnsi="Times New Roman" w:cs="Times New Roman"/>
                <w:color w:val="000000" w:themeColor="text1"/>
                <w:sz w:val="24"/>
                <w:highlight w:val="none"/>
                <w14:textFill>
                  <w14:solidFill>
                    <w14:schemeClr w14:val="tx1"/>
                  </w14:solidFill>
                </w14:textFill>
              </w:rPr>
              <w:t>。</w:t>
            </w:r>
          </w:p>
          <w:p w14:paraId="44DBF511">
            <w:pPr>
              <w:numPr>
                <w:ilvl w:val="0"/>
                <w:numId w:val="14"/>
              </w:numPr>
              <w:spacing w:line="240" w:lineRule="auto"/>
              <w:ind w:left="0" w:leftChars="0" w:firstLine="40" w:firstLineChars="0"/>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 xml:space="preserve">  项目大气环境保护目标</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分布</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一览表</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911"/>
              <w:gridCol w:w="983"/>
              <w:gridCol w:w="1103"/>
              <w:gridCol w:w="1105"/>
              <w:gridCol w:w="858"/>
              <w:gridCol w:w="955"/>
              <w:gridCol w:w="1320"/>
            </w:tblGrid>
            <w:tr w14:paraId="01E1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8" w:type="pct"/>
                  <w:vMerge w:val="restart"/>
                  <w:tcBorders>
                    <w:tl2br w:val="nil"/>
                    <w:tr2bl w:val="nil"/>
                  </w:tcBorders>
                  <w:noWrap/>
                  <w:vAlign w:val="center"/>
                </w:tcPr>
                <w:p w14:paraId="10634577">
                  <w:pPr>
                    <w:pStyle w:val="114"/>
                    <w:spacing w:line="240" w:lineRule="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名称</w:t>
                  </w:r>
                </w:p>
              </w:tc>
              <w:tc>
                <w:tcPr>
                  <w:tcW w:w="1137" w:type="pct"/>
                  <w:gridSpan w:val="2"/>
                  <w:tcBorders>
                    <w:tl2br w:val="nil"/>
                    <w:tr2bl w:val="nil"/>
                  </w:tcBorders>
                  <w:noWrap/>
                  <w:vAlign w:val="center"/>
                </w:tcPr>
                <w:p w14:paraId="040E0316">
                  <w:pPr>
                    <w:pStyle w:val="114"/>
                    <w:spacing w:line="240" w:lineRule="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坐标/m</w:t>
                  </w:r>
                </w:p>
              </w:tc>
              <w:tc>
                <w:tcPr>
                  <w:tcW w:w="662" w:type="pct"/>
                  <w:vMerge w:val="restart"/>
                  <w:tcBorders>
                    <w:tl2br w:val="nil"/>
                    <w:tr2bl w:val="nil"/>
                  </w:tcBorders>
                  <w:noWrap/>
                  <w:vAlign w:val="center"/>
                </w:tcPr>
                <w:p w14:paraId="0A1CE87A">
                  <w:pPr>
                    <w:pStyle w:val="114"/>
                    <w:spacing w:line="240" w:lineRule="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保护对象</w:t>
                  </w:r>
                </w:p>
              </w:tc>
              <w:tc>
                <w:tcPr>
                  <w:tcW w:w="663" w:type="pct"/>
                  <w:vMerge w:val="restart"/>
                  <w:tcBorders>
                    <w:tl2br w:val="nil"/>
                    <w:tr2bl w:val="nil"/>
                  </w:tcBorders>
                  <w:noWrap/>
                  <w:vAlign w:val="center"/>
                </w:tcPr>
                <w:p w14:paraId="58F8D990">
                  <w:pPr>
                    <w:pStyle w:val="114"/>
                    <w:spacing w:line="240" w:lineRule="auto"/>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保护</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内容</w:t>
                  </w:r>
                </w:p>
              </w:tc>
              <w:tc>
                <w:tcPr>
                  <w:tcW w:w="515" w:type="pct"/>
                  <w:vMerge w:val="restart"/>
                  <w:tcBorders>
                    <w:tl2br w:val="nil"/>
                    <w:tr2bl w:val="nil"/>
                  </w:tcBorders>
                  <w:noWrap/>
                  <w:vAlign w:val="center"/>
                </w:tcPr>
                <w:p w14:paraId="7E1285D7">
                  <w:pPr>
                    <w:pStyle w:val="114"/>
                    <w:spacing w:line="240" w:lineRule="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环境功能区</w:t>
                  </w:r>
                </w:p>
              </w:tc>
              <w:tc>
                <w:tcPr>
                  <w:tcW w:w="573" w:type="pct"/>
                  <w:vMerge w:val="restart"/>
                  <w:tcBorders>
                    <w:tl2br w:val="nil"/>
                    <w:tr2bl w:val="nil"/>
                  </w:tcBorders>
                  <w:noWrap/>
                  <w:vAlign w:val="center"/>
                </w:tcPr>
                <w:p w14:paraId="0805A775">
                  <w:pPr>
                    <w:pStyle w:val="114"/>
                    <w:spacing w:line="240" w:lineRule="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相对厂址方位</w:t>
                  </w:r>
                </w:p>
              </w:tc>
              <w:tc>
                <w:tcPr>
                  <w:tcW w:w="789" w:type="pct"/>
                  <w:vMerge w:val="restart"/>
                  <w:tcBorders>
                    <w:tl2br w:val="nil"/>
                    <w:tr2bl w:val="nil"/>
                  </w:tcBorders>
                  <w:noWrap/>
                  <w:vAlign w:val="center"/>
                </w:tcPr>
                <w:p w14:paraId="194B46CD">
                  <w:pPr>
                    <w:pStyle w:val="114"/>
                    <w:spacing w:line="240" w:lineRule="auto"/>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相对</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厂界</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距离</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/m</w:t>
                  </w:r>
                </w:p>
              </w:tc>
            </w:tr>
            <w:tr w14:paraId="76BF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8" w:type="pct"/>
                  <w:vMerge w:val="continue"/>
                  <w:tcBorders>
                    <w:tl2br w:val="nil"/>
                    <w:tr2bl w:val="nil"/>
                  </w:tcBorders>
                  <w:noWrap/>
                  <w:vAlign w:val="center"/>
                </w:tcPr>
                <w:p w14:paraId="3898EE71">
                  <w:pPr>
                    <w:pStyle w:val="114"/>
                    <w:spacing w:line="240" w:lineRule="auto"/>
                    <w:rPr>
                      <w:rFonts w:hint="default" w:ascii="Times New Roman" w:hAnsi="Times New Roman" w:eastAsia="宋体" w:cs="Times New Roman"/>
                      <w:bCs/>
                      <w:color w:val="000000" w:themeColor="text1"/>
                      <w:sz w:val="21"/>
                      <w:szCs w:val="21"/>
                      <w:highlight w:val="none"/>
                      <w14:textFill>
                        <w14:solidFill>
                          <w14:schemeClr w14:val="tx1"/>
                        </w14:solidFill>
                      </w14:textFill>
                    </w:rPr>
                  </w:pPr>
                </w:p>
              </w:tc>
              <w:tc>
                <w:tcPr>
                  <w:tcW w:w="547" w:type="pct"/>
                  <w:tcBorders>
                    <w:tl2br w:val="nil"/>
                    <w:tr2bl w:val="nil"/>
                  </w:tcBorders>
                  <w:noWrap/>
                  <w:vAlign w:val="center"/>
                </w:tcPr>
                <w:p w14:paraId="2D7D5CFF">
                  <w:pPr>
                    <w:pStyle w:val="114"/>
                    <w:spacing w:line="240" w:lineRule="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X</w:t>
                  </w:r>
                </w:p>
              </w:tc>
              <w:tc>
                <w:tcPr>
                  <w:tcW w:w="590" w:type="pct"/>
                  <w:tcBorders>
                    <w:tl2br w:val="nil"/>
                    <w:tr2bl w:val="nil"/>
                  </w:tcBorders>
                  <w:noWrap/>
                  <w:vAlign w:val="center"/>
                </w:tcPr>
                <w:p w14:paraId="50FC6816">
                  <w:pPr>
                    <w:pStyle w:val="114"/>
                    <w:spacing w:line="240" w:lineRule="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Y</w:t>
                  </w:r>
                </w:p>
              </w:tc>
              <w:tc>
                <w:tcPr>
                  <w:tcW w:w="662" w:type="pct"/>
                  <w:vMerge w:val="continue"/>
                  <w:tcBorders>
                    <w:tl2br w:val="nil"/>
                    <w:tr2bl w:val="nil"/>
                  </w:tcBorders>
                  <w:noWrap/>
                  <w:vAlign w:val="center"/>
                </w:tcPr>
                <w:p w14:paraId="6003EFBD">
                  <w:pPr>
                    <w:pStyle w:val="114"/>
                    <w:spacing w:line="240" w:lineRule="auto"/>
                    <w:rPr>
                      <w:rFonts w:hint="default" w:ascii="Times New Roman" w:hAnsi="Times New Roman" w:eastAsia="宋体" w:cs="Times New Roman"/>
                      <w:bCs/>
                      <w:color w:val="000000" w:themeColor="text1"/>
                      <w:sz w:val="21"/>
                      <w:szCs w:val="21"/>
                      <w:highlight w:val="none"/>
                      <w14:textFill>
                        <w14:solidFill>
                          <w14:schemeClr w14:val="tx1"/>
                        </w14:solidFill>
                      </w14:textFill>
                    </w:rPr>
                  </w:pPr>
                </w:p>
              </w:tc>
              <w:tc>
                <w:tcPr>
                  <w:tcW w:w="663" w:type="pct"/>
                  <w:vMerge w:val="continue"/>
                  <w:tcBorders>
                    <w:tl2br w:val="nil"/>
                    <w:tr2bl w:val="nil"/>
                  </w:tcBorders>
                  <w:noWrap/>
                  <w:vAlign w:val="center"/>
                </w:tcPr>
                <w:p w14:paraId="13C4F349">
                  <w:pPr>
                    <w:pStyle w:val="114"/>
                    <w:spacing w:line="240" w:lineRule="auto"/>
                    <w:rPr>
                      <w:rFonts w:hint="default" w:ascii="Times New Roman" w:hAnsi="Times New Roman" w:eastAsia="宋体" w:cs="Times New Roman"/>
                      <w:bCs/>
                      <w:color w:val="000000" w:themeColor="text1"/>
                      <w:sz w:val="21"/>
                      <w:szCs w:val="21"/>
                      <w:highlight w:val="none"/>
                      <w14:textFill>
                        <w14:solidFill>
                          <w14:schemeClr w14:val="tx1"/>
                        </w14:solidFill>
                      </w14:textFill>
                    </w:rPr>
                  </w:pPr>
                </w:p>
              </w:tc>
              <w:tc>
                <w:tcPr>
                  <w:tcW w:w="515" w:type="pct"/>
                  <w:vMerge w:val="continue"/>
                  <w:tcBorders>
                    <w:tl2br w:val="nil"/>
                    <w:tr2bl w:val="nil"/>
                  </w:tcBorders>
                  <w:noWrap/>
                  <w:vAlign w:val="center"/>
                </w:tcPr>
                <w:p w14:paraId="0C118E26">
                  <w:pPr>
                    <w:pStyle w:val="114"/>
                    <w:spacing w:line="240" w:lineRule="auto"/>
                    <w:rPr>
                      <w:rFonts w:hint="default" w:ascii="Times New Roman" w:hAnsi="Times New Roman" w:eastAsia="宋体" w:cs="Times New Roman"/>
                      <w:bCs/>
                      <w:color w:val="000000" w:themeColor="text1"/>
                      <w:sz w:val="21"/>
                      <w:szCs w:val="21"/>
                      <w:highlight w:val="none"/>
                      <w14:textFill>
                        <w14:solidFill>
                          <w14:schemeClr w14:val="tx1"/>
                        </w14:solidFill>
                      </w14:textFill>
                    </w:rPr>
                  </w:pPr>
                </w:p>
              </w:tc>
              <w:tc>
                <w:tcPr>
                  <w:tcW w:w="573" w:type="pct"/>
                  <w:vMerge w:val="continue"/>
                  <w:tcBorders>
                    <w:tl2br w:val="nil"/>
                    <w:tr2bl w:val="nil"/>
                  </w:tcBorders>
                  <w:noWrap/>
                  <w:vAlign w:val="center"/>
                </w:tcPr>
                <w:p w14:paraId="6DC8A1DE">
                  <w:pPr>
                    <w:pStyle w:val="114"/>
                    <w:spacing w:line="240" w:lineRule="auto"/>
                    <w:rPr>
                      <w:rFonts w:hint="default" w:ascii="Times New Roman" w:hAnsi="Times New Roman" w:eastAsia="宋体" w:cs="Times New Roman"/>
                      <w:bCs/>
                      <w:color w:val="000000" w:themeColor="text1"/>
                      <w:sz w:val="21"/>
                      <w:szCs w:val="21"/>
                      <w:highlight w:val="none"/>
                      <w14:textFill>
                        <w14:solidFill>
                          <w14:schemeClr w14:val="tx1"/>
                        </w14:solidFill>
                      </w14:textFill>
                    </w:rPr>
                  </w:pPr>
                </w:p>
              </w:tc>
              <w:tc>
                <w:tcPr>
                  <w:tcW w:w="789" w:type="pct"/>
                  <w:vMerge w:val="continue"/>
                  <w:tcBorders>
                    <w:tl2br w:val="nil"/>
                    <w:tr2bl w:val="nil"/>
                  </w:tcBorders>
                  <w:noWrap/>
                  <w:vAlign w:val="center"/>
                </w:tcPr>
                <w:p w14:paraId="6C965ADD">
                  <w:pPr>
                    <w:pStyle w:val="114"/>
                    <w:spacing w:line="240" w:lineRule="auto"/>
                    <w:rPr>
                      <w:rFonts w:hint="default" w:ascii="Times New Roman" w:hAnsi="Times New Roman" w:eastAsia="宋体" w:cs="Times New Roman"/>
                      <w:bCs/>
                      <w:color w:val="000000" w:themeColor="text1"/>
                      <w:sz w:val="21"/>
                      <w:szCs w:val="21"/>
                      <w:highlight w:val="none"/>
                      <w14:textFill>
                        <w14:solidFill>
                          <w14:schemeClr w14:val="tx1"/>
                        </w14:solidFill>
                      </w14:textFill>
                    </w:rPr>
                  </w:pPr>
                </w:p>
              </w:tc>
            </w:tr>
            <w:tr w14:paraId="68DFC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8" w:type="pct"/>
                  <w:tcBorders>
                    <w:tl2br w:val="nil"/>
                    <w:tr2bl w:val="nil"/>
                  </w:tcBorders>
                  <w:noWrap/>
                  <w:vAlign w:val="center"/>
                </w:tcPr>
                <w:p w14:paraId="5D9F0AFA">
                  <w:pPr>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王屋小学</w:t>
                  </w:r>
                </w:p>
              </w:tc>
              <w:tc>
                <w:tcPr>
                  <w:tcW w:w="547" w:type="pct"/>
                  <w:tcBorders>
                    <w:tl2br w:val="nil"/>
                    <w:tr2bl w:val="nil"/>
                  </w:tcBorders>
                  <w:noWrap/>
                  <w:vAlign w:val="center"/>
                </w:tcPr>
                <w:p w14:paraId="5BB94E4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466.13</w:t>
                  </w:r>
                </w:p>
              </w:tc>
              <w:tc>
                <w:tcPr>
                  <w:tcW w:w="590" w:type="pct"/>
                  <w:tcBorders>
                    <w:tl2br w:val="nil"/>
                    <w:tr2bl w:val="nil"/>
                  </w:tcBorders>
                  <w:noWrap/>
                  <w:vAlign w:val="center"/>
                </w:tcPr>
                <w:p w14:paraId="46D8D6B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418.82</w:t>
                  </w:r>
                </w:p>
              </w:tc>
              <w:tc>
                <w:tcPr>
                  <w:tcW w:w="662" w:type="pct"/>
                  <w:tcBorders>
                    <w:tl2br w:val="nil"/>
                    <w:tr2bl w:val="nil"/>
                  </w:tcBorders>
                  <w:noWrap/>
                  <w:vAlign w:val="center"/>
                </w:tcPr>
                <w:p w14:paraId="5BF9392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师生</w:t>
                  </w:r>
                </w:p>
              </w:tc>
              <w:tc>
                <w:tcPr>
                  <w:tcW w:w="663" w:type="pct"/>
                  <w:tcBorders>
                    <w:tl2br w:val="nil"/>
                    <w:tr2bl w:val="nil"/>
                  </w:tcBorders>
                  <w:noWrap/>
                  <w:vAlign w:val="center"/>
                </w:tcPr>
                <w:p w14:paraId="20040FB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约300人</w:t>
                  </w:r>
                </w:p>
              </w:tc>
              <w:tc>
                <w:tcPr>
                  <w:tcW w:w="515" w:type="pct"/>
                  <w:tcBorders>
                    <w:tl2br w:val="nil"/>
                    <w:tr2bl w:val="nil"/>
                  </w:tcBorders>
                  <w:noWrap/>
                  <w:vAlign w:val="center"/>
                </w:tcPr>
                <w:p w14:paraId="20463FD3">
                  <w:pPr>
                    <w:spacing w:line="240" w:lineRule="auto"/>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二类</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区</w:t>
                  </w:r>
                </w:p>
              </w:tc>
              <w:tc>
                <w:tcPr>
                  <w:tcW w:w="573" w:type="pct"/>
                  <w:tcBorders>
                    <w:tl2br w:val="nil"/>
                    <w:tr2bl w:val="nil"/>
                  </w:tcBorders>
                  <w:noWrap/>
                  <w:vAlign w:val="center"/>
                </w:tcPr>
                <w:p w14:paraId="07F2FB6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东北</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面</w:t>
                  </w:r>
                </w:p>
              </w:tc>
              <w:tc>
                <w:tcPr>
                  <w:tcW w:w="789" w:type="pct"/>
                  <w:tcBorders>
                    <w:tl2br w:val="nil"/>
                    <w:tr2bl w:val="nil"/>
                  </w:tcBorders>
                  <w:noWrap/>
                  <w:vAlign w:val="center"/>
                </w:tcPr>
                <w:p w14:paraId="0D73424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377</w:t>
                  </w:r>
                </w:p>
              </w:tc>
            </w:tr>
            <w:tr w14:paraId="6F4C0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8" w:type="pct"/>
                  <w:tcBorders>
                    <w:tl2br w:val="nil"/>
                    <w:tr2bl w:val="nil"/>
                  </w:tcBorders>
                  <w:noWrap/>
                  <w:vAlign w:val="center"/>
                </w:tcPr>
                <w:p w14:paraId="215889AF">
                  <w:pPr>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村落</w:t>
                  </w:r>
                </w:p>
              </w:tc>
              <w:tc>
                <w:tcPr>
                  <w:tcW w:w="547" w:type="pct"/>
                  <w:tcBorders>
                    <w:tl2br w:val="nil"/>
                    <w:tr2bl w:val="nil"/>
                  </w:tcBorders>
                  <w:noWrap/>
                  <w:vAlign w:val="center"/>
                </w:tcPr>
                <w:p w14:paraId="7EEE9A9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leftChars="0" w:right="0" w:rightChars="0"/>
                    <w:jc w:val="center"/>
                    <w:textAlignment w:val="cente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2</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97.92</w:t>
                  </w:r>
                </w:p>
              </w:tc>
              <w:tc>
                <w:tcPr>
                  <w:tcW w:w="590" w:type="pct"/>
                  <w:tcBorders>
                    <w:tl2br w:val="nil"/>
                    <w:tr2bl w:val="nil"/>
                  </w:tcBorders>
                  <w:noWrap/>
                  <w:vAlign w:val="center"/>
                </w:tcPr>
                <w:p w14:paraId="73BEF0A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leftChars="0" w:right="0" w:rightChars="0"/>
                    <w:jc w:val="center"/>
                    <w:textAlignment w:val="cente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431.19</w:t>
                  </w:r>
                </w:p>
              </w:tc>
              <w:tc>
                <w:tcPr>
                  <w:tcW w:w="662" w:type="pct"/>
                  <w:tcBorders>
                    <w:tl2br w:val="nil"/>
                    <w:tr2bl w:val="nil"/>
                  </w:tcBorders>
                  <w:noWrap/>
                  <w:vAlign w:val="center"/>
                </w:tcPr>
                <w:p w14:paraId="3D87507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leftChars="0" w:right="0" w:rightChars="0"/>
                    <w:jc w:val="center"/>
                    <w:textAlignment w:val="cente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居民</w:t>
                  </w:r>
                </w:p>
              </w:tc>
              <w:tc>
                <w:tcPr>
                  <w:tcW w:w="663" w:type="pct"/>
                  <w:tcBorders>
                    <w:tl2br w:val="nil"/>
                    <w:tr2bl w:val="nil"/>
                  </w:tcBorders>
                  <w:noWrap/>
                  <w:vAlign w:val="center"/>
                </w:tcPr>
                <w:p w14:paraId="45B0BCE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约20人</w:t>
                  </w:r>
                </w:p>
              </w:tc>
              <w:tc>
                <w:tcPr>
                  <w:tcW w:w="515" w:type="pct"/>
                  <w:tcBorders>
                    <w:tl2br w:val="nil"/>
                    <w:tr2bl w:val="nil"/>
                  </w:tcBorders>
                  <w:noWrap/>
                  <w:vAlign w:val="center"/>
                </w:tcPr>
                <w:p w14:paraId="0B3FCA67">
                  <w:pPr>
                    <w:spacing w:line="240" w:lineRule="auto"/>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二类</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区</w:t>
                  </w:r>
                </w:p>
              </w:tc>
              <w:tc>
                <w:tcPr>
                  <w:tcW w:w="573" w:type="pct"/>
                  <w:tcBorders>
                    <w:tl2br w:val="nil"/>
                    <w:tr2bl w:val="nil"/>
                  </w:tcBorders>
                  <w:noWrap/>
                  <w:vAlign w:val="center"/>
                </w:tcPr>
                <w:p w14:paraId="4702CB7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东北</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面</w:t>
                  </w:r>
                </w:p>
              </w:tc>
              <w:tc>
                <w:tcPr>
                  <w:tcW w:w="789" w:type="pct"/>
                  <w:tcBorders>
                    <w:tl2br w:val="nil"/>
                    <w:tr2bl w:val="nil"/>
                  </w:tcBorders>
                  <w:noWrap/>
                  <w:vAlign w:val="center"/>
                </w:tcPr>
                <w:p w14:paraId="67AE051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leftChars="0" w:right="0" w:rightChars="0"/>
                    <w:jc w:val="center"/>
                    <w:textAlignment w:val="cente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464</w:t>
                  </w:r>
                </w:p>
              </w:tc>
            </w:tr>
            <w:tr w14:paraId="5B1C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8"/>
                  <w:tcBorders>
                    <w:tl2br w:val="nil"/>
                    <w:tr2bl w:val="nil"/>
                  </w:tcBorders>
                  <w:noWrap/>
                  <w:vAlign w:val="center"/>
                </w:tcPr>
                <w:p w14:paraId="08D0FFA7">
                  <w:pPr>
                    <w:pStyle w:val="39"/>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注：以</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厂区</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的</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坐标（113°24'30.099" E,25°9'23.358" N）</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为原点（0，0），正东向为X轴正方向、正北向为Y轴正方向建立直角坐标系。</w:t>
                  </w:r>
                </w:p>
              </w:tc>
            </w:tr>
          </w:tbl>
          <w:p w14:paraId="2408362F">
            <w:pPr>
              <w:pStyle w:val="39"/>
              <w:spacing w:after="0" w:line="360" w:lineRule="auto"/>
              <w:ind w:firstLine="480"/>
              <w:rPr>
                <w:rFonts w:hint="default" w:ascii="Times New Roman" w:hAnsi="Times New Roman" w:cs="Times New Roman"/>
                <w:b/>
                <w:color w:val="000000" w:themeColor="text1"/>
                <w:sz w:val="24"/>
                <w:highlight w:val="none"/>
                <w14:textFill>
                  <w14:solidFill>
                    <w14:schemeClr w14:val="tx1"/>
                  </w14:solidFill>
                </w14:textFill>
              </w:rPr>
            </w:pPr>
            <w:r>
              <w:rPr>
                <w:rFonts w:hint="default" w:ascii="Times New Roman" w:hAnsi="Times New Roman" w:cs="Times New Roman"/>
                <w:b/>
                <w:color w:val="000000" w:themeColor="text1"/>
                <w:sz w:val="24"/>
                <w:highlight w:val="none"/>
                <w14:textFill>
                  <w14:solidFill>
                    <w14:schemeClr w14:val="tx1"/>
                  </w14:solidFill>
                </w14:textFill>
              </w:rPr>
              <w:t>2、地下水环境保护目标</w:t>
            </w:r>
          </w:p>
          <w:p w14:paraId="10242B16">
            <w:pPr>
              <w:pStyle w:val="39"/>
              <w:spacing w:after="0" w:line="360" w:lineRule="auto"/>
              <w:ind w:firstLine="48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根据现场调查，项目厂界500米范围内无地下集中式饮用水水源和热水、矿泉水、温泉水等特殊地下水资源。</w:t>
            </w:r>
          </w:p>
          <w:p w14:paraId="34284D8A">
            <w:pPr>
              <w:pStyle w:val="39"/>
              <w:spacing w:after="0" w:line="360" w:lineRule="auto"/>
              <w:ind w:firstLine="480"/>
              <w:rPr>
                <w:rFonts w:hint="default" w:ascii="Times New Roman" w:hAnsi="Times New Roman" w:cs="Times New Roman"/>
                <w:b/>
                <w:color w:val="000000" w:themeColor="text1"/>
                <w:sz w:val="24"/>
                <w:highlight w:val="none"/>
                <w14:textFill>
                  <w14:solidFill>
                    <w14:schemeClr w14:val="tx1"/>
                  </w14:solidFill>
                </w14:textFill>
              </w:rPr>
            </w:pPr>
            <w:r>
              <w:rPr>
                <w:rFonts w:hint="default" w:ascii="Times New Roman" w:hAnsi="Times New Roman" w:cs="Times New Roman"/>
                <w:b/>
                <w:color w:val="000000" w:themeColor="text1"/>
                <w:sz w:val="24"/>
                <w:highlight w:val="none"/>
                <w14:textFill>
                  <w14:solidFill>
                    <w14:schemeClr w14:val="tx1"/>
                  </w14:solidFill>
                </w14:textFill>
              </w:rPr>
              <w:t>3、声环境保护目标</w:t>
            </w:r>
          </w:p>
          <w:p w14:paraId="06172607">
            <w:pPr>
              <w:pStyle w:val="39"/>
              <w:spacing w:after="0" w:line="360" w:lineRule="auto"/>
              <w:ind w:firstLine="48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根据现场调查，</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项目污水处理厂及泵站</w:t>
            </w:r>
            <w:r>
              <w:rPr>
                <w:rFonts w:hint="default" w:ascii="Times New Roman" w:hAnsi="Times New Roman" w:cs="Times New Roman"/>
                <w:color w:val="000000" w:themeColor="text1"/>
                <w:sz w:val="24"/>
                <w:szCs w:val="24"/>
                <w:highlight w:val="none"/>
                <w14:textFill>
                  <w14:solidFill>
                    <w14:schemeClr w14:val="tx1"/>
                  </w14:solidFill>
                </w14:textFill>
              </w:rPr>
              <w:t>厂界50m范围内无声环境保护目标。</w:t>
            </w:r>
          </w:p>
          <w:p w14:paraId="13E3CB72">
            <w:pPr>
              <w:pStyle w:val="39"/>
              <w:spacing w:after="0" w:line="360" w:lineRule="auto"/>
              <w:ind w:firstLine="480"/>
              <w:rPr>
                <w:rFonts w:hint="default" w:ascii="Times New Roman" w:hAnsi="Times New Roman" w:cs="Times New Roman"/>
                <w:b/>
                <w:color w:val="000000" w:themeColor="text1"/>
                <w:sz w:val="24"/>
                <w:highlight w:val="none"/>
                <w14:textFill>
                  <w14:solidFill>
                    <w14:schemeClr w14:val="tx1"/>
                  </w14:solidFill>
                </w14:textFill>
              </w:rPr>
            </w:pPr>
            <w:r>
              <w:rPr>
                <w:rFonts w:hint="default" w:ascii="Times New Roman" w:hAnsi="Times New Roman" w:cs="Times New Roman"/>
                <w:b/>
                <w:color w:val="000000" w:themeColor="text1"/>
                <w:sz w:val="24"/>
                <w:highlight w:val="none"/>
                <w14:textFill>
                  <w14:solidFill>
                    <w14:schemeClr w14:val="tx1"/>
                  </w14:solidFill>
                </w14:textFill>
              </w:rPr>
              <w:t>4、生态环境保护目标</w:t>
            </w:r>
          </w:p>
          <w:p w14:paraId="54E99F19">
            <w:pPr>
              <w:spacing w:line="360" w:lineRule="auto"/>
              <w:ind w:firstLine="480" w:firstLineChars="200"/>
              <w:rPr>
                <w:rFonts w:hint="default" w:ascii="Times New Roman" w:hAnsi="Times New Roman" w:cs="Times New Roman"/>
                <w:color w:val="000000" w:themeColor="text1"/>
                <w:kern w:val="0"/>
                <w:szCs w:val="21"/>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根据对项目所在地的实地勘察，项目用地范围内无生态环境保护目标。</w:t>
            </w:r>
          </w:p>
        </w:tc>
      </w:tr>
      <w:tr w14:paraId="772F8F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278" w:type="pct"/>
            <w:noWrap w:val="0"/>
            <w:tcMar>
              <w:left w:w="28" w:type="dxa"/>
              <w:right w:w="28" w:type="dxa"/>
            </w:tcMar>
            <w:vAlign w:val="center"/>
          </w:tcPr>
          <w:p w14:paraId="4F8EF08F">
            <w:pPr>
              <w:adjustRightInd w:val="0"/>
              <w:snapToGrid w:val="0"/>
              <w:jc w:val="center"/>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污染</w:t>
            </w:r>
          </w:p>
          <w:p w14:paraId="2E879F38">
            <w:pPr>
              <w:adjustRightInd w:val="0"/>
              <w:snapToGrid w:val="0"/>
              <w:jc w:val="center"/>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物排</w:t>
            </w:r>
          </w:p>
          <w:p w14:paraId="320D0FD9">
            <w:pPr>
              <w:adjustRightInd w:val="0"/>
              <w:snapToGrid w:val="0"/>
              <w:jc w:val="center"/>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放控</w:t>
            </w:r>
          </w:p>
          <w:p w14:paraId="42C61871">
            <w:pPr>
              <w:adjustRightInd w:val="0"/>
              <w:snapToGrid w:val="0"/>
              <w:jc w:val="center"/>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制标</w:t>
            </w:r>
          </w:p>
          <w:p w14:paraId="59603B19">
            <w:pPr>
              <w:adjustRightInd w:val="0"/>
              <w:snapToGrid w:val="0"/>
              <w:jc w:val="center"/>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准</w:t>
            </w:r>
          </w:p>
        </w:tc>
        <w:tc>
          <w:tcPr>
            <w:tcW w:w="4721" w:type="pct"/>
            <w:noWrap w:val="0"/>
            <w:vAlign w:val="center"/>
          </w:tcPr>
          <w:p w14:paraId="5BBD923A">
            <w:pPr>
              <w:keepNext w:val="0"/>
              <w:keepLines w:val="0"/>
              <w:pageBreakBefore w:val="0"/>
              <w:widowControl w:val="0"/>
              <w:kinsoku/>
              <w:wordWrap/>
              <w:overflowPunct/>
              <w:topLinePunct w:val="0"/>
              <w:autoSpaceDE/>
              <w:autoSpaceDN/>
              <w:bidi w:val="0"/>
              <w:adjustRightInd/>
              <w:snapToGrid/>
              <w:spacing w:line="100" w:lineRule="exact"/>
              <w:ind w:firstLine="422" w:firstLineChars="200"/>
              <w:textAlignment w:val="auto"/>
              <w:rPr>
                <w:rFonts w:hint="default" w:ascii="Times New Roman" w:hAnsi="Times New Roman" w:cs="Times New Roman"/>
                <w:b/>
                <w:color w:val="000000" w:themeColor="text1"/>
                <w:szCs w:val="21"/>
                <w:highlight w:val="none"/>
                <w14:textFill>
                  <w14:solidFill>
                    <w14:schemeClr w14:val="tx1"/>
                  </w14:solidFill>
                </w14:textFill>
              </w:rPr>
            </w:pPr>
          </w:p>
          <w:p w14:paraId="213A0F39">
            <w:pPr>
              <w:spacing w:line="360" w:lineRule="auto"/>
              <w:ind w:firstLine="482" w:firstLineChars="200"/>
              <w:rPr>
                <w:rFonts w:hint="default" w:ascii="Times New Roman" w:hAnsi="Times New Roman" w:cs="Times New Roman"/>
                <w:b/>
                <w:color w:val="000000" w:themeColor="text1"/>
                <w:sz w:val="24"/>
                <w:highlight w:val="none"/>
                <w14:textFill>
                  <w14:solidFill>
                    <w14:schemeClr w14:val="tx1"/>
                  </w14:solidFill>
                </w14:textFill>
              </w:rPr>
            </w:pPr>
            <w:r>
              <w:rPr>
                <w:rFonts w:hint="default" w:ascii="Times New Roman" w:hAnsi="Times New Roman" w:cs="Times New Roman"/>
                <w:b/>
                <w:color w:val="000000" w:themeColor="text1"/>
                <w:sz w:val="24"/>
                <w:highlight w:val="none"/>
                <w14:textFill>
                  <w14:solidFill>
                    <w14:schemeClr w14:val="tx1"/>
                  </w14:solidFill>
                </w14:textFill>
              </w:rPr>
              <w:t>1、大气污染物排放标准</w:t>
            </w:r>
          </w:p>
          <w:p w14:paraId="0CCA3F91">
            <w:pPr>
              <w:spacing w:line="360" w:lineRule="auto"/>
              <w:ind w:firstLine="480" w:firstLineChars="200"/>
              <w:rPr>
                <w:rFonts w:hint="eastAsia" w:ascii="Times New Roman" w:hAnsi="Times New Roman" w:eastAsia="宋体" w:cs="Times New Roman"/>
                <w:color w:val="000000" w:themeColor="text1"/>
                <w:kern w:val="0"/>
                <w:sz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①</w:t>
            </w:r>
            <w:r>
              <w:rPr>
                <w:rFonts w:hint="eastAsia" w:ascii="Times New Roman" w:hAnsi="Times New Roman" w:eastAsia="宋体" w:cs="Times New Roman"/>
                <w:color w:val="000000" w:themeColor="text1"/>
                <w:kern w:val="0"/>
                <w:sz w:val="24"/>
                <w:highlight w:val="none"/>
                <w:lang w:val="en-US" w:eastAsia="zh-CN" w:bidi="ar"/>
                <w14:textFill>
                  <w14:solidFill>
                    <w14:schemeClr w14:val="tx1"/>
                  </w14:solidFill>
                </w14:textFill>
              </w:rPr>
              <w:t>切割粉尘、</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焊接烟尘</w:t>
            </w:r>
            <w:r>
              <w:rPr>
                <w:rFonts w:hint="eastAsia" w:ascii="Times New Roman" w:hAnsi="Times New Roman" w:eastAsia="宋体" w:cs="Times New Roman"/>
                <w:color w:val="000000" w:themeColor="text1"/>
                <w:kern w:val="0"/>
                <w:sz w:val="24"/>
                <w:highlight w:val="none"/>
                <w:lang w:val="en-US" w:eastAsia="zh-CN" w:bidi="ar"/>
                <w14:textFill>
                  <w14:solidFill>
                    <w14:schemeClr w14:val="tx1"/>
                  </w14:solidFill>
                </w14:textFill>
              </w:rPr>
              <w:t>以及抛光打磨</w:t>
            </w:r>
            <w:r>
              <w:rPr>
                <w:rFonts w:hint="default" w:ascii="Times New Roman" w:hAnsi="Times New Roman" w:eastAsia="宋体" w:cs="Times New Roman"/>
                <w:color w:val="000000" w:themeColor="text1"/>
                <w:kern w:val="0"/>
                <w:sz w:val="24"/>
                <w:highlight w:val="none"/>
                <w:lang w:val="en-US" w:eastAsia="zh-CN" w:bidi="ar"/>
                <w14:textFill>
                  <w14:solidFill>
                    <w14:schemeClr w14:val="tx1"/>
                  </w14:solidFill>
                </w14:textFill>
              </w:rPr>
              <w:t>粉尘</w:t>
            </w:r>
          </w:p>
          <w:p w14:paraId="1C8504B2">
            <w:pPr>
              <w:spacing w:line="360" w:lineRule="auto"/>
              <w:ind w:firstLine="480" w:firstLineChars="200"/>
              <w:rPr>
                <w:rFonts w:hint="default" w:ascii="Times New Roman" w:hAnsi="Times New Roman" w:eastAsia="宋体" w:cs="Times New Roman"/>
                <w:b w:val="0"/>
                <w:bCs w:val="0"/>
                <w:color w:val="000000" w:themeColor="text1"/>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本项目</w:t>
            </w:r>
            <w:r>
              <w:rPr>
                <w:rFonts w:hint="default" w:ascii="Times New Roman" w:hAnsi="Times New Roman" w:eastAsia="宋体" w:cs="Times New Roman"/>
                <w:color w:val="000000" w:themeColor="text1"/>
                <w:kern w:val="0"/>
                <w:sz w:val="24"/>
                <w:highlight w:val="none"/>
                <w:lang w:val="en-US" w:eastAsia="zh-CN" w:bidi="ar"/>
                <w14:textFill>
                  <w14:solidFill>
                    <w14:schemeClr w14:val="tx1"/>
                  </w14:solidFill>
                </w14:textFill>
              </w:rPr>
              <w:t>抛光打磨工序产生的粉尘厂界颗粒物无组织排放执行</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广东省《大气污染物排放限值》（DB44/27-2001）第二时段无组织排放监控浓度限值要求</w:t>
            </w:r>
            <w:r>
              <w:rPr>
                <w:rFonts w:hint="default" w:ascii="Times New Roman" w:hAnsi="Times New Roman" w:eastAsia="宋体" w:cs="Times New Roman"/>
                <w:color w:val="000000" w:themeColor="text1"/>
                <w:kern w:val="0"/>
                <w:sz w:val="24"/>
                <w:highlight w:val="none"/>
                <w:lang w:eastAsia="zh-CN" w:bidi="ar"/>
                <w14:textFill>
                  <w14:solidFill>
                    <w14:schemeClr w14:val="tx1"/>
                  </w14:solidFill>
                </w14:textFill>
              </w:rPr>
              <w:t>。</w:t>
            </w:r>
          </w:p>
          <w:p w14:paraId="76E3A965">
            <w:pPr>
              <w:numPr>
                <w:ilvl w:val="0"/>
                <w:numId w:val="14"/>
              </w:numPr>
              <w:spacing w:line="240" w:lineRule="auto"/>
              <w:ind w:left="0" w:leftChars="0" w:firstLine="40" w:firstLineChars="0"/>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 xml:space="preserve">  广东省《大气污染物排放限值》</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（DB44/27-2001）排放限值标准</w:t>
            </w:r>
          </w:p>
          <w:tbl>
            <w:tblPr>
              <w:tblStyle w:val="44"/>
              <w:tblW w:w="83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7"/>
              <w:gridCol w:w="1831"/>
              <w:gridCol w:w="1100"/>
              <w:gridCol w:w="1309"/>
              <w:gridCol w:w="1614"/>
              <w:gridCol w:w="1556"/>
            </w:tblGrid>
            <w:tr w14:paraId="02BE5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556" w:type="pct"/>
                  <w:vMerge w:val="restart"/>
                  <w:tcBorders>
                    <w:top w:val="single" w:color="000000" w:sz="4" w:space="0"/>
                    <w:left w:val="single" w:color="000000" w:sz="4" w:space="0"/>
                    <w:right w:val="single" w:color="000000" w:sz="4" w:space="0"/>
                  </w:tcBorders>
                  <w:noWrap w:val="0"/>
                  <w:vAlign w:val="center"/>
                </w:tcPr>
                <w:p w14:paraId="48FA018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污染物</w:t>
                  </w:r>
                </w:p>
              </w:tc>
              <w:tc>
                <w:tcPr>
                  <w:tcW w:w="1098" w:type="pct"/>
                  <w:vMerge w:val="restart"/>
                  <w:tcBorders>
                    <w:top w:val="single" w:color="000000" w:sz="4" w:space="0"/>
                    <w:left w:val="single" w:color="000000" w:sz="4" w:space="0"/>
                    <w:right w:val="single" w:color="000000" w:sz="4" w:space="0"/>
                  </w:tcBorders>
                  <w:noWrap w:val="0"/>
                  <w:vAlign w:val="center"/>
                </w:tcPr>
                <w:p w14:paraId="7111713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排气</w:t>
                  </w:r>
                  <w:r>
                    <w:rPr>
                      <w:rFonts w:hint="default" w:ascii="Times New Roman" w:hAnsi="Times New Roman" w:cs="Times New Roman"/>
                      <w:b/>
                      <w:bCs/>
                      <w:i w:val="0"/>
                      <w:iCs w:val="0"/>
                      <w:color w:val="000000" w:themeColor="text1"/>
                      <w:kern w:val="0"/>
                      <w:sz w:val="21"/>
                      <w:szCs w:val="21"/>
                      <w:highlight w:val="none"/>
                      <w:u w:val="none"/>
                      <w:lang w:val="en-US" w:eastAsia="zh-CN" w:bidi="ar"/>
                      <w14:textFill>
                        <w14:solidFill>
                          <w14:schemeClr w14:val="tx1"/>
                        </w14:solidFill>
                      </w14:textFill>
                    </w:rPr>
                    <w:t>筒</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编号</w:t>
                  </w:r>
                </w:p>
              </w:tc>
              <w:tc>
                <w:tcPr>
                  <w:tcW w:w="660" w:type="pct"/>
                  <w:vMerge w:val="restart"/>
                  <w:tcBorders>
                    <w:top w:val="single" w:color="000000" w:sz="4" w:space="0"/>
                    <w:left w:val="single" w:color="000000" w:sz="4" w:space="0"/>
                    <w:right w:val="single" w:color="000000" w:sz="4" w:space="0"/>
                  </w:tcBorders>
                  <w:noWrap w:val="0"/>
                  <w:vAlign w:val="center"/>
                </w:tcPr>
                <w:p w14:paraId="059832C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排气</w:t>
                  </w:r>
                  <w:r>
                    <w:rPr>
                      <w:rFonts w:hint="default" w:ascii="Times New Roman" w:hAnsi="Times New Roman" w:cs="Times New Roman"/>
                      <w:b/>
                      <w:bCs/>
                      <w:i w:val="0"/>
                      <w:iCs w:val="0"/>
                      <w:color w:val="000000" w:themeColor="text1"/>
                      <w:kern w:val="0"/>
                      <w:sz w:val="21"/>
                      <w:szCs w:val="21"/>
                      <w:highlight w:val="none"/>
                      <w:u w:val="none"/>
                      <w:lang w:val="en-US" w:eastAsia="zh-CN" w:bidi="ar"/>
                      <w14:textFill>
                        <w14:solidFill>
                          <w14:schemeClr w14:val="tx1"/>
                        </w14:solidFill>
                      </w14:textFill>
                    </w:rPr>
                    <w:t>筒</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高度/m</w:t>
                  </w:r>
                </w:p>
              </w:tc>
              <w:tc>
                <w:tcPr>
                  <w:tcW w:w="1753" w:type="pct"/>
                  <w:gridSpan w:val="2"/>
                  <w:tcBorders>
                    <w:top w:val="single" w:color="000000" w:sz="4" w:space="0"/>
                    <w:left w:val="single" w:color="000000" w:sz="4" w:space="0"/>
                    <w:bottom w:val="single" w:color="000000" w:sz="4" w:space="0"/>
                    <w:right w:val="single" w:color="000000" w:sz="4" w:space="0"/>
                  </w:tcBorders>
                  <w:noWrap w:val="0"/>
                  <w:vAlign w:val="center"/>
                </w:tcPr>
                <w:p w14:paraId="793E482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有组织排放</w:t>
                  </w:r>
                </w:p>
              </w:tc>
              <w:tc>
                <w:tcPr>
                  <w:tcW w:w="930" w:type="pct"/>
                  <w:vMerge w:val="restart"/>
                  <w:tcBorders>
                    <w:top w:val="single" w:color="000000" w:sz="4" w:space="0"/>
                    <w:left w:val="single" w:color="000000" w:sz="4" w:space="0"/>
                    <w:right w:val="single" w:color="000000" w:sz="4" w:space="0"/>
                  </w:tcBorders>
                  <w:noWrap w:val="0"/>
                  <w:vAlign w:val="center"/>
                </w:tcPr>
                <w:p w14:paraId="47D6ABF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无组织排放监控浓度限值(mg/m³)</w:t>
                  </w:r>
                </w:p>
              </w:tc>
            </w:tr>
            <w:tr w14:paraId="1A618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 w:hRule="atLeast"/>
                <w:jc w:val="center"/>
              </w:trPr>
              <w:tc>
                <w:tcPr>
                  <w:tcW w:w="556" w:type="pct"/>
                  <w:vMerge w:val="continue"/>
                  <w:tcBorders>
                    <w:left w:val="single" w:color="000000" w:sz="4" w:space="0"/>
                    <w:bottom w:val="single" w:color="000000" w:sz="4" w:space="0"/>
                    <w:right w:val="single" w:color="000000" w:sz="4" w:space="0"/>
                  </w:tcBorders>
                  <w:noWrap w:val="0"/>
                  <w:vAlign w:val="center"/>
                </w:tcPr>
                <w:p w14:paraId="41784EB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pPr>
                </w:p>
              </w:tc>
              <w:tc>
                <w:tcPr>
                  <w:tcW w:w="1098" w:type="pct"/>
                  <w:vMerge w:val="continue"/>
                  <w:tcBorders>
                    <w:left w:val="single" w:color="000000" w:sz="4" w:space="0"/>
                    <w:bottom w:val="single" w:color="000000" w:sz="4" w:space="0"/>
                    <w:right w:val="single" w:color="000000" w:sz="4" w:space="0"/>
                  </w:tcBorders>
                  <w:noWrap w:val="0"/>
                  <w:vAlign w:val="center"/>
                </w:tcPr>
                <w:p w14:paraId="02B4172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pPr>
                </w:p>
              </w:tc>
              <w:tc>
                <w:tcPr>
                  <w:tcW w:w="660" w:type="pct"/>
                  <w:vMerge w:val="continue"/>
                  <w:tcBorders>
                    <w:left w:val="single" w:color="000000" w:sz="4" w:space="0"/>
                    <w:bottom w:val="single" w:color="000000" w:sz="4" w:space="0"/>
                    <w:right w:val="single" w:color="000000" w:sz="4" w:space="0"/>
                  </w:tcBorders>
                  <w:noWrap w:val="0"/>
                  <w:vAlign w:val="center"/>
                </w:tcPr>
                <w:p w14:paraId="3AB94C7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pPr>
                </w:p>
              </w:tc>
              <w:tc>
                <w:tcPr>
                  <w:tcW w:w="785" w:type="pct"/>
                  <w:tcBorders>
                    <w:top w:val="single" w:color="000000" w:sz="4" w:space="0"/>
                    <w:left w:val="single" w:color="000000" w:sz="4" w:space="0"/>
                    <w:bottom w:val="single" w:color="000000" w:sz="4" w:space="0"/>
                    <w:right w:val="single" w:color="000000" w:sz="4" w:space="0"/>
                  </w:tcBorders>
                  <w:noWrap w:val="0"/>
                  <w:vAlign w:val="center"/>
                </w:tcPr>
                <w:p w14:paraId="39C9144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浓度限值(mg/m³)</w:t>
                  </w:r>
                </w:p>
              </w:tc>
              <w:tc>
                <w:tcPr>
                  <w:tcW w:w="968" w:type="pct"/>
                  <w:tcBorders>
                    <w:top w:val="single" w:color="000000" w:sz="4" w:space="0"/>
                    <w:left w:val="single" w:color="000000" w:sz="4" w:space="0"/>
                    <w:bottom w:val="single" w:color="000000" w:sz="4" w:space="0"/>
                    <w:right w:val="single" w:color="000000" w:sz="4" w:space="0"/>
                  </w:tcBorders>
                  <w:noWrap w:val="0"/>
                  <w:vAlign w:val="center"/>
                </w:tcPr>
                <w:p w14:paraId="11439F7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b/>
                      <w:bCs/>
                      <w:i w:val="0"/>
                      <w:iCs w:val="0"/>
                      <w:color w:val="000000" w:themeColor="text1"/>
                      <w:kern w:val="0"/>
                      <w:sz w:val="21"/>
                      <w:szCs w:val="21"/>
                      <w:highlight w:val="none"/>
                      <w:u w:val="none"/>
                      <w:lang w:val="en-US" w:eastAsia="zh-CN" w:bidi="ar"/>
                      <w14:textFill>
                        <w14:solidFill>
                          <w14:schemeClr w14:val="tx1"/>
                        </w14:solidFill>
                      </w14:textFill>
                    </w:rPr>
                    <w:t>排放速率（kg/h）</w:t>
                  </w:r>
                </w:p>
              </w:tc>
              <w:tc>
                <w:tcPr>
                  <w:tcW w:w="930" w:type="pct"/>
                  <w:vMerge w:val="continue"/>
                  <w:tcBorders>
                    <w:left w:val="single" w:color="000000" w:sz="4" w:space="0"/>
                    <w:bottom w:val="single" w:color="000000" w:sz="4" w:space="0"/>
                    <w:right w:val="single" w:color="000000" w:sz="4" w:space="0"/>
                  </w:tcBorders>
                  <w:noWrap w:val="0"/>
                  <w:vAlign w:val="center"/>
                </w:tcPr>
                <w:p w14:paraId="5AEBEA6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pPr>
                </w:p>
              </w:tc>
            </w:tr>
            <w:tr w14:paraId="2399D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556" w:type="pct"/>
                  <w:tcBorders>
                    <w:top w:val="single" w:color="000000" w:sz="4" w:space="0"/>
                    <w:left w:val="single" w:color="000000" w:sz="4" w:space="0"/>
                    <w:bottom w:val="single" w:color="000000" w:sz="4" w:space="0"/>
                    <w:right w:val="single" w:color="000000" w:sz="4" w:space="0"/>
                  </w:tcBorders>
                  <w:noWrap w:val="0"/>
                  <w:vAlign w:val="center"/>
                </w:tcPr>
                <w:p w14:paraId="26E06AF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颗粒物</w:t>
                  </w:r>
                </w:p>
              </w:tc>
              <w:tc>
                <w:tcPr>
                  <w:tcW w:w="1098" w:type="pct"/>
                  <w:tcBorders>
                    <w:top w:val="single" w:color="000000" w:sz="4" w:space="0"/>
                    <w:left w:val="single" w:color="000000" w:sz="4" w:space="0"/>
                    <w:bottom w:val="single" w:color="000000" w:sz="4" w:space="0"/>
                    <w:right w:val="single" w:color="000000" w:sz="4" w:space="0"/>
                  </w:tcBorders>
                  <w:noWrap w:val="0"/>
                  <w:vAlign w:val="center"/>
                </w:tcPr>
                <w:p w14:paraId="78EFA78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eastAsia"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w:t>
                  </w:r>
                </w:p>
              </w:tc>
              <w:tc>
                <w:tcPr>
                  <w:tcW w:w="660" w:type="pct"/>
                  <w:tcBorders>
                    <w:top w:val="single" w:color="000000" w:sz="4" w:space="0"/>
                    <w:left w:val="single" w:color="000000" w:sz="4" w:space="0"/>
                    <w:bottom w:val="single" w:color="000000" w:sz="4" w:space="0"/>
                    <w:right w:val="single" w:color="000000" w:sz="4" w:space="0"/>
                  </w:tcBorders>
                  <w:noWrap w:val="0"/>
                  <w:vAlign w:val="center"/>
                </w:tcPr>
                <w:p w14:paraId="5B2AEA3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15</w:t>
                  </w:r>
                </w:p>
              </w:tc>
              <w:tc>
                <w:tcPr>
                  <w:tcW w:w="785" w:type="pct"/>
                  <w:tcBorders>
                    <w:top w:val="single" w:color="000000" w:sz="4" w:space="0"/>
                    <w:left w:val="single" w:color="000000" w:sz="4" w:space="0"/>
                    <w:bottom w:val="single" w:color="000000" w:sz="4" w:space="0"/>
                    <w:right w:val="single" w:color="000000" w:sz="4" w:space="0"/>
                  </w:tcBorders>
                  <w:noWrap w:val="0"/>
                  <w:vAlign w:val="center"/>
                </w:tcPr>
                <w:p w14:paraId="2D4088E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120</w:t>
                  </w:r>
                </w:p>
              </w:tc>
              <w:tc>
                <w:tcPr>
                  <w:tcW w:w="968" w:type="pct"/>
                  <w:tcBorders>
                    <w:top w:val="single" w:color="000000" w:sz="4" w:space="0"/>
                    <w:left w:val="single" w:color="000000" w:sz="4" w:space="0"/>
                    <w:bottom w:val="single" w:color="000000" w:sz="4" w:space="0"/>
                    <w:right w:val="single" w:color="000000" w:sz="4" w:space="0"/>
                  </w:tcBorders>
                  <w:noWrap w:val="0"/>
                  <w:vAlign w:val="center"/>
                </w:tcPr>
                <w:p w14:paraId="5E01D1B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1.45*</w:t>
                  </w:r>
                </w:p>
              </w:tc>
              <w:tc>
                <w:tcPr>
                  <w:tcW w:w="930" w:type="pct"/>
                  <w:tcBorders>
                    <w:top w:val="single" w:color="000000" w:sz="4" w:space="0"/>
                    <w:left w:val="single" w:color="000000" w:sz="4" w:space="0"/>
                    <w:bottom w:val="single" w:color="000000" w:sz="4" w:space="0"/>
                    <w:right w:val="single" w:color="000000" w:sz="4" w:space="0"/>
                  </w:tcBorders>
                  <w:noWrap w:val="0"/>
                  <w:vAlign w:val="center"/>
                </w:tcPr>
                <w:p w14:paraId="5536423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1.0</w:t>
                  </w:r>
                </w:p>
              </w:tc>
            </w:tr>
            <w:tr w14:paraId="1BA9D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14:paraId="100B59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b/>
                      <w:bCs/>
                      <w:i w:val="0"/>
                      <w:iCs w:val="0"/>
                      <w:color w:val="000000" w:themeColor="text1"/>
                      <w:kern w:val="0"/>
                      <w:sz w:val="21"/>
                      <w:szCs w:val="21"/>
                      <w:highlight w:val="none"/>
                      <w:u w:val="none"/>
                      <w:lang w:val="en-US" w:eastAsia="zh-CN" w:bidi="ar"/>
                      <w14:textFill>
                        <w14:solidFill>
                          <w14:schemeClr w14:val="tx1"/>
                        </w14:solidFill>
                      </w14:textFill>
                    </w:rPr>
                    <w:t>*本项目排气筒未高于周边200m建筑</w:t>
                  </w:r>
                  <w:r>
                    <w:rPr>
                      <w:rFonts w:hint="eastAsia" w:cs="Times New Roman"/>
                      <w:b/>
                      <w:bCs/>
                      <w:i w:val="0"/>
                      <w:iCs w:val="0"/>
                      <w:color w:val="000000" w:themeColor="text1"/>
                      <w:kern w:val="0"/>
                      <w:sz w:val="21"/>
                      <w:szCs w:val="21"/>
                      <w:highlight w:val="none"/>
                      <w:u w:val="none"/>
                      <w:lang w:val="en-US" w:eastAsia="zh-CN" w:bidi="ar"/>
                      <w14:textFill>
                        <w14:solidFill>
                          <w14:schemeClr w14:val="tx1"/>
                        </w14:solidFill>
                      </w14:textFill>
                    </w:rPr>
                    <w:t>5</w:t>
                  </w:r>
                  <w:r>
                    <w:rPr>
                      <w:rFonts w:hint="default" w:ascii="Times New Roman" w:hAnsi="Times New Roman" w:cs="Times New Roman"/>
                      <w:b/>
                      <w:bCs/>
                      <w:i w:val="0"/>
                      <w:iCs w:val="0"/>
                      <w:color w:val="000000" w:themeColor="text1"/>
                      <w:kern w:val="0"/>
                      <w:sz w:val="21"/>
                      <w:szCs w:val="21"/>
                      <w:highlight w:val="none"/>
                      <w:u w:val="none"/>
                      <w:lang w:val="en-US" w:eastAsia="zh-CN" w:bidi="ar"/>
                      <w14:textFill>
                        <w14:solidFill>
                          <w14:schemeClr w14:val="tx1"/>
                        </w14:solidFill>
                      </w14:textFill>
                    </w:rPr>
                    <w:t>m以上，因此排放速率按50%折算。</w:t>
                  </w:r>
                </w:p>
              </w:tc>
            </w:tr>
          </w:tbl>
          <w:p w14:paraId="0C7730B6">
            <w:pPr>
              <w:keepNext w:val="0"/>
              <w:keepLines w:val="0"/>
              <w:pageBreakBefore w:val="0"/>
              <w:widowControl w:val="0"/>
              <w:kinsoku/>
              <w:wordWrap/>
              <w:overflowPunct/>
              <w:topLinePunct w:val="0"/>
              <w:autoSpaceDE/>
              <w:autoSpaceDN/>
              <w:bidi w:val="0"/>
              <w:adjustRightInd/>
              <w:snapToGrid/>
              <w:spacing w:line="100" w:lineRule="exact"/>
              <w:ind w:firstLine="480" w:firstLineChars="200"/>
              <w:textAlignment w:val="auto"/>
              <w:rPr>
                <w:rFonts w:hint="default" w:ascii="Times New Roman" w:hAnsi="Times New Roman" w:eastAsia="宋体" w:cs="Times New Roman"/>
                <w:color w:val="000000" w:themeColor="text1"/>
                <w:kern w:val="0"/>
                <w:sz w:val="24"/>
                <w:highlight w:val="none"/>
                <w:lang w:bidi="ar"/>
                <w14:textFill>
                  <w14:solidFill>
                    <w14:schemeClr w14:val="tx1"/>
                  </w14:solidFill>
                </w14:textFill>
              </w:rPr>
            </w:pPr>
          </w:p>
          <w:p w14:paraId="0E7E8B0B">
            <w:pPr>
              <w:spacing w:line="360" w:lineRule="auto"/>
              <w:ind w:firstLine="480" w:firstLineChars="200"/>
              <w:rPr>
                <w:rFonts w:hint="eastAsia" w:ascii="Times New Roman" w:hAnsi="Times New Roman" w:eastAsia="宋体" w:cs="Times New Roman"/>
                <w:color w:val="000000" w:themeColor="text1"/>
                <w:kern w:val="0"/>
                <w:sz w:val="24"/>
                <w:highlight w:val="none"/>
                <w:lang w:eastAsia="zh-CN" w:bidi="ar"/>
                <w14:textFill>
                  <w14:solidFill>
                    <w14:schemeClr w14:val="tx1"/>
                  </w14:solidFill>
                </w14:textFill>
              </w:rPr>
            </w:pP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②</w:t>
            </w:r>
            <w:r>
              <w:rPr>
                <w:rFonts w:hint="eastAsia" w:cs="Times New Roman"/>
                <w:color w:val="000000" w:themeColor="text1"/>
                <w:kern w:val="0"/>
                <w:sz w:val="24"/>
                <w:highlight w:val="none"/>
                <w:lang w:val="en-US" w:eastAsia="zh-CN" w:bidi="ar"/>
                <w14:textFill>
                  <w14:solidFill>
                    <w14:schemeClr w14:val="tx1"/>
                  </w14:solidFill>
                </w14:textFill>
              </w:rPr>
              <w:t>喷漆</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废气</w:t>
            </w:r>
          </w:p>
          <w:p w14:paraId="4A868A44">
            <w:pPr>
              <w:keepNext w:val="0"/>
              <w:keepLines w:val="0"/>
              <w:suppressLineNumbers w:val="0"/>
              <w:tabs>
                <w:tab w:val="left" w:pos="2790"/>
              </w:tabs>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喷</w:t>
            </w:r>
            <w:r>
              <w:rPr>
                <w:rFonts w:hint="eastAsia" w:cs="Times New Roman"/>
                <w:color w:val="000000" w:themeColor="text1"/>
                <w:kern w:val="0"/>
                <w:sz w:val="24"/>
                <w:szCs w:val="24"/>
                <w:lang w:val="en-US" w:eastAsia="zh-CN" w:bidi="ar"/>
                <w14:textFill>
                  <w14:solidFill>
                    <w14:schemeClr w14:val="tx1"/>
                  </w14:solidFill>
                </w14:textFill>
              </w:rPr>
              <w:t>漆</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废气通过排气筒</w:t>
            </w:r>
            <w:r>
              <w:rPr>
                <w:rFonts w:hint="eastAsia" w:cs="Times New Roman"/>
                <w:color w:val="000000" w:themeColor="text1"/>
                <w:sz w:val="24"/>
                <w:szCs w:val="24"/>
                <w:lang w:val="en-US" w:eastAsia="zh-CN"/>
                <w14:textFill>
                  <w14:solidFill>
                    <w14:schemeClr w14:val="tx1"/>
                  </w14:solidFill>
                </w14:textFill>
              </w:rPr>
              <w:t>DA001</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排放，废气排放因子颗粒物、非甲烷总烃（以NMHC表征）、苯系物（二甲苯统一表征为苯系物）执行</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广东省《固定污染源挥发性有机物综合排放标准》（DB44/2367-2022）中表</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1挥发性有机物排放限值。</w:t>
            </w:r>
            <w:r>
              <w:rPr>
                <w:rFonts w:hint="default" w:ascii="Times New Roman" w:hAnsi="Times New Roman" w:eastAsia="宋体" w:cs="Times New Roman"/>
                <w:color w:val="000000" w:themeColor="text1"/>
                <w:sz w:val="24"/>
                <w:szCs w:val="24"/>
                <w14:textFill>
                  <w14:solidFill>
                    <w14:schemeClr w14:val="tx1"/>
                  </w14:solidFill>
                </w14:textFill>
              </w:rPr>
              <w:t>臭气浓度有组织排放执行《恶臭污染物排放标准》（GB14554-93）中表2恶臭污染物排放标准值</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p>
          <w:p w14:paraId="27B8431B">
            <w:pPr>
              <w:keepNext w:val="0"/>
              <w:keepLines w:val="0"/>
              <w:suppressLineNumbers w:val="0"/>
              <w:tabs>
                <w:tab w:val="left" w:pos="2790"/>
              </w:tabs>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③</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固化</w:t>
            </w:r>
            <w:r>
              <w:rPr>
                <w:rFonts w:hint="default" w:ascii="Times New Roman" w:hAnsi="Times New Roman" w:eastAsia="宋体" w:cs="Times New Roman"/>
                <w:color w:val="000000" w:themeColor="text1"/>
                <w:sz w:val="24"/>
                <w:szCs w:val="24"/>
                <w14:textFill>
                  <w14:solidFill>
                    <w14:schemeClr w14:val="tx1"/>
                  </w14:solidFill>
                </w14:textFill>
              </w:rPr>
              <w:t>废气</w:t>
            </w:r>
          </w:p>
          <w:p w14:paraId="0C12C1CF">
            <w:pPr>
              <w:keepNext w:val="0"/>
              <w:keepLines w:val="0"/>
              <w:suppressLineNumbers w:val="0"/>
              <w:tabs>
                <w:tab w:val="left" w:pos="2790"/>
              </w:tabs>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固化废气</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通过排气筒</w:t>
            </w:r>
            <w:r>
              <w:rPr>
                <w:rFonts w:hint="eastAsia" w:cs="Times New Roman"/>
                <w:color w:val="000000" w:themeColor="text1"/>
                <w:sz w:val="24"/>
                <w:szCs w:val="24"/>
                <w:lang w:val="en-US" w:eastAsia="zh-CN"/>
                <w14:textFill>
                  <w14:solidFill>
                    <w14:schemeClr w14:val="tx1"/>
                  </w14:solidFill>
                </w14:textFill>
              </w:rPr>
              <w:t>DA002</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排放，废气排放因子</w:t>
            </w:r>
            <w:r>
              <w:rPr>
                <w:rFonts w:hint="default" w:ascii="Times New Roman" w:hAnsi="Times New Roman" w:eastAsia="宋体" w:cs="Times New Roman"/>
                <w:color w:val="000000" w:themeColor="text1"/>
                <w:sz w:val="24"/>
                <w:szCs w:val="24"/>
                <w14:textFill>
                  <w14:solidFill>
                    <w14:schemeClr w14:val="tx1"/>
                  </w14:solidFill>
                </w14:textFill>
              </w:rPr>
              <w:t>非甲烷总烃、</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苯系物</w:t>
            </w:r>
            <w:r>
              <w:rPr>
                <w:rFonts w:hint="default" w:ascii="Times New Roman" w:hAnsi="Times New Roman" w:eastAsia="宋体" w:cs="Times New Roman"/>
                <w:color w:val="000000" w:themeColor="text1"/>
                <w:sz w:val="24"/>
                <w:szCs w:val="24"/>
                <w14:textFill>
                  <w14:solidFill>
                    <w14:schemeClr w14:val="tx1"/>
                  </w14:solidFill>
                </w14:textFill>
              </w:rPr>
              <w:t>有组织排放执行广东省《固定污染源挥发性有机物综合排放标准》（DB44/2367-2022）表1挥发性有机物排放限值</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臭气浓度有组织排放执行《恶臭污染物排放标准》（GB14554-93）中表2恶臭污染物排放标准值</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p>
          <w:p w14:paraId="2F2D62C7">
            <w:pPr>
              <w:keepNext w:val="0"/>
              <w:keepLines w:val="0"/>
              <w:suppressLineNumbers w:val="0"/>
              <w:tabs>
                <w:tab w:val="left" w:pos="2790"/>
              </w:tabs>
              <w:spacing w:before="0" w:beforeAutospacing="0" w:after="0" w:afterAutospacing="0" w:line="360" w:lineRule="auto"/>
              <w:ind w:left="0" w:right="0" w:firstLine="480" w:firstLineChars="200"/>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厂界无组织：NMHC</w:t>
            </w:r>
            <w:r>
              <w:rPr>
                <w:rFonts w:hint="eastAsia"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颗粒物、苯系物</w:t>
            </w:r>
            <w:r>
              <w:rPr>
                <w:rFonts w:hint="default" w:ascii="Times New Roman" w:hAnsi="Times New Roman" w:eastAsia="宋体" w:cs="Times New Roman"/>
                <w:color w:val="000000" w:themeColor="text1"/>
                <w:sz w:val="24"/>
                <w:szCs w:val="24"/>
                <w14:textFill>
                  <w14:solidFill>
                    <w14:schemeClr w14:val="tx1"/>
                  </w14:solidFill>
                </w14:textFill>
              </w:rPr>
              <w:t>执行广东省《大气污染物排放限值》（DB44/27-2001）第二时段无组织排放监控浓度限值</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臭气浓度</w:t>
            </w:r>
            <w:r>
              <w:rPr>
                <w:rFonts w:hint="default" w:ascii="Times New Roman" w:hAnsi="Times New Roman" w:eastAsia="宋体" w:cs="Times New Roman"/>
                <w:color w:val="000000" w:themeColor="text1"/>
                <w:sz w:val="24"/>
                <w:szCs w:val="24"/>
                <w14:textFill>
                  <w14:solidFill>
                    <w14:schemeClr w14:val="tx1"/>
                  </w14:solidFill>
                </w14:textFill>
              </w:rPr>
              <w:t>排放执行《恶臭污染物排放标准》（GB14554-93）中表1恶臭污染物厂界标准值二级新扩改建标准</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14:paraId="065A8786">
            <w:pPr>
              <w:spacing w:line="360" w:lineRule="auto"/>
              <w:ind w:firstLine="480" w:firstLineChars="200"/>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厂区内</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NMHC</w:t>
            </w:r>
            <w:r>
              <w:rPr>
                <w:rFonts w:hint="default" w:ascii="Times New Roman" w:hAnsi="Times New Roman" w:eastAsia="宋体" w:cs="Times New Roman"/>
                <w:color w:val="000000" w:themeColor="text1"/>
                <w:sz w:val="24"/>
                <w:szCs w:val="24"/>
                <w14:textFill>
                  <w14:solidFill>
                    <w14:schemeClr w14:val="tx1"/>
                  </w14:solidFill>
                </w14:textFill>
              </w:rPr>
              <w:t>执行广东省《固定污染源挥发性有机物综合排放标准》（DB44/2367-2022）</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中</w:t>
            </w:r>
            <w:r>
              <w:rPr>
                <w:rFonts w:hint="default" w:ascii="Times New Roman" w:hAnsi="Times New Roman" w:eastAsia="宋体" w:cs="Times New Roman"/>
                <w:color w:val="000000" w:themeColor="text1"/>
                <w:sz w:val="24"/>
                <w:szCs w:val="24"/>
                <w14:textFill>
                  <w14:solidFill>
                    <w14:schemeClr w14:val="tx1"/>
                  </w14:solidFill>
                </w14:textFill>
              </w:rPr>
              <w:t>表3厂区内VOCs无组织排放限值，具体详见下表</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p>
          <w:p w14:paraId="65420FC3">
            <w:pPr>
              <w:numPr>
                <w:ilvl w:val="0"/>
                <w:numId w:val="14"/>
              </w:numPr>
              <w:spacing w:line="240" w:lineRule="auto"/>
              <w:ind w:left="0" w:leftChars="0" w:firstLine="40" w:firstLineChars="0"/>
              <w:jc w:val="center"/>
              <w:rPr>
                <w:rFonts w:hint="eastAsia"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 xml:space="preserve"> </w:t>
            </w:r>
            <w:r>
              <w:rPr>
                <w:rFonts w:hint="eastAsia" w:ascii="Times New Roman" w:hAnsi="Times New Roman" w:eastAsia="宋体" w:cs="Times New Roman"/>
                <w:b/>
                <w:color w:val="000000" w:themeColor="text1"/>
                <w:kern w:val="2"/>
                <w:sz w:val="21"/>
                <w:szCs w:val="21"/>
                <w:lang w:val="en-US" w:eastAsia="zh-CN" w:bidi="ar-SA"/>
                <w14:textFill>
                  <w14:solidFill>
                    <w14:schemeClr w14:val="tx1"/>
                  </w14:solidFill>
                </w14:textFill>
              </w:rPr>
              <w:t>排气筒</w:t>
            </w:r>
            <w:r>
              <w:rPr>
                <w:rFonts w:hint="eastAsia" w:cs="Times New Roman"/>
                <w:b/>
                <w:color w:val="000000" w:themeColor="text1"/>
                <w:kern w:val="2"/>
                <w:sz w:val="21"/>
                <w:szCs w:val="21"/>
                <w:lang w:val="en-US" w:eastAsia="zh-CN" w:bidi="ar-SA"/>
                <w14:textFill>
                  <w14:solidFill>
                    <w14:schemeClr w14:val="tx1"/>
                  </w14:solidFill>
                </w14:textFill>
              </w:rPr>
              <w:t>DA001</w:t>
            </w:r>
            <w:r>
              <w:rPr>
                <w:rFonts w:hint="eastAsia" w:ascii="Times New Roman" w:hAnsi="Times New Roman" w:eastAsia="宋体" w:cs="Times New Roman"/>
                <w:b/>
                <w:color w:val="000000" w:themeColor="text1"/>
                <w:kern w:val="2"/>
                <w:sz w:val="21"/>
                <w:szCs w:val="21"/>
                <w:lang w:val="en-US" w:eastAsia="zh-CN" w:bidi="ar-SA"/>
                <w14:textFill>
                  <w14:solidFill>
                    <w14:schemeClr w14:val="tx1"/>
                  </w14:solidFill>
                </w14:textFill>
              </w:rPr>
              <w:t>废气有组织排放执行标准（单位：</w:t>
            </w:r>
            <w:r>
              <w:rPr>
                <w:rFonts w:hint="default" w:ascii="Times New Roman" w:hAnsi="Times New Roman" w:eastAsia="宋体" w:cs="Times New Roman"/>
                <w:b/>
                <w:bCs/>
                <w:color w:val="000000" w:themeColor="text1"/>
                <w:sz w:val="21"/>
                <w:szCs w:val="21"/>
                <w14:textFill>
                  <w14:solidFill>
                    <w14:schemeClr w14:val="tx1"/>
                  </w14:solidFill>
                </w14:textFill>
              </w:rPr>
              <w:t>mg/m</w:t>
            </w:r>
            <w:r>
              <w:rPr>
                <w:rFonts w:hint="eastAsia" w:ascii="Times New Roman" w:hAnsi="Times New Roman" w:eastAsia="宋体" w:cs="Times New Roman"/>
                <w:b/>
                <w:bCs/>
                <w:color w:val="000000" w:themeColor="text1"/>
                <w:sz w:val="21"/>
                <w:szCs w:val="21"/>
                <w:vertAlign w:val="superscript"/>
                <w:lang w:val="en-US" w:eastAsia="zh-CN"/>
                <w14:textFill>
                  <w14:solidFill>
                    <w14:schemeClr w14:val="tx1"/>
                  </w14:solidFill>
                </w14:textFill>
              </w:rPr>
              <w:t>3</w:t>
            </w:r>
            <w:r>
              <w:rPr>
                <w:rFonts w:hint="eastAsia"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w:t>
            </w:r>
          </w:p>
          <w:tbl>
            <w:tblPr>
              <w:tblStyle w:val="44"/>
              <w:tblW w:w="47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74"/>
              <w:gridCol w:w="1604"/>
              <w:gridCol w:w="2446"/>
              <w:gridCol w:w="782"/>
              <w:gridCol w:w="1033"/>
              <w:gridCol w:w="957"/>
            </w:tblGrid>
            <w:tr w14:paraId="23C1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680" w:type="pct"/>
                  <w:noWrap w:val="0"/>
                  <w:vAlign w:val="center"/>
                </w:tcPr>
                <w:p w14:paraId="05DDCF63">
                  <w:pPr>
                    <w:autoSpaceDE w:val="0"/>
                    <w:autoSpaceDN w:val="0"/>
                    <w:adjustRightInd w:val="0"/>
                    <w:snapToGrid w:val="0"/>
                    <w:jc w:val="center"/>
                    <w:rPr>
                      <w:rFonts w:ascii="Times New Roman" w:hAnsi="Times New Roman" w:eastAsia="宋体" w:cs="Times New Roman"/>
                      <w:b/>
                      <w:color w:val="000000" w:themeColor="text1"/>
                      <w:spacing w:val="-2"/>
                      <w:sz w:val="21"/>
                      <w:szCs w:val="21"/>
                      <w:highlight w:val="none"/>
                      <w:lang w:val="en-US" w:eastAsia="zh-CN" w:bidi="ar-SA"/>
                      <w14:textFill>
                        <w14:solidFill>
                          <w14:schemeClr w14:val="tx1"/>
                        </w14:solidFill>
                      </w14:textFill>
                    </w:rPr>
                  </w:pPr>
                  <w:r>
                    <w:rPr>
                      <w:rFonts w:ascii="Times New Roman" w:hAnsi="Times New Roman" w:eastAsia="宋体" w:cs="Times New Roman"/>
                      <w:b/>
                      <w:color w:val="000000" w:themeColor="text1"/>
                      <w:sz w:val="21"/>
                      <w:szCs w:val="21"/>
                      <w:highlight w:val="none"/>
                      <w14:textFill>
                        <w14:solidFill>
                          <w14:schemeClr w14:val="tx1"/>
                        </w14:solidFill>
                      </w14:textFill>
                    </w:rPr>
                    <w:t>生产工序</w:t>
                  </w:r>
                </w:p>
              </w:tc>
              <w:tc>
                <w:tcPr>
                  <w:tcW w:w="1016" w:type="pct"/>
                  <w:noWrap w:val="0"/>
                  <w:vAlign w:val="center"/>
                </w:tcPr>
                <w:p w14:paraId="13879E3B">
                  <w:pPr>
                    <w:autoSpaceDE w:val="0"/>
                    <w:autoSpaceDN w:val="0"/>
                    <w:adjustRightInd w:val="0"/>
                    <w:snapToGrid w:val="0"/>
                    <w:jc w:val="center"/>
                    <w:rPr>
                      <w:rFonts w:ascii="Times New Roman" w:hAnsi="Times New Roman" w:eastAsia="宋体" w:cs="Times New Roman"/>
                      <w:b/>
                      <w:color w:val="000000" w:themeColor="text1"/>
                      <w:spacing w:val="-2"/>
                      <w:sz w:val="21"/>
                      <w:szCs w:val="21"/>
                      <w:highlight w:val="none"/>
                      <w:lang w:val="en-US" w:eastAsia="en-US" w:bidi="ar-SA"/>
                      <w14:textFill>
                        <w14:solidFill>
                          <w14:schemeClr w14:val="tx1"/>
                        </w14:solidFill>
                      </w14:textFill>
                    </w:rPr>
                  </w:pPr>
                  <w:r>
                    <w:rPr>
                      <w:rFonts w:ascii="Times New Roman" w:hAnsi="Times New Roman" w:eastAsia="宋体" w:cs="Times New Roman"/>
                      <w:b/>
                      <w:color w:val="000000" w:themeColor="text1"/>
                      <w:sz w:val="21"/>
                      <w:szCs w:val="21"/>
                      <w:highlight w:val="none"/>
                      <w14:textFill>
                        <w14:solidFill>
                          <w14:schemeClr w14:val="tx1"/>
                        </w14:solidFill>
                      </w14:textFill>
                    </w:rPr>
                    <w:t>污染物名称</w:t>
                  </w:r>
                </w:p>
              </w:tc>
              <w:tc>
                <w:tcPr>
                  <w:tcW w:w="1549" w:type="pct"/>
                  <w:noWrap w:val="0"/>
                  <w:vAlign w:val="center"/>
                </w:tcPr>
                <w:p w14:paraId="7AA38634">
                  <w:pPr>
                    <w:autoSpaceDE w:val="0"/>
                    <w:autoSpaceDN w:val="0"/>
                    <w:adjustRightInd w:val="0"/>
                    <w:snapToGrid w:val="0"/>
                    <w:jc w:val="center"/>
                    <w:rPr>
                      <w:rFonts w:hint="eastAsia" w:ascii="Times New Roman" w:hAnsi="Times New Roman" w:eastAsia="宋体" w:cs="Times New Roman"/>
                      <w:b/>
                      <w:color w:val="000000" w:themeColor="text1"/>
                      <w:spacing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color w:val="000000" w:themeColor="text1"/>
                      <w:sz w:val="21"/>
                      <w:szCs w:val="21"/>
                      <w:highlight w:val="none"/>
                      <w:lang w:val="en-US" w:eastAsia="zh-CN"/>
                      <w14:textFill>
                        <w14:solidFill>
                          <w14:schemeClr w14:val="tx1"/>
                        </w14:solidFill>
                      </w14:textFill>
                    </w:rPr>
                    <w:t>执行标准</w:t>
                  </w:r>
                </w:p>
              </w:tc>
              <w:tc>
                <w:tcPr>
                  <w:tcW w:w="495" w:type="pct"/>
                  <w:noWrap w:val="0"/>
                  <w:vAlign w:val="center"/>
                </w:tcPr>
                <w:p w14:paraId="36AD8F62">
                  <w:pPr>
                    <w:autoSpaceDE w:val="0"/>
                    <w:autoSpaceDN w:val="0"/>
                    <w:adjustRightInd w:val="0"/>
                    <w:snapToGrid w:val="0"/>
                    <w:jc w:val="center"/>
                    <w:rPr>
                      <w:rFonts w:ascii="Times New Roman" w:hAnsi="Times New Roman" w:eastAsia="宋体" w:cs="Times New Roman"/>
                      <w:b/>
                      <w:color w:val="000000" w:themeColor="text1"/>
                      <w:spacing w:val="-2"/>
                      <w:sz w:val="21"/>
                      <w:szCs w:val="21"/>
                      <w:highlight w:val="none"/>
                      <w:lang w:val="en-US" w:eastAsia="en-US" w:bidi="ar-SA"/>
                      <w14:textFill>
                        <w14:solidFill>
                          <w14:schemeClr w14:val="tx1"/>
                        </w14:solidFill>
                      </w14:textFill>
                    </w:rPr>
                  </w:pPr>
                  <w:r>
                    <w:rPr>
                      <w:rFonts w:ascii="Times New Roman" w:hAnsi="Times New Roman" w:eastAsia="宋体" w:cs="Times New Roman"/>
                      <w:b/>
                      <w:color w:val="000000" w:themeColor="text1"/>
                      <w:sz w:val="21"/>
                      <w:szCs w:val="21"/>
                      <w:highlight w:val="none"/>
                      <w14:textFill>
                        <w14:solidFill>
                          <w14:schemeClr w14:val="tx1"/>
                        </w14:solidFill>
                      </w14:textFill>
                    </w:rPr>
                    <w:t>排放高度</w:t>
                  </w:r>
                  <w:r>
                    <w:rPr>
                      <w:rFonts w:ascii="Times New Roman" w:hAnsi="Times New Roman" w:eastAsia="宋体" w:cs="Times New Roman"/>
                      <w:b/>
                      <w:color w:val="000000" w:themeColor="text1"/>
                      <w:sz w:val="21"/>
                      <w:szCs w:val="21"/>
                      <w:highlight w:val="none"/>
                      <w:lang w:eastAsia="en-US"/>
                      <w14:textFill>
                        <w14:solidFill>
                          <w14:schemeClr w14:val="tx1"/>
                        </w14:solidFill>
                      </w14:textFill>
                    </w:rPr>
                    <w:t>（m）</w:t>
                  </w:r>
                </w:p>
              </w:tc>
              <w:tc>
                <w:tcPr>
                  <w:tcW w:w="654" w:type="pct"/>
                  <w:noWrap w:val="0"/>
                  <w:vAlign w:val="center"/>
                </w:tcPr>
                <w:p w14:paraId="7918ECEB">
                  <w:pPr>
                    <w:tabs>
                      <w:tab w:val="left" w:pos="552"/>
                    </w:tabs>
                    <w:autoSpaceDE w:val="0"/>
                    <w:autoSpaceDN w:val="0"/>
                    <w:adjustRightInd w:val="0"/>
                    <w:snapToGrid w:val="0"/>
                    <w:jc w:val="center"/>
                    <w:rPr>
                      <w:rFonts w:ascii="Times New Roman" w:hAnsi="Times New Roman" w:eastAsia="宋体" w:cs="Times New Roman"/>
                      <w:b/>
                      <w:color w:val="000000" w:themeColor="text1"/>
                      <w:sz w:val="21"/>
                      <w:szCs w:val="21"/>
                      <w:highlight w:val="none"/>
                      <w14:textFill>
                        <w14:solidFill>
                          <w14:schemeClr w14:val="tx1"/>
                        </w14:solidFill>
                      </w14:textFill>
                    </w:rPr>
                  </w:pPr>
                  <w:r>
                    <w:rPr>
                      <w:rFonts w:ascii="Times New Roman" w:hAnsi="Times New Roman" w:eastAsia="宋体" w:cs="Times New Roman"/>
                      <w:b/>
                      <w:color w:val="000000" w:themeColor="text1"/>
                      <w:sz w:val="21"/>
                      <w:szCs w:val="21"/>
                      <w:highlight w:val="none"/>
                      <w14:textFill>
                        <w14:solidFill>
                          <w14:schemeClr w14:val="tx1"/>
                        </w14:solidFill>
                      </w14:textFill>
                    </w:rPr>
                    <w:t>浓度</w:t>
                  </w:r>
                </w:p>
                <w:p w14:paraId="043B1158">
                  <w:pPr>
                    <w:autoSpaceDE w:val="0"/>
                    <w:autoSpaceDN w:val="0"/>
                    <w:adjustRightInd w:val="0"/>
                    <w:snapToGrid w:val="0"/>
                    <w:jc w:val="center"/>
                    <w:rPr>
                      <w:rFonts w:ascii="Times New Roman" w:hAnsi="Times New Roman" w:eastAsia="宋体" w:cs="Times New Roman"/>
                      <w:b/>
                      <w:color w:val="000000" w:themeColor="text1"/>
                      <w:sz w:val="21"/>
                      <w:szCs w:val="21"/>
                      <w:highlight w:val="none"/>
                      <w:lang w:eastAsia="en-US"/>
                      <w14:textFill>
                        <w14:solidFill>
                          <w14:schemeClr w14:val="tx1"/>
                        </w14:solidFill>
                      </w14:textFill>
                    </w:rPr>
                  </w:pPr>
                  <w:r>
                    <w:rPr>
                      <w:rFonts w:ascii="Times New Roman" w:hAnsi="Times New Roman" w:eastAsia="宋体" w:cs="Times New Roman"/>
                      <w:b/>
                      <w:color w:val="000000" w:themeColor="text1"/>
                      <w:sz w:val="21"/>
                      <w:szCs w:val="21"/>
                      <w:highlight w:val="none"/>
                      <w:lang w:eastAsia="en-US"/>
                      <w14:textFill>
                        <w14:solidFill>
                          <w14:schemeClr w14:val="tx1"/>
                        </w14:solidFill>
                      </w14:textFill>
                    </w:rPr>
                    <w:t>（mg/m</w:t>
                  </w:r>
                  <w:r>
                    <w:rPr>
                      <w:rFonts w:ascii="Times New Roman" w:hAnsi="Times New Roman" w:eastAsia="宋体" w:cs="Times New Roman"/>
                      <w:b/>
                      <w:color w:val="000000" w:themeColor="text1"/>
                      <w:sz w:val="21"/>
                      <w:szCs w:val="21"/>
                      <w:highlight w:val="none"/>
                      <w:vertAlign w:val="superscript"/>
                      <w:lang w:eastAsia="en-US"/>
                      <w14:textFill>
                        <w14:solidFill>
                          <w14:schemeClr w14:val="tx1"/>
                        </w14:solidFill>
                      </w14:textFill>
                    </w:rPr>
                    <w:t>3</w:t>
                  </w:r>
                  <w:r>
                    <w:rPr>
                      <w:rFonts w:ascii="Times New Roman" w:hAnsi="Times New Roman" w:eastAsia="宋体" w:cs="Times New Roman"/>
                      <w:b/>
                      <w:color w:val="000000" w:themeColor="text1"/>
                      <w:sz w:val="21"/>
                      <w:szCs w:val="21"/>
                      <w:highlight w:val="none"/>
                      <w:lang w:eastAsia="en-US"/>
                      <w14:textFill>
                        <w14:solidFill>
                          <w14:schemeClr w14:val="tx1"/>
                        </w14:solidFill>
                      </w14:textFill>
                    </w:rPr>
                    <w:t>）</w:t>
                  </w:r>
                </w:p>
              </w:tc>
              <w:tc>
                <w:tcPr>
                  <w:tcW w:w="605" w:type="pct"/>
                  <w:noWrap w:val="0"/>
                  <w:vAlign w:val="center"/>
                </w:tcPr>
                <w:p w14:paraId="4438F06B">
                  <w:pPr>
                    <w:autoSpaceDE w:val="0"/>
                    <w:autoSpaceDN w:val="0"/>
                    <w:adjustRightInd w:val="0"/>
                    <w:snapToGrid w:val="0"/>
                    <w:jc w:val="center"/>
                    <w:rPr>
                      <w:rFonts w:ascii="Times New Roman" w:hAnsi="Times New Roman" w:eastAsia="宋体" w:cs="Times New Roman"/>
                      <w:b/>
                      <w:color w:val="000000" w:themeColor="text1"/>
                      <w:sz w:val="21"/>
                      <w:szCs w:val="21"/>
                      <w:highlight w:val="none"/>
                      <w14:textFill>
                        <w14:solidFill>
                          <w14:schemeClr w14:val="tx1"/>
                        </w14:solidFill>
                      </w14:textFill>
                    </w:rPr>
                  </w:pPr>
                  <w:r>
                    <w:rPr>
                      <w:rFonts w:ascii="Times New Roman" w:hAnsi="Times New Roman" w:eastAsia="宋体" w:cs="Times New Roman"/>
                      <w:b/>
                      <w:color w:val="000000" w:themeColor="text1"/>
                      <w:sz w:val="21"/>
                      <w:szCs w:val="21"/>
                      <w:highlight w:val="none"/>
                      <w14:textFill>
                        <w14:solidFill>
                          <w14:schemeClr w14:val="tx1"/>
                        </w14:solidFill>
                      </w14:textFill>
                    </w:rPr>
                    <w:t>速率</w:t>
                  </w:r>
                </w:p>
                <w:p w14:paraId="53558C30">
                  <w:pPr>
                    <w:autoSpaceDE w:val="0"/>
                    <w:autoSpaceDN w:val="0"/>
                    <w:adjustRightInd w:val="0"/>
                    <w:snapToGrid w:val="0"/>
                    <w:jc w:val="center"/>
                    <w:rPr>
                      <w:rFonts w:ascii="Times New Roman" w:hAnsi="Times New Roman" w:eastAsia="宋体" w:cs="Times New Roman"/>
                      <w:b/>
                      <w:color w:val="000000" w:themeColor="text1"/>
                      <w:sz w:val="21"/>
                      <w:szCs w:val="21"/>
                      <w:highlight w:val="none"/>
                      <w:lang w:eastAsia="en-US"/>
                      <w14:textFill>
                        <w14:solidFill>
                          <w14:schemeClr w14:val="tx1"/>
                        </w14:solidFill>
                      </w14:textFill>
                    </w:rPr>
                  </w:pPr>
                  <w:r>
                    <w:rPr>
                      <w:rFonts w:ascii="Times New Roman" w:hAnsi="Times New Roman" w:eastAsia="宋体" w:cs="Times New Roman"/>
                      <w:b/>
                      <w:color w:val="000000" w:themeColor="text1"/>
                      <w:sz w:val="21"/>
                      <w:szCs w:val="21"/>
                      <w:highlight w:val="none"/>
                      <w:lang w:eastAsia="en-US"/>
                      <w14:textFill>
                        <w14:solidFill>
                          <w14:schemeClr w14:val="tx1"/>
                        </w14:solidFill>
                      </w14:textFill>
                    </w:rPr>
                    <w:t>（kg/h）</w:t>
                  </w:r>
                </w:p>
              </w:tc>
            </w:tr>
            <w:tr w14:paraId="1E9C2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680" w:type="pct"/>
                  <w:vMerge w:val="restart"/>
                  <w:noWrap w:val="0"/>
                  <w:vAlign w:val="center"/>
                </w:tcPr>
                <w:p w14:paraId="6BE73945">
                  <w:pPr>
                    <w:autoSpaceDE w:val="0"/>
                    <w:autoSpaceDN w:val="0"/>
                    <w:adjustRightInd w:val="0"/>
                    <w:snapToGrid w:val="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喷漆</w:t>
                  </w:r>
                </w:p>
              </w:tc>
              <w:tc>
                <w:tcPr>
                  <w:tcW w:w="1016" w:type="pct"/>
                  <w:noWrap w:val="0"/>
                  <w:vAlign w:val="center"/>
                </w:tcPr>
                <w:p w14:paraId="50500408">
                  <w:pPr>
                    <w:widowControl/>
                    <w:wordWrap w:val="0"/>
                    <w:topLinePunct/>
                    <w:jc w:val="center"/>
                    <w:textAlignment w:val="center"/>
                    <w:rPr>
                      <w:rFonts w:hint="eastAsia" w:ascii="Times New Roman" w:hAnsi="Times New Roman" w:eastAsia="宋体" w:cs="Times New Roman"/>
                      <w:color w:val="000000" w:themeColor="text1"/>
                      <w:sz w:val="2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bidi="ar"/>
                      <w14:textFill>
                        <w14:solidFill>
                          <w14:schemeClr w14:val="tx1"/>
                        </w14:solidFill>
                      </w14:textFill>
                    </w:rPr>
                    <w:t>颗粒物</w:t>
                  </w:r>
                </w:p>
              </w:tc>
              <w:tc>
                <w:tcPr>
                  <w:tcW w:w="1549" w:type="pct"/>
                  <w:noWrap w:val="0"/>
                  <w:vAlign w:val="center"/>
                </w:tcPr>
                <w:p w14:paraId="1A292075">
                  <w:pPr>
                    <w:autoSpaceDE w:val="0"/>
                    <w:autoSpaceDN w:val="0"/>
                    <w:adjustRightInd w:val="0"/>
                    <w:snapToGrid w:val="0"/>
                    <w:jc w:val="left"/>
                    <w:rPr>
                      <w:rFonts w:ascii="Times New Roman" w:hAnsi="Times New Roman" w:eastAsia="宋体" w:cs="Times New Roman"/>
                      <w:color w:val="000000" w:themeColor="text1"/>
                      <w:spacing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广东省《大气污染物排放限值》（DB44/27-2001）第二时段</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二级</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排放限值</w:t>
                  </w:r>
                </w:p>
              </w:tc>
              <w:tc>
                <w:tcPr>
                  <w:tcW w:w="495" w:type="pct"/>
                  <w:vMerge w:val="restart"/>
                  <w:noWrap w:val="0"/>
                  <w:vAlign w:val="center"/>
                </w:tcPr>
                <w:p w14:paraId="54C68737">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15</w:t>
                  </w:r>
                </w:p>
              </w:tc>
              <w:tc>
                <w:tcPr>
                  <w:tcW w:w="654" w:type="pct"/>
                  <w:noWrap w:val="0"/>
                  <w:vAlign w:val="center"/>
                </w:tcPr>
                <w:p w14:paraId="71293E9F">
                  <w:pPr>
                    <w:autoSpaceDE w:val="0"/>
                    <w:autoSpaceDN w:val="0"/>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120</w:t>
                  </w:r>
                </w:p>
              </w:tc>
              <w:tc>
                <w:tcPr>
                  <w:tcW w:w="605" w:type="pct"/>
                  <w:noWrap w:val="0"/>
                  <w:vAlign w:val="center"/>
                </w:tcPr>
                <w:p w14:paraId="452F5457">
                  <w:pPr>
                    <w:autoSpaceDE w:val="0"/>
                    <w:autoSpaceDN w:val="0"/>
                    <w:adjustRightInd w:val="0"/>
                    <w:snapToGrid w:val="0"/>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1.45*</w:t>
                  </w:r>
                </w:p>
              </w:tc>
            </w:tr>
            <w:tr w14:paraId="62AD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680" w:type="pct"/>
                  <w:vMerge w:val="continue"/>
                  <w:noWrap w:val="0"/>
                  <w:vAlign w:val="center"/>
                </w:tcPr>
                <w:p w14:paraId="6A633AE1">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p>
              </w:tc>
              <w:tc>
                <w:tcPr>
                  <w:tcW w:w="1016" w:type="pct"/>
                  <w:noWrap w:val="0"/>
                  <w:vAlign w:val="center"/>
                </w:tcPr>
                <w:p w14:paraId="746249A5">
                  <w:pPr>
                    <w:widowControl/>
                    <w:wordWrap w:val="0"/>
                    <w:topLinePunct/>
                    <w:jc w:val="center"/>
                    <w:textAlignment w:val="center"/>
                    <w:rPr>
                      <w:rFonts w:ascii="Times New Roman" w:hAnsi="Times New Roman" w:eastAsia="宋体" w:cs="Times New Roman"/>
                      <w:color w:val="000000" w:themeColor="text1"/>
                      <w:sz w:val="21"/>
                      <w:szCs w:val="21"/>
                      <w:highlight w:val="none"/>
                      <w:lang w:bidi="ar"/>
                      <w14:textFill>
                        <w14:solidFill>
                          <w14:schemeClr w14:val="tx1"/>
                        </w14:solidFill>
                      </w14:textFill>
                    </w:rPr>
                  </w:pPr>
                  <w:r>
                    <w:rPr>
                      <w:rFonts w:ascii="Times New Roman" w:hAnsi="Times New Roman" w:eastAsia="宋体" w:cs="Times New Roman"/>
                      <w:color w:val="000000" w:themeColor="text1"/>
                      <w:sz w:val="21"/>
                      <w:szCs w:val="21"/>
                      <w:highlight w:val="none"/>
                      <w:lang w:bidi="ar"/>
                      <w14:textFill>
                        <w14:solidFill>
                          <w14:schemeClr w14:val="tx1"/>
                        </w14:solidFill>
                      </w14:textFill>
                    </w:rPr>
                    <w:t>NMHC</w:t>
                  </w:r>
                </w:p>
              </w:tc>
              <w:tc>
                <w:tcPr>
                  <w:tcW w:w="1549" w:type="pct"/>
                  <w:vMerge w:val="restart"/>
                  <w:noWrap w:val="0"/>
                  <w:vAlign w:val="center"/>
                </w:tcPr>
                <w:p w14:paraId="0D5F4665">
                  <w:pPr>
                    <w:autoSpaceDE w:val="0"/>
                    <w:autoSpaceDN w:val="0"/>
                    <w:adjustRightInd w:val="0"/>
                    <w:snapToGrid w:val="0"/>
                    <w:jc w:val="left"/>
                    <w:rPr>
                      <w:rFonts w:ascii="Times New Roman" w:hAnsi="Times New Roman" w:eastAsia="宋体" w:cs="Times New Roman"/>
                      <w:color w:val="000000" w:themeColor="text1"/>
                      <w:spacing w:val="-2"/>
                      <w:sz w:val="21"/>
                      <w:szCs w:val="21"/>
                      <w:highlight w:val="none"/>
                      <w:lang w:val="en-US" w:eastAsia="zh-CN" w:bidi="ar-SA"/>
                      <w14:textFill>
                        <w14:solidFill>
                          <w14:schemeClr w14:val="tx1"/>
                        </w14:solidFill>
                      </w14:textFill>
                    </w:rPr>
                  </w:pPr>
                  <w:r>
                    <w:rPr>
                      <w:rFonts w:ascii="Times New Roman" w:hAnsi="Times New Roman" w:eastAsia="宋体" w:cs="Times New Roman"/>
                      <w:color w:val="000000" w:themeColor="text1"/>
                      <w:sz w:val="21"/>
                      <w:szCs w:val="21"/>
                      <w:highlight w:val="none"/>
                      <w:lang w:bidi="ar"/>
                      <w14:textFill>
                        <w14:solidFill>
                          <w14:schemeClr w14:val="tx1"/>
                        </w14:solidFill>
                      </w14:textFill>
                    </w:rPr>
                    <w:t>广东省《固定污染源挥发性有机物综合排放标准》（DB44/2367-2022）表1挥发性有机物排放限值</w:t>
                  </w:r>
                </w:p>
              </w:tc>
              <w:tc>
                <w:tcPr>
                  <w:tcW w:w="495" w:type="pct"/>
                  <w:vMerge w:val="continue"/>
                  <w:noWrap w:val="0"/>
                  <w:vAlign w:val="center"/>
                </w:tcPr>
                <w:p w14:paraId="247DA758">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p>
              </w:tc>
              <w:tc>
                <w:tcPr>
                  <w:tcW w:w="654" w:type="pct"/>
                  <w:noWrap w:val="0"/>
                  <w:vAlign w:val="center"/>
                </w:tcPr>
                <w:p w14:paraId="7172186C">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8</w:t>
                  </w:r>
                  <w:r>
                    <w:rPr>
                      <w:rFonts w:ascii="Times New Roman" w:hAnsi="Times New Roman" w:eastAsia="宋体" w:cs="Times New Roman"/>
                      <w:color w:val="000000" w:themeColor="text1"/>
                      <w:sz w:val="21"/>
                      <w:szCs w:val="21"/>
                      <w:highlight w:val="none"/>
                      <w14:textFill>
                        <w14:solidFill>
                          <w14:schemeClr w14:val="tx1"/>
                        </w14:solidFill>
                      </w14:textFill>
                    </w:rPr>
                    <w:t>0</w:t>
                  </w:r>
                </w:p>
              </w:tc>
              <w:tc>
                <w:tcPr>
                  <w:tcW w:w="605" w:type="pct"/>
                  <w:noWrap w:val="0"/>
                  <w:vAlign w:val="center"/>
                </w:tcPr>
                <w:p w14:paraId="7657DF3D">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w:t>
                  </w:r>
                </w:p>
              </w:tc>
            </w:tr>
            <w:tr w14:paraId="49EB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680" w:type="pct"/>
                  <w:vMerge w:val="continue"/>
                  <w:noWrap w:val="0"/>
                  <w:vAlign w:val="center"/>
                </w:tcPr>
                <w:p w14:paraId="231AD6D2">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p>
              </w:tc>
              <w:tc>
                <w:tcPr>
                  <w:tcW w:w="1016" w:type="pct"/>
                  <w:noWrap w:val="0"/>
                  <w:vAlign w:val="center"/>
                </w:tcPr>
                <w:p w14:paraId="6B64655F">
                  <w:pPr>
                    <w:widowControl/>
                    <w:wordWrap w:val="0"/>
                    <w:topLinePunct/>
                    <w:jc w:val="center"/>
                    <w:textAlignment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苯系物</w:t>
                  </w:r>
                </w:p>
              </w:tc>
              <w:tc>
                <w:tcPr>
                  <w:tcW w:w="1549" w:type="pct"/>
                  <w:vMerge w:val="continue"/>
                  <w:noWrap w:val="0"/>
                  <w:vAlign w:val="center"/>
                </w:tcPr>
                <w:p w14:paraId="6CBAA128">
                  <w:pPr>
                    <w:autoSpaceDE w:val="0"/>
                    <w:autoSpaceDN w:val="0"/>
                    <w:adjustRightInd w:val="0"/>
                    <w:snapToGrid w:val="0"/>
                    <w:jc w:val="left"/>
                    <w:rPr>
                      <w:rFonts w:ascii="Times New Roman" w:hAnsi="Times New Roman" w:eastAsia="宋体" w:cs="Times New Roman"/>
                      <w:color w:val="000000" w:themeColor="text1"/>
                      <w:spacing w:val="-2"/>
                      <w:sz w:val="21"/>
                      <w:szCs w:val="21"/>
                      <w:highlight w:val="none"/>
                      <w:lang w:val="en-US" w:eastAsia="zh-CN" w:bidi="ar-SA"/>
                      <w14:textFill>
                        <w14:solidFill>
                          <w14:schemeClr w14:val="tx1"/>
                        </w14:solidFill>
                      </w14:textFill>
                    </w:rPr>
                  </w:pPr>
                </w:p>
              </w:tc>
              <w:tc>
                <w:tcPr>
                  <w:tcW w:w="495" w:type="pct"/>
                  <w:vMerge w:val="continue"/>
                  <w:noWrap w:val="0"/>
                  <w:vAlign w:val="center"/>
                </w:tcPr>
                <w:p w14:paraId="5C6CF93C">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p>
              </w:tc>
              <w:tc>
                <w:tcPr>
                  <w:tcW w:w="654" w:type="pct"/>
                  <w:noWrap w:val="0"/>
                  <w:vAlign w:val="center"/>
                </w:tcPr>
                <w:p w14:paraId="5B3273B2">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40</w:t>
                  </w:r>
                </w:p>
              </w:tc>
              <w:tc>
                <w:tcPr>
                  <w:tcW w:w="605" w:type="pct"/>
                  <w:noWrap w:val="0"/>
                  <w:vAlign w:val="center"/>
                </w:tcPr>
                <w:p w14:paraId="0CA5B80E">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w:t>
                  </w:r>
                </w:p>
              </w:tc>
            </w:tr>
            <w:tr w14:paraId="6C98A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4" w:hRule="atLeast"/>
                <w:jc w:val="center"/>
              </w:trPr>
              <w:tc>
                <w:tcPr>
                  <w:tcW w:w="680" w:type="pct"/>
                  <w:vMerge w:val="continue"/>
                  <w:noWrap w:val="0"/>
                  <w:vAlign w:val="center"/>
                </w:tcPr>
                <w:p w14:paraId="66925F31">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p>
              </w:tc>
              <w:tc>
                <w:tcPr>
                  <w:tcW w:w="1016" w:type="pct"/>
                  <w:noWrap w:val="0"/>
                  <w:vAlign w:val="center"/>
                </w:tcPr>
                <w:p w14:paraId="4DFAC45D">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臭气浓度</w:t>
                  </w:r>
                </w:p>
              </w:tc>
              <w:tc>
                <w:tcPr>
                  <w:tcW w:w="1549" w:type="pct"/>
                  <w:noWrap w:val="0"/>
                  <w:vAlign w:val="center"/>
                </w:tcPr>
                <w:p w14:paraId="3CF2BC19">
                  <w:pPr>
                    <w:autoSpaceDE w:val="0"/>
                    <w:autoSpaceDN w:val="0"/>
                    <w:adjustRightInd w:val="0"/>
                    <w:snapToGrid w:val="0"/>
                    <w:jc w:val="left"/>
                    <w:rPr>
                      <w:rFonts w:ascii="Times New Roman" w:hAnsi="Times New Roman" w:eastAsia="宋体" w:cs="Times New Roman"/>
                      <w:color w:val="000000" w:themeColor="text1"/>
                      <w:spacing w:val="-2"/>
                      <w:sz w:val="21"/>
                      <w:szCs w:val="21"/>
                      <w:highlight w:val="none"/>
                      <w:lang w:val="en-US" w:eastAsia="zh-CN" w:bidi="ar-SA"/>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《恶臭污染物排放标准》（GB14554-93）表2恶臭污染物排放标准及表1新扩改建二级厂界标准值</w:t>
                  </w:r>
                </w:p>
              </w:tc>
              <w:tc>
                <w:tcPr>
                  <w:tcW w:w="495" w:type="pct"/>
                  <w:vMerge w:val="continue"/>
                  <w:noWrap w:val="0"/>
                  <w:vAlign w:val="center"/>
                </w:tcPr>
                <w:p w14:paraId="2897FD2A">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p>
              </w:tc>
              <w:tc>
                <w:tcPr>
                  <w:tcW w:w="654" w:type="pct"/>
                  <w:noWrap w:val="0"/>
                  <w:vAlign w:val="center"/>
                </w:tcPr>
                <w:p w14:paraId="6EDD668C">
                  <w:pPr>
                    <w:wordWrap w:val="0"/>
                    <w:topLinePunct/>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2000（无量纲）</w:t>
                  </w:r>
                </w:p>
              </w:tc>
              <w:tc>
                <w:tcPr>
                  <w:tcW w:w="605" w:type="pct"/>
                  <w:noWrap w:val="0"/>
                  <w:vAlign w:val="center"/>
                </w:tcPr>
                <w:p w14:paraId="7CA80EEE">
                  <w:pPr>
                    <w:wordWrap w:val="0"/>
                    <w:topLinePunct/>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w:t>
                  </w:r>
                </w:p>
              </w:tc>
            </w:tr>
            <w:tr w14:paraId="56209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000" w:type="pct"/>
                  <w:gridSpan w:val="6"/>
                  <w:noWrap w:val="0"/>
                  <w:vAlign w:val="center"/>
                </w:tcPr>
                <w:p w14:paraId="004AED6F">
                  <w:pPr>
                    <w:wordWrap w:val="0"/>
                    <w:topLinePunct/>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cs="Times New Roman"/>
                      <w:b/>
                      <w:bCs/>
                      <w:i w:val="0"/>
                      <w:iCs w:val="0"/>
                      <w:color w:val="000000" w:themeColor="text1"/>
                      <w:kern w:val="0"/>
                      <w:sz w:val="21"/>
                      <w:szCs w:val="21"/>
                      <w:highlight w:val="none"/>
                      <w:u w:val="none"/>
                      <w:lang w:val="en-US" w:eastAsia="zh-CN" w:bidi="ar"/>
                      <w14:textFill>
                        <w14:solidFill>
                          <w14:schemeClr w14:val="tx1"/>
                        </w14:solidFill>
                      </w14:textFill>
                    </w:rPr>
                    <w:t>*本项目排气筒未高于周边200m建筑</w:t>
                  </w:r>
                  <w:r>
                    <w:rPr>
                      <w:rFonts w:hint="eastAsia" w:cs="Times New Roman"/>
                      <w:b/>
                      <w:bCs/>
                      <w:i w:val="0"/>
                      <w:iCs w:val="0"/>
                      <w:color w:val="000000" w:themeColor="text1"/>
                      <w:kern w:val="0"/>
                      <w:sz w:val="21"/>
                      <w:szCs w:val="21"/>
                      <w:highlight w:val="none"/>
                      <w:u w:val="none"/>
                      <w:lang w:val="en-US" w:eastAsia="zh-CN" w:bidi="ar"/>
                      <w14:textFill>
                        <w14:solidFill>
                          <w14:schemeClr w14:val="tx1"/>
                        </w14:solidFill>
                      </w14:textFill>
                    </w:rPr>
                    <w:t>5</w:t>
                  </w:r>
                  <w:r>
                    <w:rPr>
                      <w:rFonts w:hint="default" w:ascii="Times New Roman" w:hAnsi="Times New Roman" w:cs="Times New Roman"/>
                      <w:b/>
                      <w:bCs/>
                      <w:i w:val="0"/>
                      <w:iCs w:val="0"/>
                      <w:color w:val="000000" w:themeColor="text1"/>
                      <w:kern w:val="0"/>
                      <w:sz w:val="21"/>
                      <w:szCs w:val="21"/>
                      <w:highlight w:val="none"/>
                      <w:u w:val="none"/>
                      <w:lang w:val="en-US" w:eastAsia="zh-CN" w:bidi="ar"/>
                      <w14:textFill>
                        <w14:solidFill>
                          <w14:schemeClr w14:val="tx1"/>
                        </w14:solidFill>
                      </w14:textFill>
                    </w:rPr>
                    <w:t>m以上，因此排放速率按50%折算。</w:t>
                  </w:r>
                </w:p>
              </w:tc>
            </w:tr>
          </w:tbl>
          <w:p w14:paraId="056AE537">
            <w:pPr>
              <w:numPr>
                <w:ilvl w:val="0"/>
                <w:numId w:val="14"/>
              </w:numPr>
              <w:spacing w:line="240" w:lineRule="auto"/>
              <w:ind w:left="0" w:leftChars="0" w:firstLine="40" w:firstLineChars="0"/>
              <w:jc w:val="center"/>
              <w:rPr>
                <w:rFonts w:hint="eastAsia"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 xml:space="preserve"> </w:t>
            </w:r>
            <w:r>
              <w:rPr>
                <w:rFonts w:hint="eastAsia" w:ascii="Times New Roman" w:hAnsi="Times New Roman" w:eastAsia="宋体" w:cs="Times New Roman"/>
                <w:b/>
                <w:color w:val="000000" w:themeColor="text1"/>
                <w:kern w:val="2"/>
                <w:sz w:val="21"/>
                <w:szCs w:val="21"/>
                <w:lang w:val="en-US" w:eastAsia="zh-CN" w:bidi="ar-SA"/>
                <w14:textFill>
                  <w14:solidFill>
                    <w14:schemeClr w14:val="tx1"/>
                  </w14:solidFill>
                </w14:textFill>
              </w:rPr>
              <w:t>排气筒</w:t>
            </w:r>
            <w:r>
              <w:rPr>
                <w:rFonts w:hint="eastAsia" w:cs="Times New Roman"/>
                <w:b/>
                <w:color w:val="000000" w:themeColor="text1"/>
                <w:kern w:val="2"/>
                <w:sz w:val="21"/>
                <w:szCs w:val="21"/>
                <w:lang w:val="en-US" w:eastAsia="zh-CN" w:bidi="ar-SA"/>
                <w14:textFill>
                  <w14:solidFill>
                    <w14:schemeClr w14:val="tx1"/>
                  </w14:solidFill>
                </w14:textFill>
              </w:rPr>
              <w:t>DA002</w:t>
            </w:r>
            <w:r>
              <w:rPr>
                <w:rFonts w:hint="eastAsia" w:ascii="Times New Roman" w:hAnsi="Times New Roman" w:eastAsia="宋体" w:cs="Times New Roman"/>
                <w:b/>
                <w:color w:val="000000" w:themeColor="text1"/>
                <w:kern w:val="2"/>
                <w:sz w:val="21"/>
                <w:szCs w:val="21"/>
                <w:lang w:val="en-US" w:eastAsia="zh-CN" w:bidi="ar-SA"/>
                <w14:textFill>
                  <w14:solidFill>
                    <w14:schemeClr w14:val="tx1"/>
                  </w14:solidFill>
                </w14:textFill>
              </w:rPr>
              <w:t>废气有组织排放执行标准（单位：</w:t>
            </w:r>
            <w:r>
              <w:rPr>
                <w:rFonts w:hint="default" w:ascii="Times New Roman" w:hAnsi="Times New Roman" w:eastAsia="宋体" w:cs="Times New Roman"/>
                <w:b/>
                <w:bCs/>
                <w:color w:val="000000" w:themeColor="text1"/>
                <w:sz w:val="21"/>
                <w:szCs w:val="21"/>
                <w14:textFill>
                  <w14:solidFill>
                    <w14:schemeClr w14:val="tx1"/>
                  </w14:solidFill>
                </w14:textFill>
              </w:rPr>
              <w:t>mg/m</w:t>
            </w:r>
            <w:r>
              <w:rPr>
                <w:rFonts w:hint="eastAsia" w:ascii="Times New Roman" w:hAnsi="Times New Roman" w:eastAsia="宋体" w:cs="Times New Roman"/>
                <w:b/>
                <w:bCs/>
                <w:color w:val="000000" w:themeColor="text1"/>
                <w:sz w:val="21"/>
                <w:szCs w:val="21"/>
                <w:vertAlign w:val="superscript"/>
                <w:lang w:val="en-US" w:eastAsia="zh-CN"/>
                <w14:textFill>
                  <w14:solidFill>
                    <w14:schemeClr w14:val="tx1"/>
                  </w14:solidFill>
                </w14:textFill>
              </w:rPr>
              <w:t>3</w:t>
            </w:r>
            <w:r>
              <w:rPr>
                <w:rFonts w:hint="eastAsia"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w:t>
            </w:r>
          </w:p>
          <w:tbl>
            <w:tblPr>
              <w:tblStyle w:val="44"/>
              <w:tblW w:w="48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93"/>
              <w:gridCol w:w="1635"/>
              <w:gridCol w:w="2496"/>
              <w:gridCol w:w="798"/>
              <w:gridCol w:w="1054"/>
              <w:gridCol w:w="980"/>
            </w:tblGrid>
            <w:tr w14:paraId="1E958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679" w:type="pct"/>
                  <w:noWrap w:val="0"/>
                  <w:vAlign w:val="center"/>
                </w:tcPr>
                <w:p w14:paraId="683A8BDF">
                  <w:pPr>
                    <w:autoSpaceDE w:val="0"/>
                    <w:autoSpaceDN w:val="0"/>
                    <w:adjustRightInd w:val="0"/>
                    <w:snapToGrid w:val="0"/>
                    <w:jc w:val="center"/>
                    <w:rPr>
                      <w:rFonts w:ascii="Times New Roman" w:hAnsi="Times New Roman" w:eastAsia="宋体" w:cs="Times New Roman"/>
                      <w:b/>
                      <w:color w:val="000000" w:themeColor="text1"/>
                      <w:spacing w:val="-2"/>
                      <w:sz w:val="21"/>
                      <w:szCs w:val="21"/>
                      <w:highlight w:val="none"/>
                      <w:lang w:val="en-US" w:eastAsia="zh-CN" w:bidi="ar-SA"/>
                      <w14:textFill>
                        <w14:solidFill>
                          <w14:schemeClr w14:val="tx1"/>
                        </w14:solidFill>
                      </w14:textFill>
                    </w:rPr>
                  </w:pPr>
                  <w:r>
                    <w:rPr>
                      <w:rFonts w:ascii="Times New Roman" w:hAnsi="Times New Roman" w:eastAsia="宋体" w:cs="Times New Roman"/>
                      <w:b/>
                      <w:color w:val="000000" w:themeColor="text1"/>
                      <w:sz w:val="21"/>
                      <w:szCs w:val="21"/>
                      <w:highlight w:val="none"/>
                      <w14:textFill>
                        <w14:solidFill>
                          <w14:schemeClr w14:val="tx1"/>
                        </w14:solidFill>
                      </w14:textFill>
                    </w:rPr>
                    <w:t>生产工序</w:t>
                  </w:r>
                </w:p>
              </w:tc>
              <w:tc>
                <w:tcPr>
                  <w:tcW w:w="1015" w:type="pct"/>
                  <w:noWrap w:val="0"/>
                  <w:vAlign w:val="center"/>
                </w:tcPr>
                <w:p w14:paraId="2A6D98F0">
                  <w:pPr>
                    <w:autoSpaceDE w:val="0"/>
                    <w:autoSpaceDN w:val="0"/>
                    <w:adjustRightInd w:val="0"/>
                    <w:snapToGrid w:val="0"/>
                    <w:jc w:val="center"/>
                    <w:rPr>
                      <w:rFonts w:ascii="Times New Roman" w:hAnsi="Times New Roman" w:eastAsia="宋体" w:cs="Times New Roman"/>
                      <w:b/>
                      <w:color w:val="000000" w:themeColor="text1"/>
                      <w:spacing w:val="-2"/>
                      <w:sz w:val="21"/>
                      <w:szCs w:val="21"/>
                      <w:highlight w:val="none"/>
                      <w:lang w:val="en-US" w:eastAsia="en-US" w:bidi="ar-SA"/>
                      <w14:textFill>
                        <w14:solidFill>
                          <w14:schemeClr w14:val="tx1"/>
                        </w14:solidFill>
                      </w14:textFill>
                    </w:rPr>
                  </w:pPr>
                  <w:r>
                    <w:rPr>
                      <w:rFonts w:ascii="Times New Roman" w:hAnsi="Times New Roman" w:eastAsia="宋体" w:cs="Times New Roman"/>
                      <w:b/>
                      <w:color w:val="000000" w:themeColor="text1"/>
                      <w:sz w:val="21"/>
                      <w:szCs w:val="21"/>
                      <w:highlight w:val="none"/>
                      <w14:textFill>
                        <w14:solidFill>
                          <w14:schemeClr w14:val="tx1"/>
                        </w14:solidFill>
                      </w14:textFill>
                    </w:rPr>
                    <w:t>污染物名称</w:t>
                  </w:r>
                </w:p>
              </w:tc>
              <w:tc>
                <w:tcPr>
                  <w:tcW w:w="1549" w:type="pct"/>
                  <w:noWrap w:val="0"/>
                  <w:vAlign w:val="center"/>
                </w:tcPr>
                <w:p w14:paraId="169B9E51">
                  <w:pPr>
                    <w:autoSpaceDE w:val="0"/>
                    <w:autoSpaceDN w:val="0"/>
                    <w:adjustRightInd w:val="0"/>
                    <w:snapToGrid w:val="0"/>
                    <w:jc w:val="center"/>
                    <w:rPr>
                      <w:rFonts w:hint="eastAsia" w:ascii="Times New Roman" w:hAnsi="Times New Roman" w:eastAsia="宋体" w:cs="Times New Roman"/>
                      <w:b/>
                      <w:color w:val="000000" w:themeColor="text1"/>
                      <w:spacing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color w:val="000000" w:themeColor="text1"/>
                      <w:sz w:val="21"/>
                      <w:szCs w:val="21"/>
                      <w:highlight w:val="none"/>
                      <w:lang w:val="en-US" w:eastAsia="zh-CN"/>
                      <w14:textFill>
                        <w14:solidFill>
                          <w14:schemeClr w14:val="tx1"/>
                        </w14:solidFill>
                      </w14:textFill>
                    </w:rPr>
                    <w:t>执行标准</w:t>
                  </w:r>
                </w:p>
              </w:tc>
              <w:tc>
                <w:tcPr>
                  <w:tcW w:w="495" w:type="pct"/>
                  <w:noWrap w:val="0"/>
                  <w:vAlign w:val="center"/>
                </w:tcPr>
                <w:p w14:paraId="4AF26D6D">
                  <w:pPr>
                    <w:autoSpaceDE w:val="0"/>
                    <w:autoSpaceDN w:val="0"/>
                    <w:adjustRightInd w:val="0"/>
                    <w:snapToGrid w:val="0"/>
                    <w:jc w:val="center"/>
                    <w:rPr>
                      <w:rFonts w:ascii="Times New Roman" w:hAnsi="Times New Roman" w:eastAsia="宋体" w:cs="Times New Roman"/>
                      <w:b/>
                      <w:color w:val="000000" w:themeColor="text1"/>
                      <w:spacing w:val="-2"/>
                      <w:sz w:val="21"/>
                      <w:szCs w:val="21"/>
                      <w:highlight w:val="none"/>
                      <w:lang w:val="en-US" w:eastAsia="en-US" w:bidi="ar-SA"/>
                      <w14:textFill>
                        <w14:solidFill>
                          <w14:schemeClr w14:val="tx1"/>
                        </w14:solidFill>
                      </w14:textFill>
                    </w:rPr>
                  </w:pPr>
                  <w:r>
                    <w:rPr>
                      <w:rFonts w:ascii="Times New Roman" w:hAnsi="Times New Roman" w:eastAsia="宋体" w:cs="Times New Roman"/>
                      <w:b/>
                      <w:color w:val="000000" w:themeColor="text1"/>
                      <w:sz w:val="21"/>
                      <w:szCs w:val="21"/>
                      <w:highlight w:val="none"/>
                      <w14:textFill>
                        <w14:solidFill>
                          <w14:schemeClr w14:val="tx1"/>
                        </w14:solidFill>
                      </w14:textFill>
                    </w:rPr>
                    <w:t>排放高度</w:t>
                  </w:r>
                  <w:r>
                    <w:rPr>
                      <w:rFonts w:ascii="Times New Roman" w:hAnsi="Times New Roman" w:eastAsia="宋体" w:cs="Times New Roman"/>
                      <w:b/>
                      <w:color w:val="000000" w:themeColor="text1"/>
                      <w:sz w:val="21"/>
                      <w:szCs w:val="21"/>
                      <w:highlight w:val="none"/>
                      <w:lang w:eastAsia="en-US"/>
                      <w14:textFill>
                        <w14:solidFill>
                          <w14:schemeClr w14:val="tx1"/>
                        </w14:solidFill>
                      </w14:textFill>
                    </w:rPr>
                    <w:t>（m）</w:t>
                  </w:r>
                </w:p>
              </w:tc>
              <w:tc>
                <w:tcPr>
                  <w:tcW w:w="654" w:type="pct"/>
                  <w:noWrap w:val="0"/>
                  <w:vAlign w:val="center"/>
                </w:tcPr>
                <w:p w14:paraId="73E4AE4B">
                  <w:pPr>
                    <w:tabs>
                      <w:tab w:val="left" w:pos="552"/>
                    </w:tabs>
                    <w:autoSpaceDE w:val="0"/>
                    <w:autoSpaceDN w:val="0"/>
                    <w:adjustRightInd w:val="0"/>
                    <w:snapToGrid w:val="0"/>
                    <w:jc w:val="center"/>
                    <w:rPr>
                      <w:rFonts w:ascii="Times New Roman" w:hAnsi="Times New Roman" w:eastAsia="宋体" w:cs="Times New Roman"/>
                      <w:b/>
                      <w:color w:val="000000" w:themeColor="text1"/>
                      <w:sz w:val="21"/>
                      <w:szCs w:val="21"/>
                      <w:highlight w:val="none"/>
                      <w14:textFill>
                        <w14:solidFill>
                          <w14:schemeClr w14:val="tx1"/>
                        </w14:solidFill>
                      </w14:textFill>
                    </w:rPr>
                  </w:pPr>
                  <w:r>
                    <w:rPr>
                      <w:rFonts w:ascii="Times New Roman" w:hAnsi="Times New Roman" w:eastAsia="宋体" w:cs="Times New Roman"/>
                      <w:b/>
                      <w:color w:val="000000" w:themeColor="text1"/>
                      <w:sz w:val="21"/>
                      <w:szCs w:val="21"/>
                      <w:highlight w:val="none"/>
                      <w14:textFill>
                        <w14:solidFill>
                          <w14:schemeClr w14:val="tx1"/>
                        </w14:solidFill>
                      </w14:textFill>
                    </w:rPr>
                    <w:t>浓度</w:t>
                  </w:r>
                </w:p>
                <w:p w14:paraId="7DD827C2">
                  <w:pPr>
                    <w:autoSpaceDE w:val="0"/>
                    <w:autoSpaceDN w:val="0"/>
                    <w:adjustRightInd w:val="0"/>
                    <w:snapToGrid w:val="0"/>
                    <w:jc w:val="center"/>
                    <w:rPr>
                      <w:rFonts w:ascii="Times New Roman" w:hAnsi="Times New Roman" w:eastAsia="宋体" w:cs="Times New Roman"/>
                      <w:b/>
                      <w:color w:val="000000" w:themeColor="text1"/>
                      <w:sz w:val="21"/>
                      <w:szCs w:val="21"/>
                      <w:highlight w:val="none"/>
                      <w:lang w:eastAsia="en-US"/>
                      <w14:textFill>
                        <w14:solidFill>
                          <w14:schemeClr w14:val="tx1"/>
                        </w14:solidFill>
                      </w14:textFill>
                    </w:rPr>
                  </w:pPr>
                  <w:r>
                    <w:rPr>
                      <w:rFonts w:ascii="Times New Roman" w:hAnsi="Times New Roman" w:eastAsia="宋体" w:cs="Times New Roman"/>
                      <w:b/>
                      <w:color w:val="000000" w:themeColor="text1"/>
                      <w:sz w:val="21"/>
                      <w:szCs w:val="21"/>
                      <w:highlight w:val="none"/>
                      <w:lang w:eastAsia="en-US"/>
                      <w14:textFill>
                        <w14:solidFill>
                          <w14:schemeClr w14:val="tx1"/>
                        </w14:solidFill>
                      </w14:textFill>
                    </w:rPr>
                    <w:t>（mg/m</w:t>
                  </w:r>
                  <w:r>
                    <w:rPr>
                      <w:rFonts w:ascii="Times New Roman" w:hAnsi="Times New Roman" w:eastAsia="宋体" w:cs="Times New Roman"/>
                      <w:b/>
                      <w:color w:val="000000" w:themeColor="text1"/>
                      <w:sz w:val="21"/>
                      <w:szCs w:val="21"/>
                      <w:highlight w:val="none"/>
                      <w:vertAlign w:val="superscript"/>
                      <w:lang w:eastAsia="en-US"/>
                      <w14:textFill>
                        <w14:solidFill>
                          <w14:schemeClr w14:val="tx1"/>
                        </w14:solidFill>
                      </w14:textFill>
                    </w:rPr>
                    <w:t>3</w:t>
                  </w:r>
                  <w:r>
                    <w:rPr>
                      <w:rFonts w:ascii="Times New Roman" w:hAnsi="Times New Roman" w:eastAsia="宋体" w:cs="Times New Roman"/>
                      <w:b/>
                      <w:color w:val="000000" w:themeColor="text1"/>
                      <w:sz w:val="21"/>
                      <w:szCs w:val="21"/>
                      <w:highlight w:val="none"/>
                      <w:lang w:eastAsia="en-US"/>
                      <w14:textFill>
                        <w14:solidFill>
                          <w14:schemeClr w14:val="tx1"/>
                        </w14:solidFill>
                      </w14:textFill>
                    </w:rPr>
                    <w:t>）</w:t>
                  </w:r>
                </w:p>
              </w:tc>
              <w:tc>
                <w:tcPr>
                  <w:tcW w:w="605" w:type="pct"/>
                  <w:noWrap w:val="0"/>
                  <w:vAlign w:val="center"/>
                </w:tcPr>
                <w:p w14:paraId="658237E3">
                  <w:pPr>
                    <w:autoSpaceDE w:val="0"/>
                    <w:autoSpaceDN w:val="0"/>
                    <w:adjustRightInd w:val="0"/>
                    <w:snapToGrid w:val="0"/>
                    <w:jc w:val="center"/>
                    <w:rPr>
                      <w:rFonts w:ascii="Times New Roman" w:hAnsi="Times New Roman" w:eastAsia="宋体" w:cs="Times New Roman"/>
                      <w:b/>
                      <w:color w:val="000000" w:themeColor="text1"/>
                      <w:sz w:val="21"/>
                      <w:szCs w:val="21"/>
                      <w:highlight w:val="none"/>
                      <w14:textFill>
                        <w14:solidFill>
                          <w14:schemeClr w14:val="tx1"/>
                        </w14:solidFill>
                      </w14:textFill>
                    </w:rPr>
                  </w:pPr>
                  <w:r>
                    <w:rPr>
                      <w:rFonts w:ascii="Times New Roman" w:hAnsi="Times New Roman" w:eastAsia="宋体" w:cs="Times New Roman"/>
                      <w:b/>
                      <w:color w:val="000000" w:themeColor="text1"/>
                      <w:sz w:val="21"/>
                      <w:szCs w:val="21"/>
                      <w:highlight w:val="none"/>
                      <w14:textFill>
                        <w14:solidFill>
                          <w14:schemeClr w14:val="tx1"/>
                        </w14:solidFill>
                      </w14:textFill>
                    </w:rPr>
                    <w:t>速率</w:t>
                  </w:r>
                </w:p>
                <w:p w14:paraId="69180A53">
                  <w:pPr>
                    <w:autoSpaceDE w:val="0"/>
                    <w:autoSpaceDN w:val="0"/>
                    <w:adjustRightInd w:val="0"/>
                    <w:snapToGrid w:val="0"/>
                    <w:jc w:val="center"/>
                    <w:rPr>
                      <w:rFonts w:ascii="Times New Roman" w:hAnsi="Times New Roman" w:eastAsia="宋体" w:cs="Times New Roman"/>
                      <w:b/>
                      <w:color w:val="000000" w:themeColor="text1"/>
                      <w:sz w:val="21"/>
                      <w:szCs w:val="21"/>
                      <w:highlight w:val="none"/>
                      <w:lang w:eastAsia="en-US"/>
                      <w14:textFill>
                        <w14:solidFill>
                          <w14:schemeClr w14:val="tx1"/>
                        </w14:solidFill>
                      </w14:textFill>
                    </w:rPr>
                  </w:pPr>
                  <w:r>
                    <w:rPr>
                      <w:rFonts w:ascii="Times New Roman" w:hAnsi="Times New Roman" w:eastAsia="宋体" w:cs="Times New Roman"/>
                      <w:b/>
                      <w:color w:val="000000" w:themeColor="text1"/>
                      <w:sz w:val="21"/>
                      <w:szCs w:val="21"/>
                      <w:highlight w:val="none"/>
                      <w:lang w:eastAsia="en-US"/>
                      <w14:textFill>
                        <w14:solidFill>
                          <w14:schemeClr w14:val="tx1"/>
                        </w14:solidFill>
                      </w14:textFill>
                    </w:rPr>
                    <w:t>（kg/h）</w:t>
                  </w:r>
                </w:p>
              </w:tc>
            </w:tr>
            <w:tr w14:paraId="35C3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79" w:type="pct"/>
                  <w:vMerge w:val="restart"/>
                  <w:noWrap w:val="0"/>
                  <w:vAlign w:val="center"/>
                </w:tcPr>
                <w:p w14:paraId="2B10F937">
                  <w:pPr>
                    <w:autoSpaceDE w:val="0"/>
                    <w:autoSpaceDN w:val="0"/>
                    <w:adjustRightInd w:val="0"/>
                    <w:snapToGrid w:val="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固化</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烘干</w:t>
                  </w:r>
                </w:p>
              </w:tc>
              <w:tc>
                <w:tcPr>
                  <w:tcW w:w="1015" w:type="pct"/>
                  <w:noWrap w:val="0"/>
                  <w:vAlign w:val="center"/>
                </w:tcPr>
                <w:p w14:paraId="014A9462">
                  <w:pPr>
                    <w:widowControl/>
                    <w:wordWrap w:val="0"/>
                    <w:topLinePunct/>
                    <w:jc w:val="center"/>
                    <w:textAlignment w:val="center"/>
                    <w:rPr>
                      <w:rFonts w:ascii="Times New Roman" w:hAnsi="Times New Roman" w:eastAsia="宋体" w:cs="Times New Roman"/>
                      <w:color w:val="000000" w:themeColor="text1"/>
                      <w:sz w:val="21"/>
                      <w:szCs w:val="21"/>
                      <w:highlight w:val="none"/>
                      <w:lang w:bidi="ar"/>
                      <w14:textFill>
                        <w14:solidFill>
                          <w14:schemeClr w14:val="tx1"/>
                        </w14:solidFill>
                      </w14:textFill>
                    </w:rPr>
                  </w:pPr>
                  <w:r>
                    <w:rPr>
                      <w:rFonts w:ascii="Times New Roman" w:hAnsi="Times New Roman" w:eastAsia="宋体" w:cs="Times New Roman"/>
                      <w:color w:val="000000" w:themeColor="text1"/>
                      <w:sz w:val="21"/>
                      <w:szCs w:val="21"/>
                      <w:highlight w:val="none"/>
                      <w:lang w:bidi="ar"/>
                      <w14:textFill>
                        <w14:solidFill>
                          <w14:schemeClr w14:val="tx1"/>
                        </w14:solidFill>
                      </w14:textFill>
                    </w:rPr>
                    <w:t>NMHC</w:t>
                  </w:r>
                </w:p>
              </w:tc>
              <w:tc>
                <w:tcPr>
                  <w:tcW w:w="1549" w:type="pct"/>
                  <w:vMerge w:val="restart"/>
                  <w:noWrap w:val="0"/>
                  <w:vAlign w:val="center"/>
                </w:tcPr>
                <w:p w14:paraId="771D5DAF">
                  <w:pPr>
                    <w:widowControl/>
                    <w:wordWrap w:val="0"/>
                    <w:topLinePunct/>
                    <w:jc w:val="left"/>
                    <w:rPr>
                      <w:rFonts w:ascii="Times New Roman" w:hAnsi="Times New Roman" w:eastAsia="宋体" w:cs="Times New Roman"/>
                      <w:color w:val="000000" w:themeColor="text1"/>
                      <w:spacing w:val="-2"/>
                      <w:sz w:val="21"/>
                      <w:szCs w:val="21"/>
                      <w:highlight w:val="none"/>
                      <w:lang w:val="en-US" w:eastAsia="zh-CN" w:bidi="ar-SA"/>
                      <w14:textFill>
                        <w14:solidFill>
                          <w14:schemeClr w14:val="tx1"/>
                        </w14:solidFill>
                      </w14:textFill>
                    </w:rPr>
                  </w:pPr>
                  <w:r>
                    <w:rPr>
                      <w:rFonts w:ascii="Times New Roman" w:hAnsi="Times New Roman" w:eastAsia="宋体" w:cs="Times New Roman"/>
                      <w:color w:val="000000" w:themeColor="text1"/>
                      <w:sz w:val="21"/>
                      <w:szCs w:val="21"/>
                      <w:highlight w:val="none"/>
                      <w:lang w:bidi="ar"/>
                      <w14:textFill>
                        <w14:solidFill>
                          <w14:schemeClr w14:val="tx1"/>
                        </w14:solidFill>
                      </w14:textFill>
                    </w:rPr>
                    <w:t>广东省《固定污染源挥发性有机物综合排放标准》（DB44/2367-2022）表1挥发性有机物排放限值；</w:t>
                  </w:r>
                </w:p>
              </w:tc>
              <w:tc>
                <w:tcPr>
                  <w:tcW w:w="495" w:type="pct"/>
                  <w:vMerge w:val="restart"/>
                  <w:noWrap w:val="0"/>
                  <w:vAlign w:val="center"/>
                </w:tcPr>
                <w:p w14:paraId="025A63CF">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15</w:t>
                  </w:r>
                </w:p>
              </w:tc>
              <w:tc>
                <w:tcPr>
                  <w:tcW w:w="654" w:type="pct"/>
                  <w:noWrap w:val="0"/>
                  <w:vAlign w:val="center"/>
                </w:tcPr>
                <w:p w14:paraId="07C1BFB3">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80</w:t>
                  </w:r>
                </w:p>
              </w:tc>
              <w:tc>
                <w:tcPr>
                  <w:tcW w:w="605" w:type="pct"/>
                  <w:noWrap w:val="0"/>
                  <w:vAlign w:val="center"/>
                </w:tcPr>
                <w:p w14:paraId="13BADD20">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w:t>
                  </w:r>
                </w:p>
              </w:tc>
            </w:tr>
            <w:tr w14:paraId="35D55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79" w:type="pct"/>
                  <w:vMerge w:val="continue"/>
                  <w:noWrap w:val="0"/>
                  <w:vAlign w:val="center"/>
                </w:tcPr>
                <w:p w14:paraId="62AE226E">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p>
              </w:tc>
              <w:tc>
                <w:tcPr>
                  <w:tcW w:w="1015" w:type="pct"/>
                  <w:noWrap w:val="0"/>
                  <w:vAlign w:val="center"/>
                </w:tcPr>
                <w:p w14:paraId="22A31ECD">
                  <w:pPr>
                    <w:widowControl/>
                    <w:wordWrap w:val="0"/>
                    <w:topLinePunct/>
                    <w:jc w:val="center"/>
                    <w:textAlignment w:val="center"/>
                    <w:rPr>
                      <w:rFonts w:hint="eastAsia" w:ascii="Times New Roman" w:hAnsi="Times New Roman" w:eastAsia="宋体" w:cs="Times New Roman"/>
                      <w:color w:val="000000" w:themeColor="text1"/>
                      <w:sz w:val="21"/>
                      <w:szCs w:val="21"/>
                      <w:highlight w:val="none"/>
                      <w:lang w:val="en-US" w:eastAsia="zh-CN" w:bidi="ar"/>
                      <w14:textFill>
                        <w14:solidFill>
                          <w14:schemeClr w14:val="tx1"/>
                        </w14:solidFill>
                      </w14:textFill>
                    </w:rPr>
                  </w:pPr>
                  <w:r>
                    <w:rPr>
                      <w:rFonts w:hint="eastAsia" w:cs="Times New Roman"/>
                      <w:color w:val="000000" w:themeColor="text1"/>
                      <w:sz w:val="21"/>
                      <w:szCs w:val="21"/>
                      <w:highlight w:val="none"/>
                      <w:lang w:val="en-US" w:eastAsia="zh-CN" w:bidi="ar"/>
                      <w14:textFill>
                        <w14:solidFill>
                          <w14:schemeClr w14:val="tx1"/>
                        </w14:solidFill>
                      </w14:textFill>
                    </w:rPr>
                    <w:t>苯系物</w:t>
                  </w:r>
                </w:p>
              </w:tc>
              <w:tc>
                <w:tcPr>
                  <w:tcW w:w="1549" w:type="pct"/>
                  <w:vMerge w:val="continue"/>
                  <w:noWrap w:val="0"/>
                  <w:vAlign w:val="center"/>
                </w:tcPr>
                <w:p w14:paraId="33B18FAD">
                  <w:pPr>
                    <w:autoSpaceDE w:val="0"/>
                    <w:autoSpaceDN w:val="0"/>
                    <w:adjustRightInd w:val="0"/>
                    <w:snapToGrid w:val="0"/>
                    <w:jc w:val="left"/>
                    <w:rPr>
                      <w:rFonts w:ascii="Times New Roman" w:hAnsi="Times New Roman" w:eastAsia="宋体" w:cs="Times New Roman"/>
                      <w:color w:val="000000" w:themeColor="text1"/>
                      <w:spacing w:val="-2"/>
                      <w:sz w:val="21"/>
                      <w:szCs w:val="21"/>
                      <w:highlight w:val="none"/>
                      <w:lang w:val="en-US" w:eastAsia="zh-CN" w:bidi="ar-SA"/>
                      <w14:textFill>
                        <w14:solidFill>
                          <w14:schemeClr w14:val="tx1"/>
                        </w14:solidFill>
                      </w14:textFill>
                    </w:rPr>
                  </w:pPr>
                </w:p>
              </w:tc>
              <w:tc>
                <w:tcPr>
                  <w:tcW w:w="495" w:type="pct"/>
                  <w:vMerge w:val="continue"/>
                  <w:noWrap w:val="0"/>
                  <w:vAlign w:val="center"/>
                </w:tcPr>
                <w:p w14:paraId="49615715">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p>
              </w:tc>
              <w:tc>
                <w:tcPr>
                  <w:tcW w:w="654" w:type="pct"/>
                  <w:noWrap w:val="0"/>
                  <w:vAlign w:val="center"/>
                </w:tcPr>
                <w:p w14:paraId="66DCB6D7">
                  <w:pPr>
                    <w:autoSpaceDE w:val="0"/>
                    <w:autoSpaceDN w:val="0"/>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40</w:t>
                  </w:r>
                </w:p>
              </w:tc>
              <w:tc>
                <w:tcPr>
                  <w:tcW w:w="605" w:type="pct"/>
                  <w:noWrap w:val="0"/>
                  <w:vAlign w:val="center"/>
                </w:tcPr>
                <w:p w14:paraId="5B0541BE">
                  <w:pPr>
                    <w:autoSpaceDE w:val="0"/>
                    <w:autoSpaceDN w:val="0"/>
                    <w:adjustRightInd w:val="0"/>
                    <w:snapToGrid w:val="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r>
            <w:tr w14:paraId="76636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679" w:type="pct"/>
                  <w:vMerge w:val="continue"/>
                  <w:noWrap w:val="0"/>
                  <w:vAlign w:val="center"/>
                </w:tcPr>
                <w:p w14:paraId="6ACCBC7C">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p>
              </w:tc>
              <w:tc>
                <w:tcPr>
                  <w:tcW w:w="1015" w:type="pct"/>
                  <w:noWrap w:val="0"/>
                  <w:vAlign w:val="center"/>
                </w:tcPr>
                <w:p w14:paraId="1C35EA8C">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颗粒物</w:t>
                  </w:r>
                </w:p>
              </w:tc>
              <w:tc>
                <w:tcPr>
                  <w:tcW w:w="1549" w:type="pct"/>
                  <w:vMerge w:val="restart"/>
                  <w:noWrap w:val="0"/>
                  <w:vAlign w:val="center"/>
                </w:tcPr>
                <w:p w14:paraId="17F80B09">
                  <w:pPr>
                    <w:autoSpaceDE w:val="0"/>
                    <w:autoSpaceDN w:val="0"/>
                    <w:adjustRightInd w:val="0"/>
                    <w:snapToGrid w:val="0"/>
                    <w:jc w:val="left"/>
                    <w:rPr>
                      <w:rFonts w:ascii="Times New Roman" w:hAnsi="Times New Roman" w:eastAsia="宋体" w:cs="Times New Roman"/>
                      <w:color w:val="000000" w:themeColor="text1"/>
                      <w:sz w:val="21"/>
                      <w:szCs w:val="21"/>
                      <w:highlight w:val="none"/>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关于印发&lt;工业炉窑大气污染综合治理方案&gt;的通知》（环大气〔2019〕56号）和《关于贯彻落实&lt;工业炉窑大气污染物综合治理方案&gt;的实施意见》（粤环函〔2019〕1112号）中颗粒物、二氧化硫、氮氧化物排放限值较严值</w:t>
                  </w:r>
                </w:p>
                <w:p w14:paraId="688D8D84">
                  <w:pPr>
                    <w:autoSpaceDE w:val="0"/>
                    <w:autoSpaceDN w:val="0"/>
                    <w:adjustRightInd w:val="0"/>
                    <w:snapToGrid w:val="0"/>
                    <w:jc w:val="left"/>
                    <w:rPr>
                      <w:rFonts w:ascii="Times New Roman" w:hAnsi="Times New Roman" w:eastAsia="宋体" w:cs="Times New Roman"/>
                      <w:color w:val="000000" w:themeColor="text1"/>
                      <w:spacing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烟气黑度执行《工业炉窑大气污染物排放标准》（GB 9078-1996）</w:t>
                  </w:r>
                </w:p>
              </w:tc>
              <w:tc>
                <w:tcPr>
                  <w:tcW w:w="495" w:type="pct"/>
                  <w:vMerge w:val="continue"/>
                  <w:noWrap w:val="0"/>
                  <w:vAlign w:val="center"/>
                </w:tcPr>
                <w:p w14:paraId="0CA01A31">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p>
              </w:tc>
              <w:tc>
                <w:tcPr>
                  <w:tcW w:w="654" w:type="pct"/>
                  <w:noWrap w:val="0"/>
                  <w:vAlign w:val="center"/>
                </w:tcPr>
                <w:p w14:paraId="03B7C0D3">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30</w:t>
                  </w:r>
                </w:p>
              </w:tc>
              <w:tc>
                <w:tcPr>
                  <w:tcW w:w="605" w:type="pct"/>
                  <w:noWrap w:val="0"/>
                  <w:vAlign w:val="center"/>
                </w:tcPr>
                <w:p w14:paraId="05057204">
                  <w:pPr>
                    <w:autoSpaceDE w:val="0"/>
                    <w:autoSpaceDN w:val="0"/>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r>
            <w:tr w14:paraId="7B44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3" w:hRule="atLeast"/>
                <w:jc w:val="center"/>
              </w:trPr>
              <w:tc>
                <w:tcPr>
                  <w:tcW w:w="679" w:type="pct"/>
                  <w:vMerge w:val="continue"/>
                  <w:noWrap w:val="0"/>
                  <w:vAlign w:val="center"/>
                </w:tcPr>
                <w:p w14:paraId="1C904815">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p>
              </w:tc>
              <w:tc>
                <w:tcPr>
                  <w:tcW w:w="1015" w:type="pct"/>
                  <w:noWrap w:val="0"/>
                  <w:vAlign w:val="center"/>
                </w:tcPr>
                <w:p w14:paraId="0604CFA7">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SO</w:t>
                  </w:r>
                  <w:r>
                    <w:rPr>
                      <w:rFonts w:ascii="Times New Roman" w:hAnsi="Times New Roman" w:eastAsia="宋体" w:cs="Times New Roman"/>
                      <w:color w:val="000000" w:themeColor="text1"/>
                      <w:sz w:val="21"/>
                      <w:szCs w:val="21"/>
                      <w:highlight w:val="none"/>
                      <w:vertAlign w:val="subscript"/>
                      <w14:textFill>
                        <w14:solidFill>
                          <w14:schemeClr w14:val="tx1"/>
                        </w14:solidFill>
                      </w14:textFill>
                    </w:rPr>
                    <w:t>2</w:t>
                  </w:r>
                </w:p>
              </w:tc>
              <w:tc>
                <w:tcPr>
                  <w:tcW w:w="1549" w:type="pct"/>
                  <w:vMerge w:val="continue"/>
                  <w:noWrap w:val="0"/>
                  <w:vAlign w:val="center"/>
                </w:tcPr>
                <w:p w14:paraId="60B89AEE">
                  <w:pPr>
                    <w:autoSpaceDE w:val="0"/>
                    <w:autoSpaceDN w:val="0"/>
                    <w:adjustRightInd w:val="0"/>
                    <w:snapToGrid w:val="0"/>
                    <w:jc w:val="left"/>
                    <w:rPr>
                      <w:rFonts w:ascii="Times New Roman" w:hAnsi="Times New Roman" w:eastAsia="宋体" w:cs="Times New Roman"/>
                      <w:color w:val="000000" w:themeColor="text1"/>
                      <w:spacing w:val="-2"/>
                      <w:sz w:val="21"/>
                      <w:szCs w:val="21"/>
                      <w:highlight w:val="none"/>
                      <w:lang w:val="en-US" w:eastAsia="zh-CN" w:bidi="ar-SA"/>
                      <w14:textFill>
                        <w14:solidFill>
                          <w14:schemeClr w14:val="tx1"/>
                        </w14:solidFill>
                      </w14:textFill>
                    </w:rPr>
                  </w:pPr>
                </w:p>
              </w:tc>
              <w:tc>
                <w:tcPr>
                  <w:tcW w:w="495" w:type="pct"/>
                  <w:vMerge w:val="continue"/>
                  <w:noWrap w:val="0"/>
                  <w:vAlign w:val="center"/>
                </w:tcPr>
                <w:p w14:paraId="7CDE19CC">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p>
              </w:tc>
              <w:tc>
                <w:tcPr>
                  <w:tcW w:w="654" w:type="pct"/>
                  <w:noWrap w:val="0"/>
                  <w:vAlign w:val="center"/>
                </w:tcPr>
                <w:p w14:paraId="5AAC0677">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200</w:t>
                  </w:r>
                </w:p>
              </w:tc>
              <w:tc>
                <w:tcPr>
                  <w:tcW w:w="605" w:type="pct"/>
                  <w:noWrap w:val="0"/>
                  <w:vAlign w:val="center"/>
                </w:tcPr>
                <w:p w14:paraId="71ED46A2">
                  <w:pPr>
                    <w:autoSpaceDE w:val="0"/>
                    <w:autoSpaceDN w:val="0"/>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r>
            <w:tr w14:paraId="4FF7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0" w:hRule="atLeast"/>
                <w:jc w:val="center"/>
              </w:trPr>
              <w:tc>
                <w:tcPr>
                  <w:tcW w:w="679" w:type="pct"/>
                  <w:vMerge w:val="continue"/>
                  <w:noWrap w:val="0"/>
                  <w:vAlign w:val="center"/>
                </w:tcPr>
                <w:p w14:paraId="5C2650F6">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p>
              </w:tc>
              <w:tc>
                <w:tcPr>
                  <w:tcW w:w="1015" w:type="pct"/>
                  <w:noWrap w:val="0"/>
                  <w:vAlign w:val="center"/>
                </w:tcPr>
                <w:p w14:paraId="5861E582">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NOx</w:t>
                  </w:r>
                </w:p>
              </w:tc>
              <w:tc>
                <w:tcPr>
                  <w:tcW w:w="1549" w:type="pct"/>
                  <w:vMerge w:val="continue"/>
                  <w:noWrap w:val="0"/>
                  <w:vAlign w:val="center"/>
                </w:tcPr>
                <w:p w14:paraId="2F1C7F23">
                  <w:pPr>
                    <w:autoSpaceDE w:val="0"/>
                    <w:autoSpaceDN w:val="0"/>
                    <w:adjustRightInd w:val="0"/>
                    <w:snapToGrid w:val="0"/>
                    <w:jc w:val="left"/>
                    <w:rPr>
                      <w:rFonts w:ascii="Times New Roman" w:hAnsi="Times New Roman" w:eastAsia="宋体" w:cs="Times New Roman"/>
                      <w:color w:val="000000" w:themeColor="text1"/>
                      <w:spacing w:val="-2"/>
                      <w:sz w:val="21"/>
                      <w:szCs w:val="21"/>
                      <w:highlight w:val="none"/>
                      <w:lang w:val="en-US" w:eastAsia="zh-CN" w:bidi="ar-SA"/>
                      <w14:textFill>
                        <w14:solidFill>
                          <w14:schemeClr w14:val="tx1"/>
                        </w14:solidFill>
                      </w14:textFill>
                    </w:rPr>
                  </w:pPr>
                </w:p>
              </w:tc>
              <w:tc>
                <w:tcPr>
                  <w:tcW w:w="495" w:type="pct"/>
                  <w:vMerge w:val="continue"/>
                  <w:noWrap w:val="0"/>
                  <w:vAlign w:val="center"/>
                </w:tcPr>
                <w:p w14:paraId="40638584">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p>
              </w:tc>
              <w:tc>
                <w:tcPr>
                  <w:tcW w:w="654" w:type="pct"/>
                  <w:noWrap w:val="0"/>
                  <w:vAlign w:val="center"/>
                </w:tcPr>
                <w:p w14:paraId="627CE65F">
                  <w:pPr>
                    <w:autoSpaceDE w:val="0"/>
                    <w:autoSpaceDN w:val="0"/>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300</w:t>
                  </w:r>
                </w:p>
              </w:tc>
              <w:tc>
                <w:tcPr>
                  <w:tcW w:w="605" w:type="pct"/>
                  <w:noWrap w:val="0"/>
                  <w:vAlign w:val="center"/>
                </w:tcPr>
                <w:p w14:paraId="5F94BE74">
                  <w:pPr>
                    <w:autoSpaceDE w:val="0"/>
                    <w:autoSpaceDN w:val="0"/>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r>
            <w:tr w14:paraId="2E02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7" w:hRule="atLeast"/>
                <w:jc w:val="center"/>
              </w:trPr>
              <w:tc>
                <w:tcPr>
                  <w:tcW w:w="679" w:type="pct"/>
                  <w:vMerge w:val="continue"/>
                  <w:noWrap w:val="0"/>
                  <w:vAlign w:val="center"/>
                </w:tcPr>
                <w:p w14:paraId="037234A6">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p>
              </w:tc>
              <w:tc>
                <w:tcPr>
                  <w:tcW w:w="1015" w:type="pct"/>
                  <w:noWrap w:val="0"/>
                  <w:vAlign w:val="center"/>
                </w:tcPr>
                <w:p w14:paraId="089991A2">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臭气浓度</w:t>
                  </w:r>
                </w:p>
              </w:tc>
              <w:tc>
                <w:tcPr>
                  <w:tcW w:w="1549" w:type="pct"/>
                  <w:noWrap w:val="0"/>
                  <w:vAlign w:val="center"/>
                </w:tcPr>
                <w:p w14:paraId="29FB4FAD">
                  <w:pPr>
                    <w:autoSpaceDE w:val="0"/>
                    <w:autoSpaceDN w:val="0"/>
                    <w:adjustRightInd w:val="0"/>
                    <w:snapToGrid w:val="0"/>
                    <w:jc w:val="left"/>
                    <w:rPr>
                      <w:rFonts w:ascii="Times New Roman" w:hAnsi="Times New Roman" w:eastAsia="宋体" w:cs="Times New Roman"/>
                      <w:color w:val="000000" w:themeColor="text1"/>
                      <w:spacing w:val="-2"/>
                      <w:sz w:val="21"/>
                      <w:szCs w:val="21"/>
                      <w:highlight w:val="none"/>
                      <w:lang w:val="en-US" w:eastAsia="zh-CN" w:bidi="ar-SA"/>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《恶臭污染物排放标准》（GB14554-93）表2恶臭污染物排放标准及表1新扩改建二级厂界标准值</w:t>
                  </w:r>
                </w:p>
              </w:tc>
              <w:tc>
                <w:tcPr>
                  <w:tcW w:w="495" w:type="pct"/>
                  <w:vMerge w:val="continue"/>
                  <w:noWrap w:val="0"/>
                  <w:vAlign w:val="center"/>
                </w:tcPr>
                <w:p w14:paraId="36D9BF7F">
                  <w:pPr>
                    <w:autoSpaceDE w:val="0"/>
                    <w:autoSpaceDN w:val="0"/>
                    <w:adjustRightInd w:val="0"/>
                    <w:snapToGrid w:val="0"/>
                    <w:jc w:val="center"/>
                    <w:rPr>
                      <w:rFonts w:ascii="Times New Roman" w:hAnsi="Times New Roman" w:eastAsia="宋体" w:cs="Times New Roman"/>
                      <w:color w:val="000000" w:themeColor="text1"/>
                      <w:sz w:val="21"/>
                      <w:szCs w:val="21"/>
                      <w:highlight w:val="none"/>
                      <w14:textFill>
                        <w14:solidFill>
                          <w14:schemeClr w14:val="tx1"/>
                        </w14:solidFill>
                      </w14:textFill>
                    </w:rPr>
                  </w:pPr>
                </w:p>
              </w:tc>
              <w:tc>
                <w:tcPr>
                  <w:tcW w:w="654" w:type="pct"/>
                  <w:noWrap w:val="0"/>
                  <w:vAlign w:val="center"/>
                </w:tcPr>
                <w:p w14:paraId="772D9F3F">
                  <w:pPr>
                    <w:wordWrap w:val="0"/>
                    <w:topLinePunct/>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2000（无量纲）</w:t>
                  </w:r>
                </w:p>
              </w:tc>
              <w:tc>
                <w:tcPr>
                  <w:tcW w:w="605" w:type="pct"/>
                  <w:noWrap w:val="0"/>
                  <w:vAlign w:val="center"/>
                </w:tcPr>
                <w:p w14:paraId="5615F353">
                  <w:pPr>
                    <w:wordWrap w:val="0"/>
                    <w:topLinePunct/>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w:t>
                  </w:r>
                </w:p>
              </w:tc>
            </w:tr>
            <w:tr w14:paraId="623A2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5000" w:type="pct"/>
                  <w:gridSpan w:val="6"/>
                  <w:noWrap w:val="0"/>
                  <w:vAlign w:val="center"/>
                </w:tcPr>
                <w:p w14:paraId="22A0EE4C">
                  <w:pPr>
                    <w:wordWrap w:val="0"/>
                    <w:topLinePunct/>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cs="Times New Roman"/>
                      <w:b/>
                      <w:bCs/>
                      <w:i w:val="0"/>
                      <w:iCs w:val="0"/>
                      <w:color w:val="000000" w:themeColor="text1"/>
                      <w:kern w:val="0"/>
                      <w:sz w:val="21"/>
                      <w:szCs w:val="21"/>
                      <w:highlight w:val="none"/>
                      <w:u w:val="none"/>
                      <w:lang w:val="en-US" w:eastAsia="zh-CN" w:bidi="ar"/>
                      <w14:textFill>
                        <w14:solidFill>
                          <w14:schemeClr w14:val="tx1"/>
                        </w14:solidFill>
                      </w14:textFill>
                    </w:rPr>
                    <w:t>*本项目排气筒未高于周边200m建筑</w:t>
                  </w:r>
                  <w:r>
                    <w:rPr>
                      <w:rFonts w:hint="eastAsia" w:cs="Times New Roman"/>
                      <w:b/>
                      <w:bCs/>
                      <w:i w:val="0"/>
                      <w:iCs w:val="0"/>
                      <w:color w:val="000000" w:themeColor="text1"/>
                      <w:kern w:val="0"/>
                      <w:sz w:val="21"/>
                      <w:szCs w:val="21"/>
                      <w:highlight w:val="none"/>
                      <w:u w:val="none"/>
                      <w:lang w:val="en-US" w:eastAsia="zh-CN" w:bidi="ar"/>
                      <w14:textFill>
                        <w14:solidFill>
                          <w14:schemeClr w14:val="tx1"/>
                        </w14:solidFill>
                      </w14:textFill>
                    </w:rPr>
                    <w:t>5</w:t>
                  </w:r>
                  <w:r>
                    <w:rPr>
                      <w:rFonts w:hint="default" w:ascii="Times New Roman" w:hAnsi="Times New Roman" w:cs="Times New Roman"/>
                      <w:b/>
                      <w:bCs/>
                      <w:i w:val="0"/>
                      <w:iCs w:val="0"/>
                      <w:color w:val="000000" w:themeColor="text1"/>
                      <w:kern w:val="0"/>
                      <w:sz w:val="21"/>
                      <w:szCs w:val="21"/>
                      <w:highlight w:val="none"/>
                      <w:u w:val="none"/>
                      <w:lang w:val="en-US" w:eastAsia="zh-CN" w:bidi="ar"/>
                      <w14:textFill>
                        <w14:solidFill>
                          <w14:schemeClr w14:val="tx1"/>
                        </w14:solidFill>
                      </w14:textFill>
                    </w:rPr>
                    <w:t>m以上，因此排放速率按50%折算。</w:t>
                  </w:r>
                </w:p>
              </w:tc>
            </w:tr>
          </w:tbl>
          <w:p w14:paraId="56101925">
            <w:pPr>
              <w:numPr>
                <w:ilvl w:val="0"/>
                <w:numId w:val="14"/>
              </w:numPr>
              <w:spacing w:line="240" w:lineRule="auto"/>
              <w:ind w:left="0" w:leftChars="0" w:firstLine="40" w:firstLineChars="0"/>
              <w:jc w:val="center"/>
              <w:rPr>
                <w:rFonts w:hint="default" w:ascii="Times New Roman" w:hAnsi="Times New Roman" w:eastAsia="宋体" w:cs="Times New Roman"/>
                <w:b/>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 xml:space="preserve"> 无</w:t>
            </w:r>
            <w:r>
              <w:rPr>
                <w:rFonts w:hint="eastAsia" w:ascii="Times New Roman" w:hAnsi="Times New Roman" w:eastAsia="宋体" w:cs="Times New Roman"/>
                <w:b/>
                <w:color w:val="000000" w:themeColor="text1"/>
                <w:kern w:val="2"/>
                <w:sz w:val="21"/>
                <w:szCs w:val="21"/>
                <w:lang w:val="en-US" w:eastAsia="zh-CN" w:bidi="ar-SA"/>
                <w14:textFill>
                  <w14:solidFill>
                    <w14:schemeClr w14:val="tx1"/>
                  </w14:solidFill>
                </w14:textFill>
              </w:rPr>
              <w:t>组织排放执行标准（单位：</w:t>
            </w:r>
            <w:r>
              <w:rPr>
                <w:rFonts w:hint="default" w:ascii="Times New Roman" w:hAnsi="Times New Roman" w:eastAsia="宋体" w:cs="Times New Roman"/>
                <w:b/>
                <w:bCs/>
                <w:color w:val="000000" w:themeColor="text1"/>
                <w:sz w:val="21"/>
                <w:szCs w:val="21"/>
                <w14:textFill>
                  <w14:solidFill>
                    <w14:schemeClr w14:val="tx1"/>
                  </w14:solidFill>
                </w14:textFill>
              </w:rPr>
              <w:t>mg/m</w:t>
            </w:r>
            <w:r>
              <w:rPr>
                <w:rFonts w:hint="eastAsia" w:ascii="Times New Roman" w:hAnsi="Times New Roman" w:eastAsia="宋体" w:cs="Times New Roman"/>
                <w:b/>
                <w:bCs/>
                <w:color w:val="000000" w:themeColor="text1"/>
                <w:sz w:val="21"/>
                <w:szCs w:val="21"/>
                <w:vertAlign w:val="superscript"/>
                <w:lang w:val="en-US" w:eastAsia="zh-CN"/>
                <w14:textFill>
                  <w14:solidFill>
                    <w14:schemeClr w14:val="tx1"/>
                  </w14:solidFill>
                </w14:textFill>
              </w:rPr>
              <w:t>3</w:t>
            </w:r>
            <w:r>
              <w:rPr>
                <w:rFonts w:hint="eastAsia"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1"/>
              <w:gridCol w:w="803"/>
              <w:gridCol w:w="1575"/>
              <w:gridCol w:w="1512"/>
              <w:gridCol w:w="786"/>
              <w:gridCol w:w="692"/>
              <w:gridCol w:w="452"/>
            </w:tblGrid>
            <w:tr w14:paraId="2324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3" w:hRule="atLeast"/>
                <w:jc w:val="center"/>
              </w:trPr>
              <w:tc>
                <w:tcPr>
                  <w:tcW w:w="1507" w:type="pct"/>
                  <w:tcBorders>
                    <w:tl2br w:val="nil"/>
                    <w:tr2bl w:val="nil"/>
                  </w:tcBorders>
                  <w:noWrap/>
                  <w:tcMar>
                    <w:left w:w="0" w:type="dxa"/>
                    <w:right w:w="0" w:type="dxa"/>
                  </w:tcMar>
                  <w:vAlign w:val="center"/>
                </w:tcPr>
                <w:p w14:paraId="77F79FB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宋体"/>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污染物</w:t>
                  </w:r>
                </w:p>
              </w:tc>
              <w:tc>
                <w:tcPr>
                  <w:tcW w:w="481" w:type="pct"/>
                  <w:tcBorders>
                    <w:tl2br w:val="nil"/>
                    <w:tr2bl w:val="nil"/>
                  </w:tcBorders>
                  <w:noWrap/>
                  <w:tcMar>
                    <w:left w:w="0" w:type="dxa"/>
                    <w:right w:w="0" w:type="dxa"/>
                  </w:tcMar>
                  <w:vAlign w:val="center"/>
                </w:tcPr>
                <w:p w14:paraId="610439C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颗粒物</w:t>
                  </w:r>
                </w:p>
              </w:tc>
              <w:tc>
                <w:tcPr>
                  <w:tcW w:w="1852" w:type="pct"/>
                  <w:gridSpan w:val="2"/>
                  <w:tcBorders>
                    <w:tl2br w:val="nil"/>
                    <w:tr2bl w:val="nil"/>
                  </w:tcBorders>
                  <w:noWrap/>
                  <w:vAlign w:val="center"/>
                </w:tcPr>
                <w:p w14:paraId="6E22496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宋体"/>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非甲烷总烃</w:t>
                  </w:r>
                </w:p>
              </w:tc>
              <w:tc>
                <w:tcPr>
                  <w:tcW w:w="471" w:type="pct"/>
                  <w:tcBorders>
                    <w:tl2br w:val="nil"/>
                    <w:tr2bl w:val="nil"/>
                  </w:tcBorders>
                  <w:noWrap/>
                  <w:vAlign w:val="center"/>
                </w:tcPr>
                <w:p w14:paraId="6C019D0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宋体"/>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苯</w:t>
                  </w:r>
                  <w:r>
                    <w:rPr>
                      <w:rFonts w:hint="eastAsia"/>
                      <w:b/>
                      <w:bCs/>
                      <w:color w:val="000000" w:themeColor="text1"/>
                      <w:lang w:val="en-US" w:eastAsia="zh-CN"/>
                      <w14:textFill>
                        <w14:solidFill>
                          <w14:schemeClr w14:val="tx1"/>
                        </w14:solidFill>
                      </w14:textFill>
                    </w:rPr>
                    <w:t>系物</w:t>
                  </w:r>
                </w:p>
              </w:tc>
              <w:tc>
                <w:tcPr>
                  <w:tcW w:w="415" w:type="pct"/>
                  <w:tcBorders>
                    <w:tl2br w:val="nil"/>
                    <w:tr2bl w:val="nil"/>
                  </w:tcBorders>
                  <w:noWrap/>
                  <w:vAlign w:val="center"/>
                </w:tcPr>
                <w:p w14:paraId="17C5B32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宋体"/>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臭气浓度</w:t>
                  </w:r>
                </w:p>
              </w:tc>
              <w:tc>
                <w:tcPr>
                  <w:tcW w:w="271" w:type="pct"/>
                  <w:tcBorders>
                    <w:tl2br w:val="nil"/>
                    <w:tr2bl w:val="nil"/>
                  </w:tcBorders>
                  <w:noWrap/>
                  <w:vAlign w:val="center"/>
                </w:tcPr>
                <w:p w14:paraId="04F920B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氟化物</w:t>
                  </w:r>
                </w:p>
              </w:tc>
            </w:tr>
            <w:tr w14:paraId="6F46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1507" w:type="pct"/>
                  <w:vMerge w:val="restart"/>
                  <w:tcBorders>
                    <w:tl2br w:val="nil"/>
                    <w:tr2bl w:val="nil"/>
                  </w:tcBorders>
                  <w:noWrap/>
                  <w:tcMar>
                    <w:left w:w="0" w:type="dxa"/>
                    <w:right w:w="0" w:type="dxa"/>
                  </w:tcMar>
                  <w:vAlign w:val="center"/>
                </w:tcPr>
                <w:p w14:paraId="6B672C65">
                  <w:pPr>
                    <w:keepNext w:val="0"/>
                    <w:keepLines w:val="0"/>
                    <w:pageBreakBefore w:val="0"/>
                    <w:widowControl w:val="0"/>
                    <w:kinsoku/>
                    <w:wordWrap/>
                    <w:overflowPunct/>
                    <w:topLinePunct w:val="0"/>
                    <w:autoSpaceDE/>
                    <w:autoSpaceDN/>
                    <w:bidi w:val="0"/>
                    <w:adjustRightInd/>
                    <w:spacing w:line="240" w:lineRule="auto"/>
                    <w:jc w:val="center"/>
                    <w:textAlignment w:val="auto"/>
                    <w:rPr>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《固定污染源挥发性有机物综合排放标准》（DB44/2367-2022）中表</w:t>
                  </w:r>
                  <w:r>
                    <w:rPr>
                      <w:rFonts w:hint="eastAsia" w:cs="Times New Roman"/>
                      <w:color w:val="000000" w:themeColor="text1"/>
                      <w:sz w:val="21"/>
                      <w:szCs w:val="21"/>
                      <w:lang w:val="en-US" w:eastAsia="zh-CN"/>
                      <w14:textFill>
                        <w14:solidFill>
                          <w14:schemeClr w14:val="tx1"/>
                        </w14:solidFill>
                      </w14:textFill>
                    </w:rPr>
                    <w:t>1挥发性有机物排放限值</w:t>
                  </w:r>
                </w:p>
              </w:tc>
              <w:tc>
                <w:tcPr>
                  <w:tcW w:w="481" w:type="pct"/>
                  <w:vMerge w:val="restart"/>
                  <w:tcBorders>
                    <w:tl2br w:val="nil"/>
                    <w:tr2bl w:val="nil"/>
                  </w:tcBorders>
                  <w:noWrap/>
                  <w:tcMar>
                    <w:left w:w="0" w:type="dxa"/>
                    <w:right w:w="0" w:type="dxa"/>
                  </w:tcMar>
                  <w:vAlign w:val="center"/>
                </w:tcPr>
                <w:p w14:paraId="03BF7B48">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eastAsia="宋体"/>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w:t>
                  </w:r>
                </w:p>
              </w:tc>
              <w:tc>
                <w:tcPr>
                  <w:tcW w:w="1852" w:type="pct"/>
                  <w:gridSpan w:val="2"/>
                  <w:tcBorders>
                    <w:tl2br w:val="nil"/>
                    <w:tr2bl w:val="nil"/>
                  </w:tcBorders>
                  <w:noWrap/>
                  <w:vAlign w:val="center"/>
                </w:tcPr>
                <w:p w14:paraId="1C4068C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厂内NMHC</w:t>
                  </w:r>
                </w:p>
              </w:tc>
              <w:tc>
                <w:tcPr>
                  <w:tcW w:w="471" w:type="pct"/>
                  <w:vMerge w:val="restart"/>
                  <w:tcBorders>
                    <w:tl2br w:val="nil"/>
                    <w:tr2bl w:val="nil"/>
                  </w:tcBorders>
                  <w:noWrap/>
                  <w:vAlign w:val="center"/>
                </w:tcPr>
                <w:p w14:paraId="141ECC69">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415" w:type="pct"/>
                  <w:vMerge w:val="restart"/>
                  <w:tcBorders>
                    <w:tl2br w:val="nil"/>
                    <w:tr2bl w:val="nil"/>
                  </w:tcBorders>
                  <w:noWrap/>
                  <w:vAlign w:val="center"/>
                </w:tcPr>
                <w:p w14:paraId="64409FC6">
                  <w:pPr>
                    <w:keepNext w:val="0"/>
                    <w:keepLines w:val="0"/>
                    <w:pageBreakBefore w:val="0"/>
                    <w:widowControl w:val="0"/>
                    <w:kinsoku/>
                    <w:wordWrap/>
                    <w:overflowPunct/>
                    <w:topLinePunct w:val="0"/>
                    <w:autoSpaceDE/>
                    <w:autoSpaceDN/>
                    <w:bidi w:val="0"/>
                    <w:adjustRightInd/>
                    <w:spacing w:line="240" w:lineRule="auto"/>
                    <w:jc w:val="center"/>
                    <w:textAlignment w:val="auto"/>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c>
                <w:tcPr>
                  <w:tcW w:w="271" w:type="pct"/>
                  <w:vMerge w:val="restart"/>
                  <w:tcBorders>
                    <w:tl2br w:val="nil"/>
                    <w:tr2bl w:val="nil"/>
                  </w:tcBorders>
                  <w:noWrap/>
                  <w:vAlign w:val="center"/>
                </w:tcPr>
                <w:p w14:paraId="0E44FB60">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467F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507" w:type="pct"/>
                  <w:vMerge w:val="continue"/>
                  <w:tcBorders>
                    <w:tl2br w:val="nil"/>
                    <w:tr2bl w:val="nil"/>
                  </w:tcBorders>
                  <w:noWrap/>
                  <w:tcMar>
                    <w:left w:w="0" w:type="dxa"/>
                    <w:right w:w="0" w:type="dxa"/>
                  </w:tcMar>
                  <w:vAlign w:val="center"/>
                </w:tcPr>
                <w:p w14:paraId="37DC50F6">
                  <w:pPr>
                    <w:keepNext w:val="0"/>
                    <w:keepLines w:val="0"/>
                    <w:pageBreakBefore w:val="0"/>
                    <w:widowControl w:val="0"/>
                    <w:kinsoku/>
                    <w:wordWrap/>
                    <w:overflowPunct/>
                    <w:topLinePunct w:val="0"/>
                    <w:autoSpaceDE/>
                    <w:autoSpaceDN/>
                    <w:bidi w:val="0"/>
                    <w:adjustRightInd/>
                    <w:spacing w:line="240" w:lineRule="auto"/>
                    <w:jc w:val="center"/>
                    <w:textAlignment w:val="auto"/>
                    <w:rPr>
                      <w:color w:val="000000" w:themeColor="text1"/>
                      <w:sz w:val="21"/>
                      <w:szCs w:val="21"/>
                      <w14:textFill>
                        <w14:solidFill>
                          <w14:schemeClr w14:val="tx1"/>
                        </w14:solidFill>
                      </w14:textFill>
                    </w:rPr>
                  </w:pPr>
                </w:p>
              </w:tc>
              <w:tc>
                <w:tcPr>
                  <w:tcW w:w="481" w:type="pct"/>
                  <w:vMerge w:val="continue"/>
                  <w:tcBorders>
                    <w:tl2br w:val="nil"/>
                    <w:tr2bl w:val="nil"/>
                  </w:tcBorders>
                  <w:noWrap/>
                  <w:tcMar>
                    <w:left w:w="0" w:type="dxa"/>
                    <w:right w:w="0" w:type="dxa"/>
                  </w:tcMar>
                  <w:vAlign w:val="center"/>
                </w:tcPr>
                <w:p w14:paraId="113DF0B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eastAsia="宋体"/>
                      <w:b/>
                      <w:bCs/>
                      <w:color w:val="000000" w:themeColor="text1"/>
                      <w:sz w:val="21"/>
                      <w:szCs w:val="21"/>
                      <w:lang w:val="en-US" w:eastAsia="zh-CN"/>
                      <w14:textFill>
                        <w14:solidFill>
                          <w14:schemeClr w14:val="tx1"/>
                        </w14:solidFill>
                      </w14:textFill>
                    </w:rPr>
                  </w:pPr>
                </w:p>
              </w:tc>
              <w:tc>
                <w:tcPr>
                  <w:tcW w:w="945" w:type="pct"/>
                  <w:tcBorders>
                    <w:tl2br w:val="nil"/>
                    <w:tr2bl w:val="nil"/>
                  </w:tcBorders>
                  <w:noWrap/>
                  <w:vAlign w:val="center"/>
                </w:tcPr>
                <w:p w14:paraId="4B7427F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w:t>
                  </w:r>
                  <w:r>
                    <w:rPr>
                      <w:rFonts w:hint="default" w:ascii="Times New Roman" w:hAnsi="Times New Roman" w:eastAsia="宋体" w:cs="Times New Roman"/>
                      <w:color w:val="000000" w:themeColor="text1"/>
                      <w:sz w:val="21"/>
                      <w:szCs w:val="21"/>
                      <w14:textFill>
                        <w14:solidFill>
                          <w14:schemeClr w14:val="tx1"/>
                        </w14:solidFill>
                      </w14:textFill>
                    </w:rPr>
                    <w:t>监控点处1h平均浓度值</w:t>
                  </w:r>
                  <w:r>
                    <w:rPr>
                      <w:rFonts w:hint="eastAsia"/>
                      <w:color w:val="000000" w:themeColor="text1"/>
                      <w:sz w:val="21"/>
                      <w:szCs w:val="21"/>
                      <w:lang w:val="en-US" w:eastAsia="zh-CN"/>
                      <w14:textFill>
                        <w14:solidFill>
                          <w14:schemeClr w14:val="tx1"/>
                        </w14:solidFill>
                      </w14:textFill>
                    </w:rPr>
                    <w:t>）</w:t>
                  </w:r>
                </w:p>
              </w:tc>
              <w:tc>
                <w:tcPr>
                  <w:tcW w:w="907" w:type="pct"/>
                  <w:tcBorders>
                    <w:tl2br w:val="nil"/>
                    <w:tr2bl w:val="nil"/>
                  </w:tcBorders>
                  <w:noWrap/>
                  <w:vAlign w:val="center"/>
                </w:tcPr>
                <w:p w14:paraId="4190DC6E">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20（</w:t>
                  </w:r>
                  <w:r>
                    <w:rPr>
                      <w:rFonts w:hint="default" w:ascii="Times New Roman" w:hAnsi="Times New Roman" w:eastAsia="宋体" w:cs="Times New Roman"/>
                      <w:color w:val="000000" w:themeColor="text1"/>
                      <w:sz w:val="21"/>
                      <w:szCs w:val="21"/>
                      <w14:textFill>
                        <w14:solidFill>
                          <w14:schemeClr w14:val="tx1"/>
                        </w14:solidFill>
                      </w14:textFill>
                    </w:rPr>
                    <w:t>监控点处任意一次浓度值</w:t>
                  </w:r>
                  <w:r>
                    <w:rPr>
                      <w:rFonts w:hint="eastAsia"/>
                      <w:color w:val="000000" w:themeColor="text1"/>
                      <w:sz w:val="21"/>
                      <w:szCs w:val="21"/>
                      <w:lang w:val="en-US" w:eastAsia="zh-CN"/>
                      <w14:textFill>
                        <w14:solidFill>
                          <w14:schemeClr w14:val="tx1"/>
                        </w14:solidFill>
                      </w14:textFill>
                    </w:rPr>
                    <w:t>）</w:t>
                  </w:r>
                </w:p>
              </w:tc>
              <w:tc>
                <w:tcPr>
                  <w:tcW w:w="471" w:type="pct"/>
                  <w:vMerge w:val="continue"/>
                  <w:tcBorders>
                    <w:tl2br w:val="nil"/>
                    <w:tr2bl w:val="nil"/>
                  </w:tcBorders>
                  <w:noWrap/>
                  <w:vAlign w:val="center"/>
                </w:tcPr>
                <w:p w14:paraId="3C9B87A4">
                  <w:pPr>
                    <w:keepNext w:val="0"/>
                    <w:keepLines w:val="0"/>
                    <w:pageBreakBefore w:val="0"/>
                    <w:widowControl w:val="0"/>
                    <w:kinsoku/>
                    <w:wordWrap/>
                    <w:overflowPunct/>
                    <w:topLinePunct w:val="0"/>
                    <w:autoSpaceDE/>
                    <w:autoSpaceDN/>
                    <w:bidi w:val="0"/>
                    <w:adjustRightInd/>
                    <w:spacing w:line="240" w:lineRule="auto"/>
                    <w:jc w:val="center"/>
                    <w:textAlignment w:val="auto"/>
                    <w:rPr>
                      <w:color w:val="000000" w:themeColor="text1"/>
                      <w:sz w:val="21"/>
                      <w:szCs w:val="21"/>
                      <w14:textFill>
                        <w14:solidFill>
                          <w14:schemeClr w14:val="tx1"/>
                        </w14:solidFill>
                      </w14:textFill>
                    </w:rPr>
                  </w:pPr>
                </w:p>
              </w:tc>
              <w:tc>
                <w:tcPr>
                  <w:tcW w:w="415" w:type="pct"/>
                  <w:vMerge w:val="continue"/>
                  <w:tcBorders>
                    <w:tl2br w:val="nil"/>
                    <w:tr2bl w:val="nil"/>
                  </w:tcBorders>
                  <w:noWrap/>
                  <w:vAlign w:val="center"/>
                </w:tcPr>
                <w:p w14:paraId="6AF67800">
                  <w:pPr>
                    <w:keepNext w:val="0"/>
                    <w:keepLines w:val="0"/>
                    <w:pageBreakBefore w:val="0"/>
                    <w:widowControl w:val="0"/>
                    <w:kinsoku/>
                    <w:wordWrap/>
                    <w:overflowPunct/>
                    <w:topLinePunct w:val="0"/>
                    <w:autoSpaceDE/>
                    <w:autoSpaceDN/>
                    <w:bidi w:val="0"/>
                    <w:adjustRightInd/>
                    <w:spacing w:line="240" w:lineRule="auto"/>
                    <w:jc w:val="center"/>
                    <w:textAlignment w:val="auto"/>
                    <w:rPr>
                      <w:color w:val="000000" w:themeColor="text1"/>
                      <w:sz w:val="21"/>
                      <w:szCs w:val="21"/>
                      <w14:textFill>
                        <w14:solidFill>
                          <w14:schemeClr w14:val="tx1"/>
                        </w14:solidFill>
                      </w14:textFill>
                    </w:rPr>
                  </w:pPr>
                </w:p>
              </w:tc>
              <w:tc>
                <w:tcPr>
                  <w:tcW w:w="271" w:type="pct"/>
                  <w:vMerge w:val="continue"/>
                  <w:tcBorders>
                    <w:tl2br w:val="nil"/>
                    <w:tr2bl w:val="nil"/>
                  </w:tcBorders>
                  <w:noWrap/>
                  <w:vAlign w:val="center"/>
                </w:tcPr>
                <w:p w14:paraId="0050B40A">
                  <w:pPr>
                    <w:keepNext w:val="0"/>
                    <w:keepLines w:val="0"/>
                    <w:pageBreakBefore w:val="0"/>
                    <w:widowControl w:val="0"/>
                    <w:kinsoku/>
                    <w:wordWrap/>
                    <w:overflowPunct/>
                    <w:topLinePunct w:val="0"/>
                    <w:autoSpaceDE/>
                    <w:autoSpaceDN/>
                    <w:bidi w:val="0"/>
                    <w:adjustRightInd/>
                    <w:spacing w:line="240" w:lineRule="auto"/>
                    <w:jc w:val="center"/>
                    <w:textAlignment w:val="auto"/>
                    <w:rPr>
                      <w:color w:val="000000" w:themeColor="text1"/>
                      <w:sz w:val="21"/>
                      <w:szCs w:val="21"/>
                      <w14:textFill>
                        <w14:solidFill>
                          <w14:schemeClr w14:val="tx1"/>
                        </w14:solidFill>
                      </w14:textFill>
                    </w:rPr>
                  </w:pPr>
                </w:p>
              </w:tc>
            </w:tr>
            <w:tr w14:paraId="7B25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3" w:hRule="atLeast"/>
                <w:jc w:val="center"/>
              </w:trPr>
              <w:tc>
                <w:tcPr>
                  <w:tcW w:w="1507" w:type="pct"/>
                  <w:tcBorders>
                    <w:tl2br w:val="nil"/>
                    <w:tr2bl w:val="nil"/>
                  </w:tcBorders>
                  <w:noWrap/>
                  <w:tcMar>
                    <w:left w:w="0" w:type="dxa"/>
                    <w:right w:w="0" w:type="dxa"/>
                  </w:tcMar>
                  <w:vAlign w:val="center"/>
                </w:tcPr>
                <w:p w14:paraId="7452F8E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pacing w:val="-2"/>
                      <w:sz w:val="21"/>
                      <w:szCs w:val="21"/>
                      <w:highlight w:val="none"/>
                      <w14:textFill>
                        <w14:solidFill>
                          <w14:schemeClr w14:val="tx1"/>
                        </w14:solidFill>
                      </w14:textFill>
                    </w:rPr>
                    <w:t>《恶臭污染物排放标准》（GB14554-93）</w:t>
                  </w:r>
                  <w:r>
                    <w:rPr>
                      <w:rFonts w:hint="default" w:ascii="Times New Roman" w:hAnsi="Times New Roman" w:eastAsia="宋体" w:cs="Times New Roman"/>
                      <w:b w:val="0"/>
                      <w:bCs w:val="0"/>
                      <w:color w:val="000000" w:themeColor="text1"/>
                      <w:sz w:val="21"/>
                      <w:szCs w:val="21"/>
                      <w14:textFill>
                        <w14:solidFill>
                          <w14:schemeClr w14:val="tx1"/>
                        </w14:solidFill>
                      </w14:textFill>
                    </w:rPr>
                    <w:t>表1恶臭污染物厂界标准值二级新扩改建标准</w:t>
                  </w:r>
                </w:p>
              </w:tc>
              <w:tc>
                <w:tcPr>
                  <w:tcW w:w="481" w:type="pct"/>
                  <w:tcBorders>
                    <w:tl2br w:val="nil"/>
                    <w:tr2bl w:val="nil"/>
                  </w:tcBorders>
                  <w:noWrap/>
                  <w:tcMar>
                    <w:left w:w="0" w:type="dxa"/>
                    <w:right w:w="0" w:type="dxa"/>
                  </w:tcMar>
                  <w:vAlign w:val="center"/>
                </w:tcPr>
                <w:p w14:paraId="05D2EC0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eastAsia="宋体"/>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w:t>
                  </w:r>
                </w:p>
              </w:tc>
              <w:tc>
                <w:tcPr>
                  <w:tcW w:w="1852" w:type="pct"/>
                  <w:gridSpan w:val="2"/>
                  <w:tcBorders>
                    <w:tl2br w:val="nil"/>
                    <w:tr2bl w:val="nil"/>
                  </w:tcBorders>
                  <w:noWrap/>
                  <w:vAlign w:val="center"/>
                </w:tcPr>
                <w:p w14:paraId="25AD600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471" w:type="pct"/>
                  <w:tcBorders>
                    <w:tl2br w:val="nil"/>
                    <w:tr2bl w:val="nil"/>
                  </w:tcBorders>
                  <w:noWrap/>
                  <w:vAlign w:val="center"/>
                </w:tcPr>
                <w:p w14:paraId="54E847D9">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415" w:type="pct"/>
                  <w:tcBorders>
                    <w:tl2br w:val="nil"/>
                    <w:tr2bl w:val="nil"/>
                  </w:tcBorders>
                  <w:noWrap/>
                  <w:vAlign w:val="center"/>
                </w:tcPr>
                <w:p w14:paraId="49177B1F">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20</w:t>
                  </w:r>
                </w:p>
              </w:tc>
              <w:tc>
                <w:tcPr>
                  <w:tcW w:w="271" w:type="pct"/>
                  <w:tcBorders>
                    <w:tl2br w:val="nil"/>
                    <w:tr2bl w:val="nil"/>
                  </w:tcBorders>
                  <w:noWrap/>
                  <w:vAlign w:val="center"/>
                </w:tcPr>
                <w:p w14:paraId="526D02B7">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2A5E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1507" w:type="pct"/>
                  <w:tcBorders>
                    <w:tl2br w:val="nil"/>
                    <w:tr2bl w:val="nil"/>
                  </w:tcBorders>
                  <w:noWrap/>
                  <w:tcMar>
                    <w:left w:w="0" w:type="dxa"/>
                    <w:right w:w="0" w:type="dxa"/>
                  </w:tcMar>
                  <w:vAlign w:val="center"/>
                </w:tcPr>
                <w:p w14:paraId="29F4B48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b w:val="0"/>
                      <w:bCs/>
                      <w:color w:val="000000" w:themeColor="text1"/>
                      <w:spacing w:val="-2"/>
                      <w:sz w:val="21"/>
                      <w:szCs w:val="21"/>
                      <w:highlight w:val="none"/>
                      <w14:textFill>
                        <w14:solidFill>
                          <w14:schemeClr w14:val="tx1"/>
                        </w14:solidFill>
                      </w14:textFill>
                    </w:rPr>
                  </w:pPr>
                  <w:r>
                    <w:rPr>
                      <w:rFonts w:hint="eastAsia"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《大气污染物排放限值》(DB44/27-2001)第二时段无组织排放监控浓度限值</w:t>
                  </w:r>
                </w:p>
              </w:tc>
              <w:tc>
                <w:tcPr>
                  <w:tcW w:w="481" w:type="pct"/>
                  <w:tcBorders>
                    <w:tl2br w:val="nil"/>
                    <w:tr2bl w:val="nil"/>
                  </w:tcBorders>
                  <w:noWrap/>
                  <w:tcMar>
                    <w:left w:w="0" w:type="dxa"/>
                    <w:right w:w="0" w:type="dxa"/>
                  </w:tcMar>
                  <w:vAlign w:val="center"/>
                </w:tcPr>
                <w:p w14:paraId="311D98F0">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1.0</w:t>
                  </w:r>
                </w:p>
              </w:tc>
              <w:tc>
                <w:tcPr>
                  <w:tcW w:w="1852" w:type="pct"/>
                  <w:gridSpan w:val="2"/>
                  <w:tcBorders>
                    <w:tl2br w:val="nil"/>
                    <w:tr2bl w:val="nil"/>
                  </w:tcBorders>
                  <w:noWrap/>
                  <w:vAlign w:val="center"/>
                </w:tcPr>
                <w:p w14:paraId="5E3C22E2">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4.0</w:t>
                  </w:r>
                </w:p>
              </w:tc>
              <w:tc>
                <w:tcPr>
                  <w:tcW w:w="471" w:type="pct"/>
                  <w:tcBorders>
                    <w:tl2br w:val="nil"/>
                    <w:tr2bl w:val="nil"/>
                  </w:tcBorders>
                  <w:noWrap/>
                  <w:vAlign w:val="center"/>
                </w:tcPr>
                <w:p w14:paraId="1685392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二甲苯1.2</w:t>
                  </w:r>
                </w:p>
              </w:tc>
              <w:tc>
                <w:tcPr>
                  <w:tcW w:w="415" w:type="pct"/>
                  <w:tcBorders>
                    <w:tl2br w:val="nil"/>
                    <w:tr2bl w:val="nil"/>
                  </w:tcBorders>
                  <w:noWrap/>
                  <w:vAlign w:val="center"/>
                </w:tcPr>
                <w:p w14:paraId="239747F8">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271" w:type="pct"/>
                  <w:tcBorders>
                    <w:tl2br w:val="nil"/>
                    <w:tr2bl w:val="nil"/>
                  </w:tcBorders>
                  <w:noWrap/>
                  <w:vAlign w:val="center"/>
                </w:tcPr>
                <w:p w14:paraId="3E415210">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0.02</w:t>
                  </w:r>
                </w:p>
              </w:tc>
            </w:tr>
            <w:tr w14:paraId="1C8E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 w:hRule="atLeast"/>
                <w:jc w:val="center"/>
              </w:trPr>
              <w:tc>
                <w:tcPr>
                  <w:tcW w:w="1507" w:type="pct"/>
                  <w:vMerge w:val="restart"/>
                  <w:tcBorders>
                    <w:tl2br w:val="nil"/>
                    <w:tr2bl w:val="nil"/>
                  </w:tcBorders>
                  <w:noWrap/>
                  <w:tcMar>
                    <w:left w:w="0" w:type="dxa"/>
                    <w:right w:w="0" w:type="dxa"/>
                  </w:tcMar>
                  <w:vAlign w:val="center"/>
                </w:tcPr>
                <w:p w14:paraId="1209621A">
                  <w:pPr>
                    <w:keepNext w:val="0"/>
                    <w:keepLines w:val="0"/>
                    <w:pageBreakBefore w:val="0"/>
                    <w:widowControl w:val="0"/>
                    <w:kinsoku/>
                    <w:wordWrap/>
                    <w:overflowPunct/>
                    <w:topLinePunct w:val="0"/>
                    <w:autoSpaceDE/>
                    <w:autoSpaceDN/>
                    <w:bidi w:val="0"/>
                    <w:adjustRightInd/>
                    <w:spacing w:line="240" w:lineRule="auto"/>
                    <w:jc w:val="center"/>
                    <w:textAlignment w:val="auto"/>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本项目</w:t>
                  </w:r>
                  <w:r>
                    <w:rPr>
                      <w:color w:val="000000" w:themeColor="text1"/>
                      <w:sz w:val="21"/>
                      <w:szCs w:val="21"/>
                      <w14:textFill>
                        <w14:solidFill>
                          <w14:schemeClr w14:val="tx1"/>
                        </w14:solidFill>
                      </w14:textFill>
                    </w:rPr>
                    <w:t>执行限值</w:t>
                  </w:r>
                </w:p>
              </w:tc>
              <w:tc>
                <w:tcPr>
                  <w:tcW w:w="481" w:type="pct"/>
                  <w:vMerge w:val="restart"/>
                  <w:tcBorders>
                    <w:tl2br w:val="nil"/>
                    <w:tr2bl w:val="nil"/>
                  </w:tcBorders>
                  <w:noWrap/>
                  <w:tcMar>
                    <w:left w:w="0" w:type="dxa"/>
                    <w:right w:w="0" w:type="dxa"/>
                  </w:tcMar>
                  <w:vAlign w:val="center"/>
                </w:tcPr>
                <w:p w14:paraId="32DFE25E">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1.0</w:t>
                  </w:r>
                </w:p>
              </w:tc>
              <w:tc>
                <w:tcPr>
                  <w:tcW w:w="945" w:type="pct"/>
                  <w:tcBorders>
                    <w:tl2br w:val="nil"/>
                    <w:tr2bl w:val="nil"/>
                  </w:tcBorders>
                  <w:noWrap/>
                  <w:vAlign w:val="center"/>
                </w:tcPr>
                <w:p w14:paraId="6163B581">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厂内：6（</w:t>
                  </w:r>
                  <w:r>
                    <w:rPr>
                      <w:rFonts w:hint="default" w:ascii="Times New Roman" w:hAnsi="Times New Roman" w:eastAsia="宋体" w:cs="Times New Roman"/>
                      <w:color w:val="000000" w:themeColor="text1"/>
                      <w:sz w:val="21"/>
                      <w:szCs w:val="21"/>
                      <w14:textFill>
                        <w14:solidFill>
                          <w14:schemeClr w14:val="tx1"/>
                        </w14:solidFill>
                      </w14:textFill>
                    </w:rPr>
                    <w:t>监控点处1h平均浓度值</w:t>
                  </w:r>
                  <w:r>
                    <w:rPr>
                      <w:rFonts w:hint="eastAsia"/>
                      <w:color w:val="000000" w:themeColor="text1"/>
                      <w:sz w:val="21"/>
                      <w:szCs w:val="21"/>
                      <w:lang w:val="en-US" w:eastAsia="zh-CN"/>
                      <w14:textFill>
                        <w14:solidFill>
                          <w14:schemeClr w14:val="tx1"/>
                        </w14:solidFill>
                      </w14:textFill>
                    </w:rPr>
                    <w:t>）</w:t>
                  </w:r>
                </w:p>
              </w:tc>
              <w:tc>
                <w:tcPr>
                  <w:tcW w:w="907" w:type="pct"/>
                  <w:tcBorders>
                    <w:tl2br w:val="nil"/>
                    <w:tr2bl w:val="nil"/>
                  </w:tcBorders>
                  <w:noWrap/>
                  <w:vAlign w:val="center"/>
                </w:tcPr>
                <w:p w14:paraId="31947B5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厂内：20（</w:t>
                  </w:r>
                  <w:r>
                    <w:rPr>
                      <w:rFonts w:hint="default" w:ascii="Times New Roman" w:hAnsi="Times New Roman" w:eastAsia="宋体" w:cs="Times New Roman"/>
                      <w:color w:val="000000" w:themeColor="text1"/>
                      <w:sz w:val="21"/>
                      <w:szCs w:val="21"/>
                      <w14:textFill>
                        <w14:solidFill>
                          <w14:schemeClr w14:val="tx1"/>
                        </w14:solidFill>
                      </w14:textFill>
                    </w:rPr>
                    <w:t>监控点处任意一次浓度值</w:t>
                  </w:r>
                  <w:r>
                    <w:rPr>
                      <w:rFonts w:hint="eastAsia"/>
                      <w:color w:val="000000" w:themeColor="text1"/>
                      <w:sz w:val="21"/>
                      <w:szCs w:val="21"/>
                      <w:lang w:val="en-US" w:eastAsia="zh-CN"/>
                      <w14:textFill>
                        <w14:solidFill>
                          <w14:schemeClr w14:val="tx1"/>
                        </w14:solidFill>
                      </w14:textFill>
                    </w:rPr>
                    <w:t>）</w:t>
                  </w:r>
                </w:p>
              </w:tc>
              <w:tc>
                <w:tcPr>
                  <w:tcW w:w="471" w:type="pct"/>
                  <w:vMerge w:val="restart"/>
                  <w:tcBorders>
                    <w:tl2br w:val="nil"/>
                    <w:tr2bl w:val="nil"/>
                  </w:tcBorders>
                  <w:noWrap/>
                  <w:vAlign w:val="center"/>
                </w:tcPr>
                <w:p w14:paraId="0751780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1.2</w:t>
                  </w:r>
                </w:p>
              </w:tc>
              <w:tc>
                <w:tcPr>
                  <w:tcW w:w="415" w:type="pct"/>
                  <w:vMerge w:val="restart"/>
                  <w:tcBorders>
                    <w:tl2br w:val="nil"/>
                    <w:tr2bl w:val="nil"/>
                  </w:tcBorders>
                  <w:noWrap/>
                  <w:vAlign w:val="center"/>
                </w:tcPr>
                <w:p w14:paraId="00947882">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20（无量纲）</w:t>
                  </w:r>
                </w:p>
              </w:tc>
              <w:tc>
                <w:tcPr>
                  <w:tcW w:w="271" w:type="pct"/>
                  <w:vMerge w:val="restart"/>
                  <w:tcBorders>
                    <w:tl2br w:val="nil"/>
                    <w:tr2bl w:val="nil"/>
                  </w:tcBorders>
                  <w:noWrap/>
                  <w:vAlign w:val="center"/>
                </w:tcPr>
                <w:p w14:paraId="37A90A98">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0.02</w:t>
                  </w:r>
                </w:p>
              </w:tc>
            </w:tr>
            <w:tr w14:paraId="44F41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507" w:type="pct"/>
                  <w:vMerge w:val="continue"/>
                  <w:tcBorders>
                    <w:tl2br w:val="nil"/>
                    <w:tr2bl w:val="nil"/>
                  </w:tcBorders>
                  <w:noWrap/>
                  <w:tcMar>
                    <w:left w:w="0" w:type="dxa"/>
                    <w:right w:w="0" w:type="dxa"/>
                  </w:tcMar>
                  <w:vAlign w:val="center"/>
                </w:tcPr>
                <w:p w14:paraId="4A1061E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color w:val="000000" w:themeColor="text1"/>
                      <w:sz w:val="21"/>
                      <w:szCs w:val="21"/>
                      <w:lang w:val="en-US" w:eastAsia="zh-CN"/>
                      <w14:textFill>
                        <w14:solidFill>
                          <w14:schemeClr w14:val="tx1"/>
                        </w14:solidFill>
                      </w14:textFill>
                    </w:rPr>
                  </w:pPr>
                </w:p>
              </w:tc>
              <w:tc>
                <w:tcPr>
                  <w:tcW w:w="481" w:type="pct"/>
                  <w:vMerge w:val="continue"/>
                  <w:tcBorders>
                    <w:tl2br w:val="nil"/>
                    <w:tr2bl w:val="nil"/>
                  </w:tcBorders>
                  <w:noWrap/>
                  <w:tcMar>
                    <w:left w:w="0" w:type="dxa"/>
                    <w:right w:w="0" w:type="dxa"/>
                  </w:tcMar>
                  <w:vAlign w:val="center"/>
                </w:tcPr>
                <w:p w14:paraId="09E9C7B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color w:val="000000" w:themeColor="text1"/>
                      <w:sz w:val="21"/>
                      <w:szCs w:val="21"/>
                      <w:lang w:val="en-US" w:eastAsia="zh-CN"/>
                      <w14:textFill>
                        <w14:solidFill>
                          <w14:schemeClr w14:val="tx1"/>
                        </w14:solidFill>
                      </w14:textFill>
                    </w:rPr>
                  </w:pPr>
                </w:p>
              </w:tc>
              <w:tc>
                <w:tcPr>
                  <w:tcW w:w="1852" w:type="pct"/>
                  <w:gridSpan w:val="2"/>
                  <w:tcBorders>
                    <w:tl2br w:val="nil"/>
                    <w:tr2bl w:val="nil"/>
                  </w:tcBorders>
                  <w:noWrap/>
                  <w:vAlign w:val="center"/>
                </w:tcPr>
                <w:p w14:paraId="6FC91D10">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厂界：</w:t>
                  </w:r>
                  <w:r>
                    <w:rPr>
                      <w:rFonts w:hint="eastAsia"/>
                      <w:b w:val="0"/>
                      <w:bCs/>
                      <w:color w:val="000000" w:themeColor="text1"/>
                      <w:sz w:val="21"/>
                      <w:szCs w:val="21"/>
                      <w:lang w:val="en-US" w:eastAsia="zh-CN"/>
                      <w14:textFill>
                        <w14:solidFill>
                          <w14:schemeClr w14:val="tx1"/>
                        </w14:solidFill>
                      </w14:textFill>
                    </w:rPr>
                    <w:t>4.0（周界外浓度最高点）</w:t>
                  </w:r>
                </w:p>
              </w:tc>
              <w:tc>
                <w:tcPr>
                  <w:tcW w:w="471" w:type="pct"/>
                  <w:vMerge w:val="continue"/>
                  <w:tcBorders>
                    <w:tl2br w:val="nil"/>
                    <w:tr2bl w:val="nil"/>
                  </w:tcBorders>
                  <w:noWrap/>
                  <w:vAlign w:val="center"/>
                </w:tcPr>
                <w:p w14:paraId="373EFC4E">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color w:val="000000" w:themeColor="text1"/>
                      <w:sz w:val="21"/>
                      <w:szCs w:val="21"/>
                      <w:lang w:val="en-US" w:eastAsia="zh-CN"/>
                      <w14:textFill>
                        <w14:solidFill>
                          <w14:schemeClr w14:val="tx1"/>
                        </w14:solidFill>
                      </w14:textFill>
                    </w:rPr>
                  </w:pPr>
                </w:p>
              </w:tc>
              <w:tc>
                <w:tcPr>
                  <w:tcW w:w="415" w:type="pct"/>
                  <w:vMerge w:val="continue"/>
                  <w:tcBorders>
                    <w:tl2br w:val="nil"/>
                    <w:tr2bl w:val="nil"/>
                  </w:tcBorders>
                  <w:noWrap/>
                  <w:vAlign w:val="center"/>
                </w:tcPr>
                <w:p w14:paraId="7F143DD9">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color w:val="000000" w:themeColor="text1"/>
                      <w:sz w:val="21"/>
                      <w:szCs w:val="21"/>
                      <w:lang w:val="en-US" w:eastAsia="zh-CN"/>
                      <w14:textFill>
                        <w14:solidFill>
                          <w14:schemeClr w14:val="tx1"/>
                        </w14:solidFill>
                      </w14:textFill>
                    </w:rPr>
                  </w:pPr>
                </w:p>
              </w:tc>
              <w:tc>
                <w:tcPr>
                  <w:tcW w:w="271" w:type="pct"/>
                  <w:vMerge w:val="continue"/>
                  <w:tcBorders>
                    <w:tl2br w:val="nil"/>
                    <w:tr2bl w:val="nil"/>
                  </w:tcBorders>
                  <w:noWrap/>
                  <w:vAlign w:val="center"/>
                </w:tcPr>
                <w:p w14:paraId="6A427592">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color w:val="000000" w:themeColor="text1"/>
                      <w:sz w:val="21"/>
                      <w:szCs w:val="21"/>
                      <w:lang w:val="en-US" w:eastAsia="zh-CN"/>
                      <w14:textFill>
                        <w14:solidFill>
                          <w14:schemeClr w14:val="tx1"/>
                        </w14:solidFill>
                      </w14:textFill>
                    </w:rPr>
                  </w:pPr>
                </w:p>
              </w:tc>
            </w:tr>
          </w:tbl>
          <w:p w14:paraId="4536F276">
            <w:pPr>
              <w:pStyle w:val="2"/>
              <w:rPr>
                <w:rFonts w:hint="default"/>
                <w:color w:val="000000" w:themeColor="text1"/>
                <w:lang w:val="en-US" w:eastAsia="zh-CN"/>
                <w14:textFill>
                  <w14:solidFill>
                    <w14:schemeClr w14:val="tx1"/>
                  </w14:solidFill>
                </w14:textFill>
              </w:rPr>
            </w:pPr>
          </w:p>
          <w:p w14:paraId="34789723">
            <w:pPr>
              <w:spacing w:line="360" w:lineRule="auto"/>
              <w:ind w:firstLine="482" w:firstLineChars="200"/>
              <w:rPr>
                <w:rFonts w:hint="eastAsia" w:ascii="Times New Roman" w:hAnsi="Times New Roman" w:eastAsia="宋体" w:cs="Times New Roman"/>
                <w:b/>
                <w:bCs/>
                <w:color w:val="000000" w:themeColor="text1"/>
                <w:kern w:val="0"/>
                <w:sz w:val="24"/>
                <w:highlight w:val="none"/>
                <w:lang w:val="en-US" w:eastAsia="zh-CN" w:bidi="ar"/>
                <w14:textFill>
                  <w14:solidFill>
                    <w14:schemeClr w14:val="tx1"/>
                  </w14:solidFill>
                </w14:textFill>
              </w:rPr>
            </w:pPr>
            <w:r>
              <w:rPr>
                <w:rFonts w:hint="eastAsia" w:cs="Times New Roman"/>
                <w:b/>
                <w:bCs/>
                <w:color w:val="000000" w:themeColor="text1"/>
                <w:kern w:val="0"/>
                <w:sz w:val="24"/>
                <w:highlight w:val="none"/>
                <w:lang w:val="en-US" w:eastAsia="zh-CN" w:bidi="ar"/>
                <w14:textFill>
                  <w14:solidFill>
                    <w14:schemeClr w14:val="tx1"/>
                  </w14:solidFill>
                </w14:textFill>
              </w:rPr>
              <w:t>④</w:t>
            </w:r>
            <w:r>
              <w:rPr>
                <w:rFonts w:hint="eastAsia" w:ascii="Times New Roman" w:hAnsi="Times New Roman" w:eastAsia="宋体" w:cs="Times New Roman"/>
                <w:b/>
                <w:bCs/>
                <w:color w:val="000000" w:themeColor="text1"/>
                <w:kern w:val="0"/>
                <w:sz w:val="24"/>
                <w:highlight w:val="none"/>
                <w:lang w:val="en-US" w:eastAsia="zh-CN" w:bidi="ar"/>
                <w14:textFill>
                  <w14:solidFill>
                    <w14:schemeClr w14:val="tx1"/>
                  </w14:solidFill>
                </w14:textFill>
              </w:rPr>
              <w:t>污水处理站恶臭</w:t>
            </w:r>
          </w:p>
          <w:p w14:paraId="5A0FFB57">
            <w:pPr>
              <w:spacing w:line="360" w:lineRule="auto"/>
              <w:ind w:firstLine="480" w:firstLineChars="200"/>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highlight w:val="none"/>
                <w:lang w:val="en-US" w:eastAsia="zh-CN" w:bidi="ar"/>
                <w14:textFill>
                  <w14:solidFill>
                    <w14:schemeClr w14:val="tx1"/>
                  </w14:solidFill>
                </w14:textFill>
              </w:rPr>
              <w:t>本项目</w:t>
            </w:r>
            <w:r>
              <w:rPr>
                <w:rFonts w:hint="default" w:ascii="Times New Roman" w:hAnsi="Times New Roman" w:eastAsia="宋体" w:cs="Times New Roman"/>
                <w:color w:val="000000" w:themeColor="text1"/>
                <w:kern w:val="0"/>
                <w:sz w:val="24"/>
                <w:highlight w:val="none"/>
                <w:lang w:val="en-US" w:eastAsia="zh-CN" w:bidi="ar"/>
                <w14:textFill>
                  <w14:solidFill>
                    <w14:schemeClr w14:val="tx1"/>
                  </w14:solidFill>
                </w14:textFill>
              </w:rPr>
              <w:t>厂界氨气、硫化氢、臭气浓度排放浓度执行《恶臭污染物排放标准》（GB14554-93）中表1二级标准中“新改扩建”限值要求。</w:t>
            </w:r>
          </w:p>
          <w:p w14:paraId="2C3898D7">
            <w:pPr>
              <w:numPr>
                <w:ilvl w:val="0"/>
                <w:numId w:val="14"/>
              </w:numPr>
              <w:spacing w:line="240" w:lineRule="auto"/>
              <w:ind w:left="0" w:leftChars="0" w:firstLine="40" w:firstLineChars="0"/>
              <w:jc w:val="center"/>
              <w:rPr>
                <w:rFonts w:hint="default"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b/>
                <w:bCs/>
                <w:color w:val="000000" w:themeColor="text1"/>
                <w:sz w:val="21"/>
                <w:szCs w:val="21"/>
                <w:highlight w:val="none"/>
                <w14:textFill>
                  <w14:solidFill>
                    <w14:schemeClr w14:val="tx1"/>
                  </w14:solidFill>
                </w14:textFill>
              </w:rPr>
              <w:t>污水处理站恶臭排放标准（单位：mg/m</w:t>
            </w:r>
            <w:r>
              <w:rPr>
                <w:rFonts w:hint="default" w:ascii="Times New Roman" w:hAnsi="Times New Roman" w:cs="Times New Roman"/>
                <w:b/>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
                <w:bCs/>
                <w:color w:val="000000" w:themeColor="text1"/>
                <w:sz w:val="21"/>
                <w:szCs w:val="21"/>
                <w:highlight w:val="none"/>
                <w14:textFill>
                  <w14:solidFill>
                    <w14:schemeClr w14:val="tx1"/>
                  </w14:solidFill>
                </w14:textFill>
              </w:rPr>
              <w:t>）</w:t>
            </w:r>
          </w:p>
          <w:tbl>
            <w:tblPr>
              <w:tblStyle w:val="44"/>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63"/>
              <w:gridCol w:w="1625"/>
              <w:gridCol w:w="1898"/>
              <w:gridCol w:w="3152"/>
            </w:tblGrid>
            <w:tr w14:paraId="32C91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997" w:type="pct"/>
                  <w:tcBorders>
                    <w:top w:val="single" w:color="000000" w:sz="4" w:space="0"/>
                    <w:left w:val="single" w:color="000000" w:sz="4" w:space="0"/>
                    <w:bottom w:val="single" w:color="000000" w:sz="4" w:space="0"/>
                    <w:right w:val="single" w:color="000000" w:sz="4" w:space="0"/>
                  </w:tcBorders>
                  <w:noWrap w:val="0"/>
                  <w:vAlign w:val="center"/>
                </w:tcPr>
                <w:p w14:paraId="6579008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污染物类别</w:t>
                  </w:r>
                </w:p>
              </w:tc>
              <w:tc>
                <w:tcPr>
                  <w:tcW w:w="974" w:type="pct"/>
                  <w:tcBorders>
                    <w:top w:val="single" w:color="000000" w:sz="4" w:space="0"/>
                    <w:left w:val="single" w:color="000000" w:sz="4" w:space="0"/>
                    <w:bottom w:val="single" w:color="000000" w:sz="4" w:space="0"/>
                    <w:right w:val="single" w:color="000000" w:sz="4" w:space="0"/>
                  </w:tcBorders>
                  <w:noWrap w:val="0"/>
                  <w:vAlign w:val="center"/>
                </w:tcPr>
                <w:p w14:paraId="3518AF7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位置</w:t>
                  </w:r>
                </w:p>
              </w:tc>
              <w:tc>
                <w:tcPr>
                  <w:tcW w:w="1138" w:type="pct"/>
                  <w:tcBorders>
                    <w:top w:val="single" w:color="000000" w:sz="4" w:space="0"/>
                    <w:left w:val="single" w:color="000000" w:sz="4" w:space="0"/>
                    <w:bottom w:val="single" w:color="000000" w:sz="4" w:space="0"/>
                    <w:right w:val="single" w:color="000000" w:sz="4" w:space="0"/>
                  </w:tcBorders>
                  <w:noWrap w:val="0"/>
                  <w:vAlign w:val="center"/>
                </w:tcPr>
                <w:p w14:paraId="3ED4FA6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污染因子</w:t>
                  </w:r>
                </w:p>
              </w:tc>
              <w:tc>
                <w:tcPr>
                  <w:tcW w:w="1889" w:type="pct"/>
                  <w:tcBorders>
                    <w:top w:val="single" w:color="000000" w:sz="4" w:space="0"/>
                    <w:left w:val="single" w:color="000000" w:sz="4" w:space="0"/>
                    <w:bottom w:val="single" w:color="000000" w:sz="4" w:space="0"/>
                    <w:right w:val="single" w:color="000000" w:sz="4" w:space="0"/>
                  </w:tcBorders>
                  <w:noWrap w:val="0"/>
                  <w:vAlign w:val="center"/>
                </w:tcPr>
                <w:p w14:paraId="361A49D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无组织排放限值</w:t>
                  </w:r>
                </w:p>
              </w:tc>
            </w:tr>
            <w:tr w14:paraId="26282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997" w:type="pct"/>
                  <w:vMerge w:val="restart"/>
                  <w:tcBorders>
                    <w:top w:val="single" w:color="000000" w:sz="4" w:space="0"/>
                    <w:left w:val="single" w:color="000000" w:sz="4" w:space="0"/>
                    <w:bottom w:val="single" w:color="000000" w:sz="4" w:space="0"/>
                    <w:right w:val="single" w:color="000000" w:sz="4" w:space="0"/>
                  </w:tcBorders>
                  <w:noWrap w:val="0"/>
                  <w:vAlign w:val="center"/>
                </w:tcPr>
                <w:p w14:paraId="27FEC35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恶臭污染物</w:t>
                  </w:r>
                </w:p>
              </w:tc>
              <w:tc>
                <w:tcPr>
                  <w:tcW w:w="974" w:type="pct"/>
                  <w:vMerge w:val="restart"/>
                  <w:tcBorders>
                    <w:top w:val="single" w:color="000000" w:sz="4" w:space="0"/>
                    <w:left w:val="single" w:color="000000" w:sz="4" w:space="0"/>
                    <w:bottom w:val="single" w:color="000000" w:sz="4" w:space="0"/>
                    <w:right w:val="single" w:color="000000" w:sz="4" w:space="0"/>
                  </w:tcBorders>
                  <w:noWrap w:val="0"/>
                  <w:vAlign w:val="center"/>
                </w:tcPr>
                <w:p w14:paraId="464723A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厂界</w:t>
                  </w:r>
                </w:p>
              </w:tc>
              <w:tc>
                <w:tcPr>
                  <w:tcW w:w="1138" w:type="pct"/>
                  <w:tcBorders>
                    <w:top w:val="single" w:color="000000" w:sz="4" w:space="0"/>
                    <w:left w:val="single" w:color="000000" w:sz="4" w:space="0"/>
                    <w:bottom w:val="single" w:color="000000" w:sz="4" w:space="0"/>
                    <w:right w:val="single" w:color="000000" w:sz="4" w:space="0"/>
                  </w:tcBorders>
                  <w:noWrap w:val="0"/>
                  <w:vAlign w:val="center"/>
                </w:tcPr>
                <w:p w14:paraId="0A1CA27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氨</w:t>
                  </w:r>
                </w:p>
              </w:tc>
              <w:tc>
                <w:tcPr>
                  <w:tcW w:w="1889" w:type="pct"/>
                  <w:tcBorders>
                    <w:top w:val="single" w:color="000000" w:sz="4" w:space="0"/>
                    <w:left w:val="single" w:color="000000" w:sz="4" w:space="0"/>
                    <w:bottom w:val="single" w:color="000000" w:sz="4" w:space="0"/>
                    <w:right w:val="single" w:color="000000" w:sz="4" w:space="0"/>
                  </w:tcBorders>
                  <w:noWrap w:val="0"/>
                  <w:vAlign w:val="center"/>
                </w:tcPr>
                <w:p w14:paraId="766A09F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1.5</w:t>
                  </w:r>
                </w:p>
              </w:tc>
            </w:tr>
            <w:tr w14:paraId="7233E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99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15A1FB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97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6917B9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138" w:type="pct"/>
                  <w:tcBorders>
                    <w:top w:val="single" w:color="000000" w:sz="4" w:space="0"/>
                    <w:left w:val="single" w:color="000000" w:sz="4" w:space="0"/>
                    <w:bottom w:val="single" w:color="000000" w:sz="4" w:space="0"/>
                    <w:right w:val="single" w:color="000000" w:sz="4" w:space="0"/>
                  </w:tcBorders>
                  <w:noWrap w:val="0"/>
                  <w:vAlign w:val="center"/>
                </w:tcPr>
                <w:p w14:paraId="3569D51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硫化氢</w:t>
                  </w:r>
                </w:p>
              </w:tc>
              <w:tc>
                <w:tcPr>
                  <w:tcW w:w="1889" w:type="pct"/>
                  <w:tcBorders>
                    <w:top w:val="single" w:color="000000" w:sz="4" w:space="0"/>
                    <w:left w:val="single" w:color="000000" w:sz="4" w:space="0"/>
                    <w:bottom w:val="single" w:color="000000" w:sz="4" w:space="0"/>
                    <w:right w:val="single" w:color="000000" w:sz="4" w:space="0"/>
                  </w:tcBorders>
                  <w:noWrap w:val="0"/>
                  <w:vAlign w:val="center"/>
                </w:tcPr>
                <w:p w14:paraId="292593E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0.06</w:t>
                  </w:r>
                </w:p>
              </w:tc>
            </w:tr>
            <w:tr w14:paraId="2EFBD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99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8A8B59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97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2F4C9A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138" w:type="pct"/>
                  <w:tcBorders>
                    <w:top w:val="single" w:color="000000" w:sz="4" w:space="0"/>
                    <w:left w:val="single" w:color="000000" w:sz="4" w:space="0"/>
                    <w:bottom w:val="single" w:color="000000" w:sz="4" w:space="0"/>
                    <w:right w:val="single" w:color="000000" w:sz="4" w:space="0"/>
                  </w:tcBorders>
                  <w:noWrap w:val="0"/>
                  <w:vAlign w:val="center"/>
                </w:tcPr>
                <w:p w14:paraId="77B7C5D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臭气浓度</w:t>
                  </w:r>
                </w:p>
              </w:tc>
              <w:tc>
                <w:tcPr>
                  <w:tcW w:w="1889" w:type="pct"/>
                  <w:tcBorders>
                    <w:top w:val="single" w:color="000000" w:sz="4" w:space="0"/>
                    <w:left w:val="single" w:color="000000" w:sz="4" w:space="0"/>
                    <w:bottom w:val="single" w:color="000000" w:sz="4" w:space="0"/>
                    <w:right w:val="single" w:color="000000" w:sz="4" w:space="0"/>
                  </w:tcBorders>
                  <w:noWrap w:val="0"/>
                  <w:vAlign w:val="center"/>
                </w:tcPr>
                <w:p w14:paraId="29CB4DA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20（无量纲）</w:t>
                  </w:r>
                </w:p>
              </w:tc>
            </w:tr>
          </w:tbl>
          <w:p w14:paraId="4A0055A5">
            <w:pPr>
              <w:spacing w:line="120" w:lineRule="auto"/>
              <w:rPr>
                <w:rFonts w:hint="default" w:ascii="Times New Roman" w:hAnsi="Times New Roman" w:cs="Times New Roman"/>
                <w:color w:val="000000" w:themeColor="text1"/>
                <w:sz w:val="20"/>
                <w:szCs w:val="20"/>
                <w:highlight w:val="none"/>
                <w14:textFill>
                  <w14:solidFill>
                    <w14:schemeClr w14:val="tx1"/>
                  </w14:solidFill>
                </w14:textFill>
              </w:rPr>
            </w:pPr>
          </w:p>
          <w:p w14:paraId="4253A943">
            <w:pPr>
              <w:spacing w:line="360" w:lineRule="auto"/>
              <w:ind w:firstLine="482" w:firstLineChars="200"/>
              <w:rPr>
                <w:rFonts w:hint="default" w:ascii="Times New Roman" w:hAnsi="Times New Roman" w:eastAsia="宋体" w:cs="Times New Roman"/>
                <w:b/>
                <w:bCs/>
                <w:color w:val="000000" w:themeColor="text1"/>
                <w:kern w:val="0"/>
                <w:sz w:val="24"/>
                <w:highlight w:val="none"/>
                <w:lang w:val="en-US" w:eastAsia="zh-CN" w:bidi="ar"/>
                <w14:textFill>
                  <w14:solidFill>
                    <w14:schemeClr w14:val="tx1"/>
                  </w14:solidFill>
                </w14:textFill>
              </w:rPr>
            </w:pPr>
            <w:r>
              <w:rPr>
                <w:rFonts w:hint="eastAsia" w:cs="Times New Roman"/>
                <w:b/>
                <w:bCs/>
                <w:color w:val="000000" w:themeColor="text1"/>
                <w:kern w:val="0"/>
                <w:sz w:val="24"/>
                <w:highlight w:val="none"/>
                <w:lang w:val="en-US" w:eastAsia="zh-CN" w:bidi="ar"/>
                <w14:textFill>
                  <w14:solidFill>
                    <w14:schemeClr w14:val="tx1"/>
                  </w14:solidFill>
                </w14:textFill>
              </w:rPr>
              <w:t>⑤</w:t>
            </w:r>
            <w:r>
              <w:rPr>
                <w:rFonts w:hint="default" w:ascii="Times New Roman" w:hAnsi="Times New Roman" w:eastAsia="宋体" w:cs="Times New Roman"/>
                <w:b/>
                <w:bCs/>
                <w:color w:val="000000" w:themeColor="text1"/>
                <w:kern w:val="0"/>
                <w:sz w:val="24"/>
                <w:highlight w:val="none"/>
                <w:lang w:val="en-US" w:eastAsia="zh-CN" w:bidi="ar"/>
                <w14:textFill>
                  <w14:solidFill>
                    <w14:schemeClr w14:val="tx1"/>
                  </w14:solidFill>
                </w14:textFill>
              </w:rPr>
              <w:t>食堂油烟</w:t>
            </w:r>
          </w:p>
          <w:p w14:paraId="5E11A4D1">
            <w:pPr>
              <w:spacing w:line="360" w:lineRule="auto"/>
              <w:ind w:firstLine="480" w:firstLineChars="200"/>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lang w:val="en-US" w:eastAsia="zh-CN" w:bidi="ar"/>
                <w14:textFill>
                  <w14:solidFill>
                    <w14:schemeClr w14:val="tx1"/>
                  </w14:solidFill>
                </w14:textFill>
              </w:rPr>
              <w:t>执行《饮食业油烟排放标准（试行）》（GB 18483-2001）</w:t>
            </w:r>
            <w:r>
              <w:rPr>
                <w:rFonts w:hint="eastAsia" w:cs="Times New Roman"/>
                <w:color w:val="000000" w:themeColor="text1"/>
                <w:kern w:val="0"/>
                <w:sz w:val="24"/>
                <w:highlight w:val="none"/>
                <w:lang w:val="en-US" w:eastAsia="zh-CN" w:bidi="ar"/>
                <w14:textFill>
                  <w14:solidFill>
                    <w14:schemeClr w14:val="tx1"/>
                  </w14:solidFill>
                </w14:textFill>
              </w:rPr>
              <w:t>中型标准</w:t>
            </w:r>
            <w:r>
              <w:rPr>
                <w:rFonts w:hint="default" w:ascii="Times New Roman" w:hAnsi="Times New Roman" w:eastAsia="宋体" w:cs="Times New Roman"/>
                <w:color w:val="000000" w:themeColor="text1"/>
                <w:kern w:val="0"/>
                <w:sz w:val="24"/>
                <w:highlight w:val="none"/>
                <w:lang w:val="en-US" w:eastAsia="zh-CN" w:bidi="ar"/>
                <w14:textFill>
                  <w14:solidFill>
                    <w14:schemeClr w14:val="tx1"/>
                  </w14:solidFill>
                </w14:textFill>
              </w:rPr>
              <w:t>。</w:t>
            </w:r>
          </w:p>
          <w:p w14:paraId="1B94CC7E">
            <w:pPr>
              <w:numPr>
                <w:ilvl w:val="0"/>
                <w:numId w:val="14"/>
              </w:numPr>
              <w:spacing w:line="240" w:lineRule="auto"/>
              <w:ind w:left="0" w:leftChars="0" w:firstLine="40" w:firstLineChars="0"/>
              <w:jc w:val="cente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饮食业油烟排放标准</w:t>
            </w:r>
          </w:p>
          <w:p w14:paraId="0C1DA991">
            <w:pPr>
              <w:keepNext w:val="0"/>
              <w:keepLines w:val="0"/>
              <w:pageBreakBefore w:val="0"/>
              <w:widowControl w:val="0"/>
              <w:bidi w:val="0"/>
              <w:spacing w:line="26" w:lineRule="exact"/>
              <w:rPr>
                <w:rFonts w:hint="default" w:ascii="Times New Roman" w:hAnsi="Times New Roman" w:eastAsia="宋体" w:cs="Times New Roman"/>
                <w:color w:val="000000" w:themeColor="text1"/>
                <w:sz w:val="21"/>
                <w:szCs w:val="21"/>
                <w:highlight w:val="none"/>
                <w14:textFill>
                  <w14:solidFill>
                    <w14:schemeClr w14:val="tx1"/>
                  </w14:solidFill>
                </w14:textFill>
              </w:rPr>
            </w:pPr>
          </w:p>
          <w:tbl>
            <w:tblPr>
              <w:tblStyle w:val="132"/>
              <w:tblW w:w="501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93"/>
              <w:gridCol w:w="1951"/>
              <w:gridCol w:w="1801"/>
              <w:gridCol w:w="1513"/>
            </w:tblGrid>
            <w:tr w14:paraId="63C43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850" w:type="pct"/>
                  <w:noWrap w:val="0"/>
                  <w:vAlign w:val="center"/>
                </w:tcPr>
                <w:p w14:paraId="29EFD576">
                  <w:pPr>
                    <w:keepNext w:val="0"/>
                    <w:keepLines w:val="0"/>
                    <w:pageBreakBefore w:val="0"/>
                    <w:widowControl w:val="0"/>
                    <w:bidi w:val="0"/>
                    <w:spacing w:before="0" w:line="240" w:lineRule="auto"/>
                    <w:ind w:lef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pacing w:val="3"/>
                      <w:sz w:val="21"/>
                      <w:szCs w:val="21"/>
                      <w:highlight w:val="none"/>
                      <w14:textFill>
                        <w14:solidFill>
                          <w14:schemeClr w14:val="tx1"/>
                        </w14:solidFill>
                      </w14:textFill>
                    </w:rPr>
                    <w:t>规模</w:t>
                  </w:r>
                </w:p>
              </w:tc>
              <w:tc>
                <w:tcPr>
                  <w:tcW w:w="1167" w:type="pct"/>
                  <w:noWrap w:val="0"/>
                  <w:vAlign w:val="center"/>
                </w:tcPr>
                <w:p w14:paraId="3F1EDE55">
                  <w:pPr>
                    <w:keepNext w:val="0"/>
                    <w:keepLines w:val="0"/>
                    <w:pageBreakBefore w:val="0"/>
                    <w:widowControl w:val="0"/>
                    <w:bidi w:val="0"/>
                    <w:spacing w:before="0" w:line="240" w:lineRule="auto"/>
                    <w:ind w:lef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pacing w:val="1"/>
                      <w:sz w:val="21"/>
                      <w:szCs w:val="21"/>
                      <w:highlight w:val="none"/>
                      <w14:textFill>
                        <w14:solidFill>
                          <w14:schemeClr w14:val="tx1"/>
                        </w14:solidFill>
                      </w14:textFill>
                    </w:rPr>
                    <w:t>小型</w:t>
                  </w:r>
                </w:p>
              </w:tc>
              <w:tc>
                <w:tcPr>
                  <w:tcW w:w="1077" w:type="pct"/>
                  <w:noWrap w:val="0"/>
                  <w:vAlign w:val="center"/>
                </w:tcPr>
                <w:p w14:paraId="1D0FBE1E">
                  <w:pPr>
                    <w:keepNext w:val="0"/>
                    <w:keepLines w:val="0"/>
                    <w:pageBreakBefore w:val="0"/>
                    <w:widowControl w:val="0"/>
                    <w:bidi w:val="0"/>
                    <w:spacing w:before="0" w:line="240" w:lineRule="auto"/>
                    <w:ind w:lef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pacing w:val="-6"/>
                      <w:sz w:val="21"/>
                      <w:szCs w:val="21"/>
                      <w:highlight w:val="none"/>
                      <w14:textFill>
                        <w14:solidFill>
                          <w14:schemeClr w14:val="tx1"/>
                        </w14:solidFill>
                      </w14:textFill>
                    </w:rPr>
                    <w:t>中型</w:t>
                  </w:r>
                </w:p>
              </w:tc>
              <w:tc>
                <w:tcPr>
                  <w:tcW w:w="904" w:type="pct"/>
                  <w:noWrap w:val="0"/>
                  <w:vAlign w:val="center"/>
                </w:tcPr>
                <w:p w14:paraId="56803D1E">
                  <w:pPr>
                    <w:keepNext w:val="0"/>
                    <w:keepLines w:val="0"/>
                    <w:pageBreakBefore w:val="0"/>
                    <w:widowControl w:val="0"/>
                    <w:bidi w:val="0"/>
                    <w:spacing w:before="0" w:line="240" w:lineRule="auto"/>
                    <w:ind w:lef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pacing w:val="2"/>
                      <w:sz w:val="21"/>
                      <w:szCs w:val="21"/>
                      <w:highlight w:val="none"/>
                      <w14:textFill>
                        <w14:solidFill>
                          <w14:schemeClr w14:val="tx1"/>
                        </w14:solidFill>
                      </w14:textFill>
                    </w:rPr>
                    <w:t>大型</w:t>
                  </w:r>
                </w:p>
              </w:tc>
            </w:tr>
            <w:tr w14:paraId="57DAF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850" w:type="pct"/>
                  <w:noWrap w:val="0"/>
                  <w:vAlign w:val="center"/>
                </w:tcPr>
                <w:p w14:paraId="1DC23223">
                  <w:pPr>
                    <w:keepNext w:val="0"/>
                    <w:keepLines w:val="0"/>
                    <w:pageBreakBefore w:val="0"/>
                    <w:widowControl w:val="0"/>
                    <w:bidi w:val="0"/>
                    <w:spacing w:before="0" w:line="240" w:lineRule="auto"/>
                    <w:ind w:lef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基准灶头数</w:t>
                  </w:r>
                </w:p>
              </w:tc>
              <w:tc>
                <w:tcPr>
                  <w:tcW w:w="1167" w:type="pct"/>
                  <w:noWrap w:val="0"/>
                  <w:vAlign w:val="center"/>
                </w:tcPr>
                <w:p w14:paraId="0745C08D">
                  <w:pPr>
                    <w:pStyle w:val="136"/>
                    <w:keepNext w:val="0"/>
                    <w:keepLines w:val="0"/>
                    <w:pageBreakBefore w:val="0"/>
                    <w:widowControl w:val="0"/>
                    <w:bidi w:val="0"/>
                    <w:spacing w:before="0" w:line="240" w:lineRule="auto"/>
                    <w:ind w:lef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r>
                    <w:rPr>
                      <w:rFonts w:hint="default" w:ascii="Times New Roman" w:hAnsi="Times New Roman" w:eastAsia="宋体" w:cs="Times New Roman"/>
                      <w:color w:val="000000" w:themeColor="text1"/>
                      <w:spacing w:val="-22"/>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&lt;3</w:t>
                  </w:r>
                </w:p>
              </w:tc>
              <w:tc>
                <w:tcPr>
                  <w:tcW w:w="1077" w:type="pct"/>
                  <w:noWrap w:val="0"/>
                  <w:vAlign w:val="center"/>
                </w:tcPr>
                <w:p w14:paraId="4AAE662E">
                  <w:pPr>
                    <w:pStyle w:val="136"/>
                    <w:keepNext w:val="0"/>
                    <w:keepLines w:val="0"/>
                    <w:pageBreakBefore w:val="0"/>
                    <w:widowControl w:val="0"/>
                    <w:bidi w:val="0"/>
                    <w:spacing w:before="0" w:line="240" w:lineRule="auto"/>
                    <w:ind w:lef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≥3</w:t>
                  </w:r>
                  <w:r>
                    <w:rPr>
                      <w:rFonts w:hint="default" w:ascii="Times New Roman" w:hAnsi="Times New Roman" w:eastAsia="宋体" w:cs="Times New Roman"/>
                      <w:b/>
                      <w:bCs/>
                      <w:color w:val="000000" w:themeColor="text1"/>
                      <w:spacing w:val="-24"/>
                      <w:sz w:val="21"/>
                      <w:szCs w:val="21"/>
                      <w:highlight w:val="none"/>
                      <w:lang w:eastAsia="zh-CN"/>
                      <w14:textFill>
                        <w14:solidFill>
                          <w14:schemeClr w14:val="tx1"/>
                        </w14:solidFill>
                      </w14:textFill>
                    </w:rPr>
                    <w:t>，</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&lt;6</w:t>
                  </w:r>
                </w:p>
              </w:tc>
              <w:tc>
                <w:tcPr>
                  <w:tcW w:w="904" w:type="pct"/>
                  <w:noWrap w:val="0"/>
                  <w:vAlign w:val="center"/>
                </w:tcPr>
                <w:p w14:paraId="10C18F56">
                  <w:pPr>
                    <w:pStyle w:val="136"/>
                    <w:keepNext w:val="0"/>
                    <w:keepLines w:val="0"/>
                    <w:pageBreakBefore w:val="0"/>
                    <w:widowControl w:val="0"/>
                    <w:bidi w:val="0"/>
                    <w:spacing w:before="0" w:line="240" w:lineRule="auto"/>
                    <w:ind w:lef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≥6</w:t>
                  </w:r>
                </w:p>
              </w:tc>
            </w:tr>
            <w:tr w14:paraId="7FA05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850" w:type="pct"/>
                  <w:noWrap w:val="0"/>
                  <w:vAlign w:val="center"/>
                </w:tcPr>
                <w:p w14:paraId="5B34C01E">
                  <w:pPr>
                    <w:pStyle w:val="136"/>
                    <w:keepNext w:val="0"/>
                    <w:keepLines w:val="0"/>
                    <w:pageBreakBefore w:val="0"/>
                    <w:widowControl w:val="0"/>
                    <w:bidi w:val="0"/>
                    <w:spacing w:before="0" w:line="240" w:lineRule="auto"/>
                    <w:ind w:left="0" w:leftChars="0"/>
                    <w:jc w:val="center"/>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最高允许排放浓度（</w:t>
                  </w:r>
                  <w:r>
                    <w:rPr>
                      <w:rFonts w:hint="default" w:ascii="Times New Roman" w:hAnsi="Times New Roman" w:eastAsia="宋体" w:cs="Times New Roman"/>
                      <w:color w:val="000000" w:themeColor="text1"/>
                      <w:sz w:val="21"/>
                      <w:szCs w:val="21"/>
                      <w:highlight w:val="none"/>
                      <w14:textFill>
                        <w14:solidFill>
                          <w14:schemeClr w14:val="tx1"/>
                        </w14:solidFill>
                      </w14:textFill>
                    </w:rPr>
                    <w:t>mg</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bidi="ar"/>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val="en-US" w:bidi="ar"/>
                      <w14:textFill>
                        <w14:solidFill>
                          <w14:schemeClr w14:val="tx1"/>
                        </w14:solidFill>
                      </w14:textFill>
                    </w:rPr>
                    <w:t>3</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w:t>
                  </w:r>
                </w:p>
              </w:tc>
              <w:tc>
                <w:tcPr>
                  <w:tcW w:w="3149" w:type="pct"/>
                  <w:gridSpan w:val="3"/>
                  <w:noWrap w:val="0"/>
                  <w:vAlign w:val="center"/>
                </w:tcPr>
                <w:p w14:paraId="5A880670">
                  <w:pPr>
                    <w:pStyle w:val="136"/>
                    <w:keepNext w:val="0"/>
                    <w:keepLines w:val="0"/>
                    <w:pageBreakBefore w:val="0"/>
                    <w:widowControl w:val="0"/>
                    <w:bidi w:val="0"/>
                    <w:spacing w:before="0" w:line="240" w:lineRule="auto"/>
                    <w:ind w:left="0"/>
                    <w:jc w:val="cente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pacing w:val="2"/>
                      <w:sz w:val="21"/>
                      <w:szCs w:val="21"/>
                      <w:highlight w:val="none"/>
                      <w14:textFill>
                        <w14:solidFill>
                          <w14:schemeClr w14:val="tx1"/>
                        </w14:solidFill>
                      </w14:textFill>
                    </w:rPr>
                    <w:t>2.0</w:t>
                  </w:r>
                </w:p>
              </w:tc>
            </w:tr>
            <w:tr w14:paraId="67BAF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850" w:type="pct"/>
                  <w:noWrap w:val="0"/>
                  <w:vAlign w:val="center"/>
                </w:tcPr>
                <w:p w14:paraId="5B2A8A88">
                  <w:pPr>
                    <w:keepNext w:val="0"/>
                    <w:keepLines w:val="0"/>
                    <w:pageBreakBefore w:val="0"/>
                    <w:widowControl w:val="0"/>
                    <w:bidi w:val="0"/>
                    <w:spacing w:before="0" w:line="240" w:lineRule="auto"/>
                    <w:ind w:left="0"/>
                    <w:jc w:val="center"/>
                    <w:rPr>
                      <w:rFonts w:hint="default" w:ascii="Times New Roman" w:hAnsi="Times New Roman" w:eastAsia="宋体" w:cs="Times New Roman"/>
                      <w:color w:val="000000" w:themeColor="text1"/>
                      <w:spacing w:val="8"/>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8"/>
                      <w:sz w:val="21"/>
                      <w:szCs w:val="21"/>
                      <w:highlight w:val="none"/>
                      <w:lang w:val="en-US" w:eastAsia="zh-CN"/>
                      <w14:textFill>
                        <w14:solidFill>
                          <w14:schemeClr w14:val="tx1"/>
                        </w14:solidFill>
                      </w14:textFill>
                    </w:rPr>
                    <w:t>净化设施最低去除效率（%）</w:t>
                  </w:r>
                </w:p>
              </w:tc>
              <w:tc>
                <w:tcPr>
                  <w:tcW w:w="1167" w:type="pct"/>
                  <w:noWrap w:val="0"/>
                  <w:vAlign w:val="center"/>
                </w:tcPr>
                <w:p w14:paraId="00A0411F">
                  <w:pPr>
                    <w:pStyle w:val="136"/>
                    <w:keepNext w:val="0"/>
                    <w:keepLines w:val="0"/>
                    <w:pageBreakBefore w:val="0"/>
                    <w:widowControl w:val="0"/>
                    <w:bidi w:val="0"/>
                    <w:spacing w:before="0" w:line="240" w:lineRule="auto"/>
                    <w:ind w:lef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60</w:t>
                  </w:r>
                </w:p>
              </w:tc>
              <w:tc>
                <w:tcPr>
                  <w:tcW w:w="1077" w:type="pct"/>
                  <w:noWrap w:val="0"/>
                  <w:vAlign w:val="center"/>
                </w:tcPr>
                <w:p w14:paraId="00637BBE">
                  <w:pPr>
                    <w:pStyle w:val="136"/>
                    <w:keepNext w:val="0"/>
                    <w:keepLines w:val="0"/>
                    <w:pageBreakBefore w:val="0"/>
                    <w:widowControl w:val="0"/>
                    <w:bidi w:val="0"/>
                    <w:spacing w:before="0" w:line="240" w:lineRule="auto"/>
                    <w:ind w:lef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75</w:t>
                  </w:r>
                </w:p>
              </w:tc>
              <w:tc>
                <w:tcPr>
                  <w:tcW w:w="904" w:type="pct"/>
                  <w:noWrap w:val="0"/>
                  <w:vAlign w:val="center"/>
                </w:tcPr>
                <w:p w14:paraId="0D92B098">
                  <w:pPr>
                    <w:pStyle w:val="136"/>
                    <w:keepNext w:val="0"/>
                    <w:keepLines w:val="0"/>
                    <w:pageBreakBefore w:val="0"/>
                    <w:widowControl w:val="0"/>
                    <w:bidi w:val="0"/>
                    <w:spacing w:before="0" w:line="240" w:lineRule="auto"/>
                    <w:ind w:left="0"/>
                    <w:jc w:val="center"/>
                    <w:rPr>
                      <w:rFonts w:hint="default" w:ascii="Times New Roman" w:hAnsi="Times New Roman" w:eastAsia="宋体" w:cs="Times New Roman"/>
                      <w:color w:val="000000" w:themeColor="text1"/>
                      <w:spacing w:val="3"/>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3"/>
                      <w:sz w:val="21"/>
                      <w:szCs w:val="21"/>
                      <w:highlight w:val="none"/>
                      <w:lang w:val="en-US" w:eastAsia="zh-CN"/>
                      <w14:textFill>
                        <w14:solidFill>
                          <w14:schemeClr w14:val="tx1"/>
                        </w14:solidFill>
                      </w14:textFill>
                    </w:rPr>
                    <w:t>85</w:t>
                  </w:r>
                </w:p>
              </w:tc>
            </w:tr>
          </w:tbl>
          <w:p w14:paraId="464B709F">
            <w:pPr>
              <w:keepNext w:val="0"/>
              <w:keepLines w:val="0"/>
              <w:pageBreakBefore w:val="0"/>
              <w:widowControl w:val="0"/>
              <w:kinsoku/>
              <w:wordWrap/>
              <w:overflowPunct/>
              <w:topLinePunct w:val="0"/>
              <w:autoSpaceDE/>
              <w:autoSpaceDN/>
              <w:bidi w:val="0"/>
              <w:adjustRightInd/>
              <w:snapToGrid/>
              <w:spacing w:line="100" w:lineRule="exact"/>
              <w:ind w:firstLine="480" w:firstLineChars="200"/>
              <w:textAlignment w:val="auto"/>
              <w:rPr>
                <w:rFonts w:hint="default" w:ascii="Times New Roman" w:hAnsi="Times New Roman" w:eastAsia="宋体" w:cs="Times New Roman"/>
                <w:color w:val="000000" w:themeColor="text1"/>
                <w:kern w:val="0"/>
                <w:sz w:val="24"/>
                <w:highlight w:val="none"/>
                <w:lang w:val="en-US" w:eastAsia="zh-CN" w:bidi="ar"/>
                <w14:textFill>
                  <w14:solidFill>
                    <w14:schemeClr w14:val="tx1"/>
                  </w14:solidFill>
                </w14:textFill>
              </w:rPr>
            </w:pPr>
          </w:p>
          <w:p w14:paraId="3148896F">
            <w:pPr>
              <w:spacing w:line="360" w:lineRule="auto"/>
              <w:ind w:firstLine="482" w:firstLineChars="200"/>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b/>
                <w:color w:val="000000" w:themeColor="text1"/>
                <w:sz w:val="24"/>
                <w:highlight w:val="none"/>
                <w14:textFill>
                  <w14:solidFill>
                    <w14:schemeClr w14:val="tx1"/>
                  </w14:solidFill>
                </w14:textFill>
              </w:rPr>
              <w:t>2、</w:t>
            </w:r>
            <w:r>
              <w:rPr>
                <w:rFonts w:hint="default" w:ascii="Times New Roman" w:hAnsi="Times New Roman" w:cs="Times New Roman"/>
                <w:b/>
                <w:bCs/>
                <w:color w:val="000000" w:themeColor="text1"/>
                <w:sz w:val="24"/>
                <w:highlight w:val="none"/>
                <w14:textFill>
                  <w14:solidFill>
                    <w14:schemeClr w14:val="tx1"/>
                  </w14:solidFill>
                </w14:textFill>
              </w:rPr>
              <w:t>水污染物排放标准</w:t>
            </w:r>
          </w:p>
          <w:p w14:paraId="5F1555E9">
            <w:pPr>
              <w:widowControl w:val="0"/>
              <w:kinsoku/>
              <w:autoSpaceDE/>
              <w:autoSpaceDN/>
              <w:adjustRightInd/>
              <w:snapToGrid/>
              <w:spacing w:line="360" w:lineRule="auto"/>
              <w:ind w:firstLine="480" w:firstLineChars="200"/>
              <w:jc w:val="both"/>
              <w:textAlignment w:val="auto"/>
              <w:rPr>
                <w:rFonts w:hint="default" w:ascii="Times New Roman" w:hAnsi="Times New Roman" w:eastAsia="宋体" w:cs="Times New Roman"/>
                <w:snapToGrid w:val="0"/>
                <w:color w:val="000000" w:themeColor="text1"/>
                <w:kern w:val="0"/>
                <w:sz w:val="24"/>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0"/>
                <w:sz w:val="24"/>
                <w:szCs w:val="21"/>
                <w:highlight w:val="none"/>
                <w:lang w:val="en-US" w:eastAsia="zh-CN" w:bidi="ar-SA"/>
                <w14:textFill>
                  <w14:solidFill>
                    <w14:schemeClr w14:val="tx1"/>
                  </w14:solidFill>
                </w14:textFill>
              </w:rPr>
              <w:t>本项目运营期废水主要为员工生活污水</w:t>
            </w:r>
            <w:r>
              <w:rPr>
                <w:rFonts w:hint="eastAsia" w:cs="Times New Roman"/>
                <w:snapToGrid w:val="0"/>
                <w:color w:val="000000" w:themeColor="text1"/>
                <w:kern w:val="0"/>
                <w:sz w:val="24"/>
                <w:szCs w:val="21"/>
                <w:highlight w:val="none"/>
                <w:lang w:val="en-US" w:eastAsia="zh-CN" w:bidi="ar-SA"/>
                <w14:textFill>
                  <w14:solidFill>
                    <w14:schemeClr w14:val="tx1"/>
                  </w14:solidFill>
                </w14:textFill>
              </w:rPr>
              <w:t>、</w:t>
            </w:r>
            <w:r>
              <w:rPr>
                <w:rFonts w:hint="default" w:ascii="Times New Roman" w:hAnsi="Times New Roman" w:eastAsia="宋体" w:cs="Times New Roman"/>
                <w:snapToGrid w:val="0"/>
                <w:color w:val="000000" w:themeColor="text1"/>
                <w:kern w:val="0"/>
                <w:sz w:val="24"/>
                <w:szCs w:val="21"/>
                <w:highlight w:val="none"/>
                <w:lang w:val="en-US" w:eastAsia="zh-CN" w:bidi="ar-SA"/>
                <w14:textFill>
                  <w14:solidFill>
                    <w14:schemeClr w14:val="tx1"/>
                  </w14:solidFill>
                </w14:textFill>
              </w:rPr>
              <w:t>前处理废水</w:t>
            </w:r>
            <w:r>
              <w:rPr>
                <w:rFonts w:hint="eastAsia" w:cs="Times New Roman"/>
                <w:snapToGrid w:val="0"/>
                <w:color w:val="000000" w:themeColor="text1"/>
                <w:kern w:val="0"/>
                <w:sz w:val="24"/>
                <w:szCs w:val="21"/>
                <w:highlight w:val="none"/>
                <w:lang w:val="en-US" w:eastAsia="zh-CN" w:bidi="ar-SA"/>
                <w14:textFill>
                  <w14:solidFill>
                    <w14:schemeClr w14:val="tx1"/>
                  </w14:solidFill>
                </w14:textFill>
              </w:rPr>
              <w:t>、水帘柜废水和喷淋废水</w:t>
            </w:r>
            <w:r>
              <w:rPr>
                <w:rFonts w:hint="default" w:ascii="Times New Roman" w:hAnsi="Times New Roman" w:eastAsia="宋体" w:cs="Times New Roman"/>
                <w:snapToGrid w:val="0"/>
                <w:color w:val="000000" w:themeColor="text1"/>
                <w:kern w:val="0"/>
                <w:sz w:val="24"/>
                <w:szCs w:val="21"/>
                <w:highlight w:val="none"/>
                <w:lang w:val="en-US" w:eastAsia="zh-CN" w:bidi="ar-SA"/>
                <w14:textFill>
                  <w14:solidFill>
                    <w14:schemeClr w14:val="tx1"/>
                  </w14:solidFill>
                </w14:textFill>
              </w:rPr>
              <w:t>。</w:t>
            </w:r>
          </w:p>
          <w:p w14:paraId="4733D4B4">
            <w:pPr>
              <w:widowControl w:val="0"/>
              <w:kinsoku/>
              <w:autoSpaceDE/>
              <w:autoSpaceDN/>
              <w:adjustRightInd/>
              <w:snapToGrid/>
              <w:spacing w:line="360" w:lineRule="auto"/>
              <w:ind w:firstLine="480" w:firstLineChars="200"/>
              <w:jc w:val="both"/>
              <w:textAlignment w:val="auto"/>
              <w:rPr>
                <w:rFonts w:hint="default" w:ascii="Times New Roman" w:hAnsi="Times New Roman" w:eastAsia="宋体" w:cs="Times New Roman"/>
                <w:snapToGrid w:val="0"/>
                <w:color w:val="000000" w:themeColor="text1"/>
                <w:kern w:val="0"/>
                <w:sz w:val="24"/>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生活污水经“三级化粪池+隔油隔渣池”处理达到广东省地方标准《水污染物排放限值》（DB44/26-2001）第二时段三级标准</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以及</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园区污水处理厂接管水质要求</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两</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者较严值后，</w:t>
            </w:r>
            <w:r>
              <w:rPr>
                <w:rFonts w:hint="default" w:ascii="Times New Roman" w:hAnsi="Times New Roman" w:cs="Times New Roman"/>
                <w:color w:val="000000" w:themeColor="text1"/>
                <w:sz w:val="24"/>
                <w:szCs w:val="24"/>
                <w:highlight w:val="none"/>
                <w14:textFill>
                  <w14:solidFill>
                    <w14:schemeClr w14:val="tx1"/>
                  </w14:solidFill>
                </w14:textFill>
              </w:rPr>
              <w:t>排入园区污水处理厂处理</w:t>
            </w:r>
            <w:r>
              <w:rPr>
                <w:rFonts w:hint="eastAsia" w:ascii="Times New Roman" w:hAnsi="Times New Roman" w:eastAsia="宋体" w:cs="Times New Roman"/>
                <w:snapToGrid w:val="0"/>
                <w:color w:val="000000" w:themeColor="text1"/>
                <w:kern w:val="0"/>
                <w:sz w:val="24"/>
                <w:szCs w:val="21"/>
                <w:highlight w:val="none"/>
                <w:lang w:val="en-US" w:eastAsia="zh-CN" w:bidi="ar-SA"/>
                <w14:textFill>
                  <w14:solidFill>
                    <w14:schemeClr w14:val="tx1"/>
                  </w14:solidFill>
                </w14:textFill>
              </w:rPr>
              <w:t>；</w:t>
            </w:r>
            <w:r>
              <w:rPr>
                <w:rFonts w:hint="default" w:ascii="Times New Roman" w:hAnsi="Times New Roman" w:eastAsia="宋体" w:cs="Times New Roman"/>
                <w:snapToGrid w:val="0"/>
                <w:color w:val="000000" w:themeColor="text1"/>
                <w:kern w:val="0"/>
                <w:sz w:val="24"/>
                <w:szCs w:val="21"/>
                <w:highlight w:val="none"/>
                <w:lang w:val="en-US" w:eastAsia="zh-CN" w:bidi="ar-SA"/>
                <w14:textFill>
                  <w14:solidFill>
                    <w14:schemeClr w14:val="tx1"/>
                  </w14:solidFill>
                </w14:textFill>
              </w:rPr>
              <w:t>根据《电镀水污染物排放标准》（DB44/1597-2015），钝化工艺属于化学转移膜类，适用电镀行业标准，根据标准“4.2.7 企业（含电镀专业园区）向公共污水处理系统排放废水时，总铬、六价铬、总镍、总镉、总银、总铅、总汞等第一类污染物执行表 1、表 2 相应的排放限值；pH 排放限值为 6～9，其他污染物的排放不超过本标准现有项目相应排放限值的200%。”，生产废水应满足中间接排放标准，因此前处理废水经自建污水处理站处理，园区污水处理厂接管水质要求、广东省《水污染物排放限值》（DB44/26-2001）第二时段三级标准以及《电镀水污染物排放标准》（DB44/1597-2015）</w:t>
            </w:r>
            <w:r>
              <w:rPr>
                <w:rFonts w:hint="eastAsia" w:cs="Times New Roman"/>
                <w:snapToGrid w:val="0"/>
                <w:color w:val="000000" w:themeColor="text1"/>
                <w:kern w:val="0"/>
                <w:sz w:val="24"/>
                <w:szCs w:val="21"/>
                <w:highlight w:val="none"/>
                <w:lang w:val="en-US" w:eastAsia="zh-CN" w:bidi="ar-SA"/>
                <w14:textFill>
                  <w14:solidFill>
                    <w14:schemeClr w14:val="tx1"/>
                  </w14:solidFill>
                </w14:textFill>
              </w:rPr>
              <w:t>表1现有项目水污染物非珠三角排放限值200%（其中总铝按</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表2新建项目水污染物排放限值-非珠三角地区执行</w:t>
            </w:r>
            <w:r>
              <w:rPr>
                <w:rFonts w:hint="eastAsia" w:cs="Times New Roman"/>
                <w:snapToGrid w:val="0"/>
                <w:color w:val="000000" w:themeColor="text1"/>
                <w:kern w:val="0"/>
                <w:sz w:val="24"/>
                <w:szCs w:val="21"/>
                <w:highlight w:val="none"/>
                <w:lang w:val="en-US" w:eastAsia="zh-CN" w:bidi="ar-SA"/>
                <w14:textFill>
                  <w14:solidFill>
                    <w14:schemeClr w14:val="tx1"/>
                  </w14:solidFill>
                </w14:textFill>
              </w:rPr>
              <w:t>）</w:t>
            </w:r>
            <w:r>
              <w:rPr>
                <w:rFonts w:hint="default" w:ascii="Times New Roman" w:hAnsi="Times New Roman" w:eastAsia="宋体" w:cs="Times New Roman"/>
                <w:snapToGrid w:val="0"/>
                <w:color w:val="000000" w:themeColor="text1"/>
                <w:kern w:val="0"/>
                <w:sz w:val="24"/>
                <w:szCs w:val="21"/>
                <w:highlight w:val="none"/>
                <w:lang w:val="en-US" w:eastAsia="zh-CN" w:bidi="ar-SA"/>
                <w14:textFill>
                  <w14:solidFill>
                    <w14:schemeClr w14:val="tx1"/>
                  </w14:solidFill>
                </w14:textFill>
              </w:rPr>
              <w:t>三者较严值要求，</w:t>
            </w:r>
            <w:r>
              <w:rPr>
                <w:rFonts w:hint="eastAsia" w:cs="Times New Roman"/>
                <w:snapToGrid w:val="0"/>
                <w:color w:val="000000" w:themeColor="text1"/>
                <w:kern w:val="0"/>
                <w:sz w:val="24"/>
                <w:szCs w:val="21"/>
                <w:highlight w:val="none"/>
                <w:lang w:val="en-US" w:eastAsia="zh-CN" w:bidi="ar-SA"/>
                <w14:textFill>
                  <w14:solidFill>
                    <w14:schemeClr w14:val="tx1"/>
                  </w14:solidFill>
                </w14:textFill>
              </w:rPr>
              <w:t>经处理的废水最后</w:t>
            </w:r>
            <w:r>
              <w:rPr>
                <w:rFonts w:hint="default" w:ascii="Times New Roman" w:hAnsi="Times New Roman" w:eastAsia="宋体" w:cs="Times New Roman"/>
                <w:snapToGrid w:val="0"/>
                <w:color w:val="000000" w:themeColor="text1"/>
                <w:kern w:val="0"/>
                <w:sz w:val="24"/>
                <w:szCs w:val="21"/>
                <w:highlight w:val="none"/>
                <w:lang w:val="en-US" w:eastAsia="zh-CN" w:bidi="ar-SA"/>
                <w14:textFill>
                  <w14:solidFill>
                    <w14:schemeClr w14:val="tx1"/>
                  </w14:solidFill>
                </w14:textFill>
              </w:rPr>
              <w:t>排入园区污水处理厂处理。</w:t>
            </w:r>
          </w:p>
          <w:p w14:paraId="35348C11">
            <w:pPr>
              <w:widowControl w:val="0"/>
              <w:kinsoku/>
              <w:autoSpaceDE/>
              <w:autoSpaceDN/>
              <w:adjustRightInd/>
              <w:snapToGrid/>
              <w:spacing w:line="360" w:lineRule="auto"/>
              <w:ind w:firstLine="480" w:firstLineChars="200"/>
              <w:jc w:val="both"/>
              <w:textAlignment w:val="auto"/>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sz w:val="24"/>
                <w:szCs w:val="21"/>
                <w:highlight w:val="none"/>
                <w:lang w:val="en-US" w:eastAsia="zh-CN" w:bidi="ar-SA"/>
                <w14:textFill>
                  <w14:solidFill>
                    <w14:schemeClr w14:val="tx1"/>
                  </w14:solidFill>
                </w14:textFill>
              </w:rPr>
              <w:t>园区污水处理厂出水水质标准执行广东省《</w:t>
            </w:r>
            <w:r>
              <w:rPr>
                <w:rFonts w:hint="eastAsia" w:ascii="Times New Roman" w:hAnsi="Times New Roman" w:eastAsia="宋体" w:cs="Times New Roman"/>
                <w:snapToGrid w:val="0"/>
                <w:color w:val="000000" w:themeColor="text1"/>
                <w:kern w:val="0"/>
                <w:sz w:val="24"/>
                <w:szCs w:val="21"/>
                <w:highlight w:val="none"/>
                <w:lang w:val="en-US" w:eastAsia="zh-CN" w:bidi="ar-SA"/>
                <w14:textFill>
                  <w14:solidFill>
                    <w14:schemeClr w14:val="tx1"/>
                  </w14:solidFill>
                </w14:textFill>
              </w:rPr>
              <w:t>水污染物排放限值</w:t>
            </w:r>
            <w:r>
              <w:rPr>
                <w:rFonts w:hint="default" w:ascii="Times New Roman" w:hAnsi="Times New Roman" w:eastAsia="宋体" w:cs="Times New Roman"/>
                <w:snapToGrid w:val="0"/>
                <w:color w:val="000000" w:themeColor="text1"/>
                <w:kern w:val="0"/>
                <w:sz w:val="24"/>
                <w:szCs w:val="21"/>
                <w:highlight w:val="none"/>
                <w:lang w:val="en-US" w:eastAsia="zh-CN" w:bidi="ar-SA"/>
                <w14:textFill>
                  <w14:solidFill>
                    <w14:schemeClr w14:val="tx1"/>
                  </w14:solidFill>
                </w14:textFill>
              </w:rPr>
              <w:t>》（DB44/26-2001）第二时段一级标准和《城镇污水处理厂污染物排放标准》（</w:t>
            </w:r>
            <w:r>
              <w:rPr>
                <w:rFonts w:hint="eastAsia" w:cs="Times New Roman"/>
                <w:snapToGrid w:val="0"/>
                <w:color w:val="000000" w:themeColor="text1"/>
                <w:kern w:val="0"/>
                <w:sz w:val="24"/>
                <w:szCs w:val="21"/>
                <w:highlight w:val="none"/>
                <w:lang w:val="en-US" w:eastAsia="zh-CN" w:bidi="ar-SA"/>
                <w14:textFill>
                  <w14:solidFill>
                    <w14:schemeClr w14:val="tx1"/>
                  </w14:solidFill>
                </w14:textFill>
              </w:rPr>
              <w:t>GB18918-2002</w:t>
            </w:r>
            <w:r>
              <w:rPr>
                <w:rFonts w:hint="default" w:ascii="Times New Roman" w:hAnsi="Times New Roman" w:eastAsia="宋体" w:cs="Times New Roman"/>
                <w:snapToGrid w:val="0"/>
                <w:color w:val="000000" w:themeColor="text1"/>
                <w:kern w:val="0"/>
                <w:sz w:val="24"/>
                <w:szCs w:val="21"/>
                <w:highlight w:val="none"/>
                <w:lang w:val="en-US" w:eastAsia="zh-CN" w:bidi="ar-SA"/>
                <w14:textFill>
                  <w14:solidFill>
                    <w14:schemeClr w14:val="tx1"/>
                  </w14:solidFill>
                </w14:textFill>
              </w:rPr>
              <w:t>）一级B标准中严者。</w:t>
            </w:r>
            <w:r>
              <w:rPr>
                <w:rFonts w:hint="default" w:ascii="Times New Roman" w:hAnsi="Times New Roman" w:eastAsia="宋体" w:cs="Times New Roman"/>
                <w:snapToGrid w:val="0"/>
                <w:color w:val="000000" w:themeColor="text1"/>
                <w:kern w:val="0"/>
                <w:sz w:val="24"/>
                <w:szCs w:val="21"/>
                <w:highlight w:val="none"/>
                <w:lang w:val="zh-CN" w:eastAsia="zh-CN" w:bidi="ar-SA"/>
                <w14:textFill>
                  <w14:solidFill>
                    <w14:schemeClr w14:val="tx1"/>
                  </w14:solidFill>
                </w14:textFill>
              </w:rPr>
              <w:t>相关排放标准情况</w:t>
            </w:r>
            <w:r>
              <w:rPr>
                <w:rFonts w:hint="default" w:ascii="Times New Roman" w:hAnsi="Times New Roman" w:eastAsia="宋体" w:cs="Times New Roman"/>
                <w:snapToGrid w:val="0"/>
                <w:color w:val="000000" w:themeColor="text1"/>
                <w:kern w:val="0"/>
                <w:sz w:val="24"/>
                <w:szCs w:val="21"/>
                <w:highlight w:val="none"/>
                <w:lang w:val="en-US" w:eastAsia="zh-CN" w:bidi="ar-SA"/>
                <w14:textFill>
                  <w14:solidFill>
                    <w14:schemeClr w14:val="tx1"/>
                  </w14:solidFill>
                </w14:textFill>
              </w:rPr>
              <w:t>见下表</w:t>
            </w:r>
            <w:r>
              <w:rPr>
                <w:rFonts w:hint="eastAsia" w:cs="Times New Roman"/>
                <w:snapToGrid w:val="0"/>
                <w:color w:val="000000" w:themeColor="text1"/>
                <w:kern w:val="0"/>
                <w:sz w:val="24"/>
                <w:szCs w:val="21"/>
                <w:highlight w:val="none"/>
                <w:lang w:val="en-US" w:eastAsia="zh-CN" w:bidi="ar-SA"/>
                <w14:textFill>
                  <w14:solidFill>
                    <w14:schemeClr w14:val="tx1"/>
                  </w14:solidFill>
                </w14:textFill>
              </w:rPr>
              <w:t>。</w:t>
            </w:r>
          </w:p>
          <w:p w14:paraId="37F905F6">
            <w:pPr>
              <w:numPr>
                <w:ilvl w:val="0"/>
                <w:numId w:val="14"/>
              </w:numPr>
              <w:spacing w:line="240" w:lineRule="auto"/>
              <w:ind w:left="0" w:leftChars="0" w:firstLine="40" w:firstLineChars="0"/>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本项目水污染物排放标准</w:t>
            </w:r>
            <w:r>
              <w:rPr>
                <w:rFonts w:hint="default" w:ascii="Times New Roman" w:hAnsi="Times New Roman" w:cs="Times New Roman"/>
                <w:b/>
                <w:bCs/>
                <w:color w:val="000000" w:themeColor="text1"/>
                <w:sz w:val="21"/>
                <w:szCs w:val="21"/>
                <w:highlight w:val="none"/>
                <w14:textFill>
                  <w14:solidFill>
                    <w14:schemeClr w14:val="tx1"/>
                  </w14:solidFill>
                </w14:textFill>
              </w:rPr>
              <w:t xml:space="preserve"> </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单位：</w:t>
            </w:r>
            <w:r>
              <w:rPr>
                <w:rFonts w:hint="default" w:ascii="Times New Roman" w:hAnsi="Times New Roman" w:cs="Times New Roman"/>
                <w:b/>
                <w:bCs/>
                <w:color w:val="000000" w:themeColor="text1"/>
                <w:sz w:val="21"/>
                <w:szCs w:val="21"/>
                <w:highlight w:val="none"/>
                <w14:textFill>
                  <w14:solidFill>
                    <w14:schemeClr w14:val="tx1"/>
                  </w14:solidFill>
                </w14:textFill>
              </w:rPr>
              <w:t>mg/L，pH为无量纲</w:t>
            </w:r>
          </w:p>
          <w:tbl>
            <w:tblPr>
              <w:tblStyle w:val="44"/>
              <w:tblW w:w="8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40"/>
              <w:gridCol w:w="465"/>
              <w:gridCol w:w="660"/>
              <w:gridCol w:w="720"/>
              <w:gridCol w:w="600"/>
              <w:gridCol w:w="615"/>
              <w:gridCol w:w="675"/>
              <w:gridCol w:w="630"/>
              <w:gridCol w:w="585"/>
              <w:gridCol w:w="652"/>
              <w:gridCol w:w="600"/>
              <w:gridCol w:w="638"/>
              <w:gridCol w:w="434"/>
            </w:tblGrid>
            <w:tr w14:paraId="3BCD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3" w:hRule="atLeast"/>
                <w:jc w:val="center"/>
              </w:trPr>
              <w:tc>
                <w:tcPr>
                  <w:tcW w:w="1240" w:type="dxa"/>
                  <w:tcBorders>
                    <w:tl2br w:val="nil"/>
                    <w:tr2bl w:val="nil"/>
                  </w:tcBorders>
                  <w:noWrap/>
                  <w:tcMar>
                    <w:left w:w="0" w:type="dxa"/>
                    <w:right w:w="0" w:type="dxa"/>
                  </w:tcMar>
                  <w:vAlign w:val="center"/>
                </w:tcPr>
                <w:p w14:paraId="308ACF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污染物</w:t>
                  </w:r>
                </w:p>
              </w:tc>
              <w:tc>
                <w:tcPr>
                  <w:tcW w:w="465" w:type="dxa"/>
                  <w:tcBorders>
                    <w:tl2br w:val="nil"/>
                    <w:tr2bl w:val="nil"/>
                  </w:tcBorders>
                  <w:noWrap/>
                  <w:tcMar>
                    <w:left w:w="0" w:type="dxa"/>
                    <w:right w:w="0" w:type="dxa"/>
                  </w:tcMar>
                  <w:vAlign w:val="center"/>
                </w:tcPr>
                <w:p w14:paraId="2244B0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pH</w:t>
                  </w:r>
                </w:p>
              </w:tc>
              <w:tc>
                <w:tcPr>
                  <w:tcW w:w="660" w:type="dxa"/>
                  <w:tcBorders>
                    <w:tl2br w:val="nil"/>
                    <w:tr2bl w:val="nil"/>
                  </w:tcBorders>
                  <w:noWrap/>
                  <w:tcMar>
                    <w:left w:w="0" w:type="dxa"/>
                    <w:right w:w="0" w:type="dxa"/>
                  </w:tcMar>
                  <w:vAlign w:val="center"/>
                </w:tcPr>
                <w:p w14:paraId="52FB04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vertAlign w:val="subscript"/>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COD</w:t>
                  </w:r>
                  <w:r>
                    <w:rPr>
                      <w:rFonts w:hint="default" w:ascii="Times New Roman" w:hAnsi="Times New Roman" w:cs="Times New Roman"/>
                      <w:b/>
                      <w:bCs/>
                      <w:color w:val="000000" w:themeColor="text1"/>
                      <w:sz w:val="21"/>
                      <w:szCs w:val="21"/>
                      <w:highlight w:val="none"/>
                      <w:vertAlign w:val="subscript"/>
                      <w14:textFill>
                        <w14:solidFill>
                          <w14:schemeClr w14:val="tx1"/>
                        </w14:solidFill>
                      </w14:textFill>
                    </w:rPr>
                    <w:t>Cr</w:t>
                  </w:r>
                </w:p>
              </w:tc>
              <w:tc>
                <w:tcPr>
                  <w:tcW w:w="720" w:type="dxa"/>
                  <w:tcBorders>
                    <w:tl2br w:val="nil"/>
                    <w:tr2bl w:val="nil"/>
                  </w:tcBorders>
                  <w:noWrap/>
                  <w:vAlign w:val="center"/>
                </w:tcPr>
                <w:p w14:paraId="74B83F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vertAlign w:val="subscript"/>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BOD</w:t>
                  </w:r>
                  <w:r>
                    <w:rPr>
                      <w:rFonts w:hint="default" w:ascii="Times New Roman" w:hAnsi="Times New Roman" w:cs="Times New Roman"/>
                      <w:b/>
                      <w:bCs/>
                      <w:color w:val="000000" w:themeColor="text1"/>
                      <w:sz w:val="21"/>
                      <w:szCs w:val="21"/>
                      <w:highlight w:val="none"/>
                      <w:vertAlign w:val="subscript"/>
                      <w14:textFill>
                        <w14:solidFill>
                          <w14:schemeClr w14:val="tx1"/>
                        </w14:solidFill>
                      </w14:textFill>
                    </w:rPr>
                    <w:t>5</w:t>
                  </w:r>
                </w:p>
              </w:tc>
              <w:tc>
                <w:tcPr>
                  <w:tcW w:w="600" w:type="dxa"/>
                  <w:tcBorders>
                    <w:tl2br w:val="nil"/>
                    <w:tr2bl w:val="nil"/>
                  </w:tcBorders>
                  <w:noWrap/>
                  <w:vAlign w:val="center"/>
                </w:tcPr>
                <w:p w14:paraId="15A9FA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SS</w:t>
                  </w:r>
                </w:p>
              </w:tc>
              <w:tc>
                <w:tcPr>
                  <w:tcW w:w="615" w:type="dxa"/>
                  <w:tcBorders>
                    <w:tl2br w:val="nil"/>
                    <w:tr2bl w:val="nil"/>
                  </w:tcBorders>
                  <w:noWrap/>
                  <w:vAlign w:val="center"/>
                </w:tcPr>
                <w:p w14:paraId="37C135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氨氮</w:t>
                  </w:r>
                </w:p>
              </w:tc>
              <w:tc>
                <w:tcPr>
                  <w:tcW w:w="675" w:type="dxa"/>
                  <w:tcBorders>
                    <w:tl2br w:val="nil"/>
                    <w:tr2bl w:val="nil"/>
                  </w:tcBorders>
                  <w:noWrap/>
                  <w:vAlign w:val="center"/>
                </w:tcPr>
                <w:p w14:paraId="78F157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LAS</w:t>
                  </w:r>
                </w:p>
              </w:tc>
              <w:tc>
                <w:tcPr>
                  <w:tcW w:w="630" w:type="dxa"/>
                  <w:tcBorders>
                    <w:tl2br w:val="nil"/>
                    <w:tr2bl w:val="nil"/>
                  </w:tcBorders>
                  <w:noWrap/>
                  <w:vAlign w:val="center"/>
                </w:tcPr>
                <w:p w14:paraId="49267A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氟化物</w:t>
                  </w:r>
                </w:p>
              </w:tc>
              <w:tc>
                <w:tcPr>
                  <w:tcW w:w="585" w:type="dxa"/>
                  <w:tcBorders>
                    <w:tl2br w:val="nil"/>
                    <w:tr2bl w:val="nil"/>
                  </w:tcBorders>
                  <w:noWrap/>
                  <w:vAlign w:val="center"/>
                </w:tcPr>
                <w:p w14:paraId="3BBC6F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石油类</w:t>
                  </w:r>
                </w:p>
              </w:tc>
              <w:tc>
                <w:tcPr>
                  <w:tcW w:w="652" w:type="dxa"/>
                  <w:tcBorders>
                    <w:tl2br w:val="nil"/>
                    <w:tr2bl w:val="nil"/>
                  </w:tcBorders>
                  <w:noWrap/>
                  <w:vAlign w:val="center"/>
                </w:tcPr>
                <w:p w14:paraId="6F4338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总磷</w:t>
                  </w:r>
                </w:p>
              </w:tc>
              <w:tc>
                <w:tcPr>
                  <w:tcW w:w="600" w:type="dxa"/>
                  <w:tcBorders>
                    <w:tl2br w:val="nil"/>
                    <w:tr2bl w:val="nil"/>
                  </w:tcBorders>
                  <w:noWrap/>
                  <w:vAlign w:val="center"/>
                </w:tcPr>
                <w:p w14:paraId="60C7D5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动植物油</w:t>
                  </w:r>
                </w:p>
              </w:tc>
              <w:tc>
                <w:tcPr>
                  <w:tcW w:w="638" w:type="dxa"/>
                  <w:tcBorders>
                    <w:tl2br w:val="nil"/>
                    <w:tr2bl w:val="nil"/>
                  </w:tcBorders>
                  <w:noWrap/>
                  <w:vAlign w:val="center"/>
                </w:tcPr>
                <w:p w14:paraId="6FF56F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总铝</w:t>
                  </w:r>
                </w:p>
              </w:tc>
              <w:tc>
                <w:tcPr>
                  <w:tcW w:w="434" w:type="dxa"/>
                  <w:tcBorders>
                    <w:tl2br w:val="nil"/>
                    <w:tr2bl w:val="nil"/>
                  </w:tcBorders>
                  <w:noWrap/>
                  <w:vAlign w:val="center"/>
                </w:tcPr>
                <w:p w14:paraId="16C016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TN</w:t>
                  </w:r>
                </w:p>
              </w:tc>
            </w:tr>
            <w:tr w14:paraId="7C04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58" w:hRule="atLeast"/>
                <w:jc w:val="center"/>
              </w:trPr>
              <w:tc>
                <w:tcPr>
                  <w:tcW w:w="1240" w:type="dxa"/>
                  <w:tcBorders>
                    <w:tl2br w:val="nil"/>
                    <w:tr2bl w:val="nil"/>
                  </w:tcBorders>
                  <w:noWrap/>
                  <w:tcMar>
                    <w:left w:w="0" w:type="dxa"/>
                    <w:right w:w="0" w:type="dxa"/>
                  </w:tcMar>
                  <w:vAlign w:val="center"/>
                </w:tcPr>
                <w:p w14:paraId="18DB40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园区污水处理厂接管水质要求</w:t>
                  </w:r>
                </w:p>
              </w:tc>
              <w:tc>
                <w:tcPr>
                  <w:tcW w:w="465" w:type="dxa"/>
                  <w:tcBorders>
                    <w:tl2br w:val="nil"/>
                    <w:tr2bl w:val="nil"/>
                  </w:tcBorders>
                  <w:noWrap/>
                  <w:tcMar>
                    <w:left w:w="0" w:type="dxa"/>
                    <w:right w:w="0" w:type="dxa"/>
                  </w:tcMar>
                  <w:vAlign w:val="center"/>
                </w:tcPr>
                <w:p w14:paraId="3F1983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6-9</w:t>
                  </w:r>
                </w:p>
              </w:tc>
              <w:tc>
                <w:tcPr>
                  <w:tcW w:w="660" w:type="dxa"/>
                  <w:tcBorders>
                    <w:tl2br w:val="nil"/>
                    <w:tr2bl w:val="nil"/>
                  </w:tcBorders>
                  <w:noWrap/>
                  <w:tcMar>
                    <w:left w:w="0" w:type="dxa"/>
                    <w:right w:w="0" w:type="dxa"/>
                  </w:tcMar>
                  <w:vAlign w:val="center"/>
                </w:tcPr>
                <w:p w14:paraId="1C174B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300</w:t>
                  </w:r>
                </w:p>
              </w:tc>
              <w:tc>
                <w:tcPr>
                  <w:tcW w:w="720" w:type="dxa"/>
                  <w:tcBorders>
                    <w:tl2br w:val="nil"/>
                    <w:tr2bl w:val="nil"/>
                  </w:tcBorders>
                  <w:noWrap/>
                  <w:vAlign w:val="center"/>
                </w:tcPr>
                <w:p w14:paraId="3B73C2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150</w:t>
                  </w:r>
                </w:p>
              </w:tc>
              <w:tc>
                <w:tcPr>
                  <w:tcW w:w="600" w:type="dxa"/>
                  <w:tcBorders>
                    <w:tl2br w:val="nil"/>
                    <w:tr2bl w:val="nil"/>
                  </w:tcBorders>
                  <w:noWrap/>
                  <w:vAlign w:val="center"/>
                </w:tcPr>
                <w:p w14:paraId="0CAFE3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250</w:t>
                  </w:r>
                </w:p>
              </w:tc>
              <w:tc>
                <w:tcPr>
                  <w:tcW w:w="615" w:type="dxa"/>
                  <w:tcBorders>
                    <w:tl2br w:val="nil"/>
                    <w:tr2bl w:val="nil"/>
                  </w:tcBorders>
                  <w:noWrap/>
                  <w:vAlign w:val="center"/>
                </w:tcPr>
                <w:p w14:paraId="3D4824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40</w:t>
                  </w:r>
                </w:p>
              </w:tc>
              <w:tc>
                <w:tcPr>
                  <w:tcW w:w="675" w:type="dxa"/>
                  <w:tcBorders>
                    <w:tl2br w:val="nil"/>
                    <w:tr2bl w:val="nil"/>
                  </w:tcBorders>
                  <w:noWrap/>
                  <w:vAlign w:val="center"/>
                </w:tcPr>
                <w:p w14:paraId="1E357A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p>
              </w:tc>
              <w:tc>
                <w:tcPr>
                  <w:tcW w:w="630" w:type="dxa"/>
                  <w:tcBorders>
                    <w:tl2br w:val="nil"/>
                    <w:tr2bl w:val="nil"/>
                  </w:tcBorders>
                  <w:noWrap/>
                  <w:vAlign w:val="center"/>
                </w:tcPr>
                <w:p w14:paraId="0CC2BC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p>
              </w:tc>
              <w:tc>
                <w:tcPr>
                  <w:tcW w:w="585" w:type="dxa"/>
                  <w:tcBorders>
                    <w:tl2br w:val="nil"/>
                    <w:tr2bl w:val="nil"/>
                  </w:tcBorders>
                  <w:noWrap/>
                  <w:vAlign w:val="center"/>
                </w:tcPr>
                <w:p w14:paraId="033DCA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652" w:type="dxa"/>
                  <w:tcBorders>
                    <w:tl2br w:val="nil"/>
                    <w:tr2bl w:val="nil"/>
                  </w:tcBorders>
                  <w:noWrap/>
                  <w:vAlign w:val="center"/>
                </w:tcPr>
                <w:p w14:paraId="413344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600" w:type="dxa"/>
                  <w:tcBorders>
                    <w:tl2br w:val="nil"/>
                    <w:tr2bl w:val="nil"/>
                  </w:tcBorders>
                  <w:noWrap/>
                  <w:vAlign w:val="center"/>
                </w:tcPr>
                <w:p w14:paraId="3B8905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638" w:type="dxa"/>
                  <w:tcBorders>
                    <w:tl2br w:val="nil"/>
                    <w:tr2bl w:val="nil"/>
                  </w:tcBorders>
                  <w:noWrap/>
                  <w:vAlign w:val="center"/>
                </w:tcPr>
                <w:p w14:paraId="102087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434" w:type="dxa"/>
                  <w:tcBorders>
                    <w:tl2br w:val="nil"/>
                    <w:tr2bl w:val="nil"/>
                  </w:tcBorders>
                  <w:noWrap/>
                  <w:vAlign w:val="center"/>
                </w:tcPr>
                <w:p w14:paraId="43EA56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r>
            <w:tr w14:paraId="4656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58" w:hRule="atLeast"/>
                <w:jc w:val="center"/>
              </w:trPr>
              <w:tc>
                <w:tcPr>
                  <w:tcW w:w="1240" w:type="dxa"/>
                  <w:tcBorders>
                    <w:tl2br w:val="nil"/>
                    <w:tr2bl w:val="nil"/>
                  </w:tcBorders>
                  <w:noWrap/>
                  <w:tcMar>
                    <w:left w:w="0" w:type="dxa"/>
                    <w:right w:w="0" w:type="dxa"/>
                  </w:tcMar>
                  <w:vAlign w:val="center"/>
                </w:tcPr>
                <w:p w14:paraId="4DA466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DB44/26-2001第二时段三级标准</w:t>
                  </w:r>
                </w:p>
              </w:tc>
              <w:tc>
                <w:tcPr>
                  <w:tcW w:w="465" w:type="dxa"/>
                  <w:tcBorders>
                    <w:tl2br w:val="nil"/>
                    <w:tr2bl w:val="nil"/>
                  </w:tcBorders>
                  <w:noWrap/>
                  <w:tcMar>
                    <w:left w:w="0" w:type="dxa"/>
                    <w:right w:w="0" w:type="dxa"/>
                  </w:tcMar>
                  <w:vAlign w:val="center"/>
                </w:tcPr>
                <w:p w14:paraId="629B8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6-9</w:t>
                  </w:r>
                </w:p>
              </w:tc>
              <w:tc>
                <w:tcPr>
                  <w:tcW w:w="660" w:type="dxa"/>
                  <w:tcBorders>
                    <w:tl2br w:val="nil"/>
                    <w:tr2bl w:val="nil"/>
                  </w:tcBorders>
                  <w:noWrap/>
                  <w:tcMar>
                    <w:left w:w="0" w:type="dxa"/>
                    <w:right w:w="0" w:type="dxa"/>
                  </w:tcMar>
                  <w:vAlign w:val="center"/>
                </w:tcPr>
                <w:p w14:paraId="2D9DF2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500</w:t>
                  </w:r>
                </w:p>
              </w:tc>
              <w:tc>
                <w:tcPr>
                  <w:tcW w:w="720" w:type="dxa"/>
                  <w:tcBorders>
                    <w:tl2br w:val="nil"/>
                    <w:tr2bl w:val="nil"/>
                  </w:tcBorders>
                  <w:noWrap/>
                  <w:vAlign w:val="center"/>
                </w:tcPr>
                <w:p w14:paraId="244B62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300</w:t>
                  </w:r>
                </w:p>
              </w:tc>
              <w:tc>
                <w:tcPr>
                  <w:tcW w:w="600" w:type="dxa"/>
                  <w:tcBorders>
                    <w:tl2br w:val="nil"/>
                    <w:tr2bl w:val="nil"/>
                  </w:tcBorders>
                  <w:noWrap/>
                  <w:vAlign w:val="center"/>
                </w:tcPr>
                <w:p w14:paraId="288231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400</w:t>
                  </w:r>
                </w:p>
              </w:tc>
              <w:tc>
                <w:tcPr>
                  <w:tcW w:w="615" w:type="dxa"/>
                  <w:tcBorders>
                    <w:tl2br w:val="nil"/>
                    <w:tr2bl w:val="nil"/>
                  </w:tcBorders>
                  <w:noWrap/>
                  <w:vAlign w:val="center"/>
                </w:tcPr>
                <w:p w14:paraId="0A6F04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p>
              </w:tc>
              <w:tc>
                <w:tcPr>
                  <w:tcW w:w="675" w:type="dxa"/>
                  <w:tcBorders>
                    <w:tl2br w:val="nil"/>
                    <w:tr2bl w:val="nil"/>
                  </w:tcBorders>
                  <w:noWrap/>
                  <w:vAlign w:val="center"/>
                </w:tcPr>
                <w:p w14:paraId="696597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20</w:t>
                  </w:r>
                </w:p>
              </w:tc>
              <w:tc>
                <w:tcPr>
                  <w:tcW w:w="630" w:type="dxa"/>
                  <w:tcBorders>
                    <w:tl2br w:val="nil"/>
                    <w:tr2bl w:val="nil"/>
                  </w:tcBorders>
                  <w:noWrap/>
                  <w:vAlign w:val="center"/>
                </w:tcPr>
                <w:p w14:paraId="45C7C9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20</w:t>
                  </w:r>
                </w:p>
              </w:tc>
              <w:tc>
                <w:tcPr>
                  <w:tcW w:w="585" w:type="dxa"/>
                  <w:tcBorders>
                    <w:tl2br w:val="nil"/>
                    <w:tr2bl w:val="nil"/>
                  </w:tcBorders>
                  <w:noWrap/>
                  <w:vAlign w:val="center"/>
                </w:tcPr>
                <w:p w14:paraId="1114E6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20</w:t>
                  </w:r>
                </w:p>
              </w:tc>
              <w:tc>
                <w:tcPr>
                  <w:tcW w:w="652" w:type="dxa"/>
                  <w:tcBorders>
                    <w:tl2br w:val="nil"/>
                    <w:tr2bl w:val="nil"/>
                  </w:tcBorders>
                  <w:noWrap/>
                  <w:vAlign w:val="center"/>
                </w:tcPr>
                <w:p w14:paraId="2A3D76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600" w:type="dxa"/>
                  <w:tcBorders>
                    <w:tl2br w:val="nil"/>
                    <w:tr2bl w:val="nil"/>
                  </w:tcBorders>
                  <w:noWrap/>
                  <w:vAlign w:val="center"/>
                </w:tcPr>
                <w:p w14:paraId="095C4D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100</w:t>
                  </w:r>
                </w:p>
              </w:tc>
              <w:tc>
                <w:tcPr>
                  <w:tcW w:w="638" w:type="dxa"/>
                  <w:tcBorders>
                    <w:tl2br w:val="nil"/>
                    <w:tr2bl w:val="nil"/>
                  </w:tcBorders>
                  <w:noWrap/>
                  <w:vAlign w:val="center"/>
                </w:tcPr>
                <w:p w14:paraId="4D3F8D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434" w:type="dxa"/>
                  <w:tcBorders>
                    <w:tl2br w:val="nil"/>
                    <w:tr2bl w:val="nil"/>
                  </w:tcBorders>
                  <w:noWrap/>
                  <w:vAlign w:val="center"/>
                </w:tcPr>
                <w:p w14:paraId="0F72A2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r>
            <w:tr w14:paraId="573F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581" w:hRule="atLeast"/>
                <w:jc w:val="center"/>
              </w:trPr>
              <w:tc>
                <w:tcPr>
                  <w:tcW w:w="1240" w:type="dxa"/>
                  <w:tcBorders>
                    <w:tl2br w:val="nil"/>
                    <w:tr2bl w:val="nil"/>
                  </w:tcBorders>
                  <w:noWrap/>
                  <w:tcMar>
                    <w:left w:w="0" w:type="dxa"/>
                    <w:right w:w="0" w:type="dxa"/>
                  </w:tcMar>
                  <w:vAlign w:val="center"/>
                </w:tcPr>
                <w:p w14:paraId="0563C4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DB44/1597-2015</w:t>
                  </w:r>
                  <w:r>
                    <w:rPr>
                      <w:rFonts w:hint="eastAsia" w:cs="Times New Roman"/>
                      <w:color w:val="000000" w:themeColor="text1"/>
                      <w:sz w:val="21"/>
                      <w:szCs w:val="21"/>
                      <w:highlight w:val="none"/>
                      <w:lang w:val="en-US" w:eastAsia="zh-CN"/>
                      <w14:textFill>
                        <w14:solidFill>
                          <w14:schemeClr w14:val="tx1"/>
                        </w14:solidFill>
                      </w14:textFill>
                    </w:rPr>
                    <w:t>表1现有项目水污染排放限值-非珠三角</w:t>
                  </w:r>
                </w:p>
              </w:tc>
              <w:tc>
                <w:tcPr>
                  <w:tcW w:w="465" w:type="dxa"/>
                  <w:tcBorders>
                    <w:tl2br w:val="nil"/>
                    <w:tr2bl w:val="nil"/>
                  </w:tcBorders>
                  <w:noWrap/>
                  <w:tcMar>
                    <w:left w:w="0" w:type="dxa"/>
                    <w:right w:w="0" w:type="dxa"/>
                  </w:tcMar>
                  <w:vAlign w:val="center"/>
                </w:tcPr>
                <w:p w14:paraId="28D628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6-9</w:t>
                  </w:r>
                </w:p>
              </w:tc>
              <w:tc>
                <w:tcPr>
                  <w:tcW w:w="660" w:type="dxa"/>
                  <w:tcBorders>
                    <w:tl2br w:val="nil"/>
                    <w:tr2bl w:val="nil"/>
                  </w:tcBorders>
                  <w:noWrap/>
                  <w:tcMar>
                    <w:left w:w="0" w:type="dxa"/>
                    <w:right w:w="0" w:type="dxa"/>
                  </w:tcMar>
                  <w:vAlign w:val="center"/>
                </w:tcPr>
                <w:p w14:paraId="41D8E8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160</w:t>
                  </w:r>
                </w:p>
              </w:tc>
              <w:tc>
                <w:tcPr>
                  <w:tcW w:w="720" w:type="dxa"/>
                  <w:tcBorders>
                    <w:tl2br w:val="nil"/>
                    <w:tr2bl w:val="nil"/>
                  </w:tcBorders>
                  <w:noWrap/>
                  <w:vAlign w:val="center"/>
                </w:tcPr>
                <w:p w14:paraId="010FAB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600" w:type="dxa"/>
                  <w:tcBorders>
                    <w:tl2br w:val="nil"/>
                    <w:tr2bl w:val="nil"/>
                  </w:tcBorders>
                  <w:noWrap/>
                  <w:vAlign w:val="center"/>
                </w:tcPr>
                <w:p w14:paraId="344876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100</w:t>
                  </w:r>
                </w:p>
              </w:tc>
              <w:tc>
                <w:tcPr>
                  <w:tcW w:w="615" w:type="dxa"/>
                  <w:tcBorders>
                    <w:tl2br w:val="nil"/>
                    <w:tr2bl w:val="nil"/>
                  </w:tcBorders>
                  <w:noWrap/>
                  <w:vAlign w:val="center"/>
                </w:tcPr>
                <w:p w14:paraId="7542D3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30</w:t>
                  </w:r>
                </w:p>
              </w:tc>
              <w:tc>
                <w:tcPr>
                  <w:tcW w:w="675" w:type="dxa"/>
                  <w:tcBorders>
                    <w:tl2br w:val="nil"/>
                    <w:tr2bl w:val="nil"/>
                  </w:tcBorders>
                  <w:noWrap/>
                  <w:vAlign w:val="center"/>
                </w:tcPr>
                <w:p w14:paraId="75C749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630" w:type="dxa"/>
                  <w:tcBorders>
                    <w:tl2br w:val="nil"/>
                    <w:tr2bl w:val="nil"/>
                  </w:tcBorders>
                  <w:noWrap/>
                  <w:vAlign w:val="center"/>
                </w:tcPr>
                <w:p w14:paraId="37074F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20</w:t>
                  </w:r>
                </w:p>
              </w:tc>
              <w:tc>
                <w:tcPr>
                  <w:tcW w:w="585" w:type="dxa"/>
                  <w:tcBorders>
                    <w:tl2br w:val="nil"/>
                    <w:tr2bl w:val="nil"/>
                  </w:tcBorders>
                  <w:noWrap/>
                  <w:vAlign w:val="center"/>
                </w:tcPr>
                <w:p w14:paraId="548888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6.0</w:t>
                  </w:r>
                </w:p>
              </w:tc>
              <w:tc>
                <w:tcPr>
                  <w:tcW w:w="652" w:type="dxa"/>
                  <w:tcBorders>
                    <w:tl2br w:val="nil"/>
                    <w:tr2bl w:val="nil"/>
                  </w:tcBorders>
                  <w:noWrap/>
                  <w:vAlign w:val="center"/>
                </w:tcPr>
                <w:p w14:paraId="7041D3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2.0</w:t>
                  </w:r>
                </w:p>
              </w:tc>
              <w:tc>
                <w:tcPr>
                  <w:tcW w:w="600" w:type="dxa"/>
                  <w:tcBorders>
                    <w:tl2br w:val="nil"/>
                    <w:tr2bl w:val="nil"/>
                  </w:tcBorders>
                  <w:noWrap/>
                  <w:vAlign w:val="center"/>
                </w:tcPr>
                <w:p w14:paraId="2855E8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638" w:type="dxa"/>
                  <w:tcBorders>
                    <w:tl2br w:val="nil"/>
                    <w:tr2bl w:val="nil"/>
                  </w:tcBorders>
                  <w:noWrap/>
                  <w:vAlign w:val="center"/>
                </w:tcPr>
                <w:p w14:paraId="6D9E55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2.0</w:t>
                  </w:r>
                </w:p>
              </w:tc>
              <w:tc>
                <w:tcPr>
                  <w:tcW w:w="434" w:type="dxa"/>
                  <w:tcBorders>
                    <w:tl2br w:val="nil"/>
                    <w:tr2bl w:val="nil"/>
                  </w:tcBorders>
                  <w:noWrap/>
                  <w:vAlign w:val="center"/>
                </w:tcPr>
                <w:p w14:paraId="66FB42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40</w:t>
                  </w:r>
                </w:p>
              </w:tc>
            </w:tr>
            <w:tr w14:paraId="6FA4C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5" w:hRule="atLeast"/>
                <w:jc w:val="center"/>
              </w:trPr>
              <w:tc>
                <w:tcPr>
                  <w:tcW w:w="1240" w:type="dxa"/>
                  <w:tcBorders>
                    <w:tl2br w:val="nil"/>
                    <w:tr2bl w:val="nil"/>
                  </w:tcBorders>
                  <w:noWrap/>
                  <w:tcMar>
                    <w:left w:w="0" w:type="dxa"/>
                    <w:right w:w="0" w:type="dxa"/>
                  </w:tcMar>
                  <w:vAlign w:val="center"/>
                </w:tcPr>
                <w:p w14:paraId="6B8379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生活污水排放</w:t>
                  </w:r>
                  <w:r>
                    <w:rPr>
                      <w:rFonts w:hint="default" w:ascii="Times New Roman" w:hAnsi="Times New Roman" w:cs="Times New Roman"/>
                      <w:b/>
                      <w:bCs/>
                      <w:color w:val="000000" w:themeColor="text1"/>
                      <w:sz w:val="21"/>
                      <w:szCs w:val="21"/>
                      <w:highlight w:val="none"/>
                      <w14:textFill>
                        <w14:solidFill>
                          <w14:schemeClr w14:val="tx1"/>
                        </w14:solidFill>
                      </w14:textFill>
                    </w:rPr>
                    <w:t>限值</w:t>
                  </w:r>
                </w:p>
              </w:tc>
              <w:tc>
                <w:tcPr>
                  <w:tcW w:w="465" w:type="dxa"/>
                  <w:tcBorders>
                    <w:tl2br w:val="nil"/>
                    <w:tr2bl w:val="nil"/>
                  </w:tcBorders>
                  <w:noWrap/>
                  <w:tcMar>
                    <w:left w:w="0" w:type="dxa"/>
                    <w:right w:w="0" w:type="dxa"/>
                  </w:tcMar>
                  <w:vAlign w:val="center"/>
                </w:tcPr>
                <w:p w14:paraId="37A4B2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6-9</w:t>
                  </w:r>
                </w:p>
              </w:tc>
              <w:tc>
                <w:tcPr>
                  <w:tcW w:w="660" w:type="dxa"/>
                  <w:tcBorders>
                    <w:tl2br w:val="nil"/>
                    <w:tr2bl w:val="nil"/>
                  </w:tcBorders>
                  <w:noWrap/>
                  <w:tcMar>
                    <w:left w:w="0" w:type="dxa"/>
                    <w:right w:w="0" w:type="dxa"/>
                  </w:tcMar>
                  <w:vAlign w:val="center"/>
                </w:tcPr>
                <w:p w14:paraId="1A3954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300</w:t>
                  </w:r>
                </w:p>
              </w:tc>
              <w:tc>
                <w:tcPr>
                  <w:tcW w:w="720" w:type="dxa"/>
                  <w:tcBorders>
                    <w:tl2br w:val="nil"/>
                    <w:tr2bl w:val="nil"/>
                  </w:tcBorders>
                  <w:noWrap/>
                  <w:vAlign w:val="center"/>
                </w:tcPr>
                <w:p w14:paraId="1FA773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150</w:t>
                  </w:r>
                </w:p>
              </w:tc>
              <w:tc>
                <w:tcPr>
                  <w:tcW w:w="600" w:type="dxa"/>
                  <w:tcBorders>
                    <w:tl2br w:val="nil"/>
                    <w:tr2bl w:val="nil"/>
                  </w:tcBorders>
                  <w:noWrap/>
                  <w:vAlign w:val="center"/>
                </w:tcPr>
                <w:p w14:paraId="0E645F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250</w:t>
                  </w:r>
                </w:p>
              </w:tc>
              <w:tc>
                <w:tcPr>
                  <w:tcW w:w="615" w:type="dxa"/>
                  <w:tcBorders>
                    <w:tl2br w:val="nil"/>
                    <w:tr2bl w:val="nil"/>
                  </w:tcBorders>
                  <w:noWrap/>
                  <w:vAlign w:val="center"/>
                </w:tcPr>
                <w:p w14:paraId="720EF4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40</w:t>
                  </w:r>
                </w:p>
              </w:tc>
              <w:tc>
                <w:tcPr>
                  <w:tcW w:w="675" w:type="dxa"/>
                  <w:tcBorders>
                    <w:tl2br w:val="nil"/>
                    <w:tr2bl w:val="nil"/>
                  </w:tcBorders>
                  <w:noWrap/>
                  <w:vAlign w:val="center"/>
                </w:tcPr>
                <w:p w14:paraId="06E32C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20</w:t>
                  </w:r>
                </w:p>
              </w:tc>
              <w:tc>
                <w:tcPr>
                  <w:tcW w:w="630" w:type="dxa"/>
                  <w:tcBorders>
                    <w:tl2br w:val="nil"/>
                    <w:tr2bl w:val="nil"/>
                  </w:tcBorders>
                  <w:noWrap/>
                  <w:vAlign w:val="center"/>
                </w:tcPr>
                <w:p w14:paraId="485453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20</w:t>
                  </w:r>
                </w:p>
              </w:tc>
              <w:tc>
                <w:tcPr>
                  <w:tcW w:w="585" w:type="dxa"/>
                  <w:tcBorders>
                    <w:tl2br w:val="nil"/>
                    <w:tr2bl w:val="nil"/>
                  </w:tcBorders>
                  <w:noWrap/>
                  <w:vAlign w:val="center"/>
                </w:tcPr>
                <w:p w14:paraId="38941D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20</w:t>
                  </w:r>
                </w:p>
              </w:tc>
              <w:tc>
                <w:tcPr>
                  <w:tcW w:w="652" w:type="dxa"/>
                  <w:tcBorders>
                    <w:tl2br w:val="nil"/>
                    <w:tr2bl w:val="nil"/>
                  </w:tcBorders>
                  <w:noWrap/>
                  <w:vAlign w:val="center"/>
                </w:tcPr>
                <w:p w14:paraId="30E408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w:t>
                  </w:r>
                </w:p>
              </w:tc>
              <w:tc>
                <w:tcPr>
                  <w:tcW w:w="600" w:type="dxa"/>
                  <w:tcBorders>
                    <w:tl2br w:val="nil"/>
                    <w:tr2bl w:val="nil"/>
                  </w:tcBorders>
                  <w:noWrap/>
                  <w:vAlign w:val="center"/>
                </w:tcPr>
                <w:p w14:paraId="12DD54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100</w:t>
                  </w:r>
                </w:p>
              </w:tc>
              <w:tc>
                <w:tcPr>
                  <w:tcW w:w="638" w:type="dxa"/>
                  <w:tcBorders>
                    <w:tl2br w:val="nil"/>
                    <w:tr2bl w:val="nil"/>
                  </w:tcBorders>
                  <w:noWrap/>
                  <w:vAlign w:val="center"/>
                </w:tcPr>
                <w:p w14:paraId="6B1DB4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w:t>
                  </w:r>
                </w:p>
              </w:tc>
              <w:tc>
                <w:tcPr>
                  <w:tcW w:w="434" w:type="dxa"/>
                  <w:tcBorders>
                    <w:tl2br w:val="nil"/>
                    <w:tr2bl w:val="nil"/>
                  </w:tcBorders>
                  <w:noWrap/>
                  <w:vAlign w:val="center"/>
                </w:tcPr>
                <w:p w14:paraId="527F72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w:t>
                  </w:r>
                </w:p>
              </w:tc>
            </w:tr>
            <w:tr w14:paraId="11FB5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1240" w:type="dxa"/>
                  <w:tcBorders>
                    <w:tl2br w:val="nil"/>
                    <w:tr2bl w:val="nil"/>
                  </w:tcBorders>
                  <w:noWrap/>
                  <w:tcMar>
                    <w:left w:w="0" w:type="dxa"/>
                    <w:right w:w="0" w:type="dxa"/>
                  </w:tcMar>
                  <w:vAlign w:val="center"/>
                </w:tcPr>
                <w:p w14:paraId="3FFB8D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生产废水排放</w:t>
                  </w:r>
                  <w:r>
                    <w:rPr>
                      <w:rFonts w:hint="default" w:ascii="Times New Roman" w:hAnsi="Times New Roman" w:cs="Times New Roman"/>
                      <w:b/>
                      <w:bCs/>
                      <w:color w:val="000000" w:themeColor="text1"/>
                      <w:sz w:val="21"/>
                      <w:szCs w:val="21"/>
                      <w:highlight w:val="none"/>
                      <w14:textFill>
                        <w14:solidFill>
                          <w14:schemeClr w14:val="tx1"/>
                        </w14:solidFill>
                      </w14:textFill>
                    </w:rPr>
                    <w:t>限值</w:t>
                  </w:r>
                </w:p>
              </w:tc>
              <w:tc>
                <w:tcPr>
                  <w:tcW w:w="465" w:type="dxa"/>
                  <w:tcBorders>
                    <w:tl2br w:val="nil"/>
                    <w:tr2bl w:val="nil"/>
                  </w:tcBorders>
                  <w:noWrap/>
                  <w:tcMar>
                    <w:left w:w="0" w:type="dxa"/>
                    <w:right w:w="0" w:type="dxa"/>
                  </w:tcMar>
                  <w:vAlign w:val="center"/>
                </w:tcPr>
                <w:p w14:paraId="62C42E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6-9</w:t>
                  </w:r>
                </w:p>
              </w:tc>
              <w:tc>
                <w:tcPr>
                  <w:tcW w:w="660" w:type="dxa"/>
                  <w:tcBorders>
                    <w:tl2br w:val="nil"/>
                    <w:tr2bl w:val="nil"/>
                  </w:tcBorders>
                  <w:noWrap/>
                  <w:tcMar>
                    <w:left w:w="0" w:type="dxa"/>
                    <w:right w:w="0" w:type="dxa"/>
                  </w:tcMar>
                  <w:vAlign w:val="center"/>
                </w:tcPr>
                <w:p w14:paraId="2B603B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eastAsia" w:ascii="Times New Roman" w:hAnsi="Times New Roman" w:cs="Times New Roman"/>
                      <w:b/>
                      <w:bCs/>
                      <w:color w:val="000000" w:themeColor="text1"/>
                      <w:kern w:val="2"/>
                      <w:sz w:val="21"/>
                      <w:szCs w:val="21"/>
                      <w:highlight w:val="none"/>
                      <w:lang w:val="en-US" w:eastAsia="zh-CN" w:bidi="ar-SA"/>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160</w:t>
                  </w:r>
                </w:p>
              </w:tc>
              <w:tc>
                <w:tcPr>
                  <w:tcW w:w="720" w:type="dxa"/>
                  <w:tcBorders>
                    <w:tl2br w:val="nil"/>
                    <w:tr2bl w:val="nil"/>
                  </w:tcBorders>
                  <w:noWrap/>
                  <w:vAlign w:val="center"/>
                </w:tcPr>
                <w:p w14:paraId="62B510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150</w:t>
                  </w:r>
                </w:p>
              </w:tc>
              <w:tc>
                <w:tcPr>
                  <w:tcW w:w="600" w:type="dxa"/>
                  <w:tcBorders>
                    <w:tl2br w:val="nil"/>
                    <w:tr2bl w:val="nil"/>
                  </w:tcBorders>
                  <w:noWrap/>
                  <w:vAlign w:val="center"/>
                </w:tcPr>
                <w:p w14:paraId="147101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cs="Times New Roman"/>
                      <w:b/>
                      <w:bCs/>
                      <w:color w:val="000000" w:themeColor="text1"/>
                      <w:kern w:val="2"/>
                      <w:sz w:val="21"/>
                      <w:szCs w:val="21"/>
                      <w:highlight w:val="none"/>
                      <w:lang w:val="en-US" w:eastAsia="zh-CN" w:bidi="ar-SA"/>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100</w:t>
                  </w:r>
                </w:p>
              </w:tc>
              <w:tc>
                <w:tcPr>
                  <w:tcW w:w="615" w:type="dxa"/>
                  <w:tcBorders>
                    <w:tl2br w:val="nil"/>
                    <w:tr2bl w:val="nil"/>
                  </w:tcBorders>
                  <w:noWrap/>
                  <w:vAlign w:val="center"/>
                </w:tcPr>
                <w:p w14:paraId="5A5F06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cs="Times New Roman"/>
                      <w:b/>
                      <w:bCs/>
                      <w:color w:val="000000" w:themeColor="text1"/>
                      <w:kern w:val="2"/>
                      <w:sz w:val="21"/>
                      <w:szCs w:val="21"/>
                      <w:highlight w:val="none"/>
                      <w:lang w:val="en-US" w:eastAsia="zh-CN" w:bidi="ar-SA"/>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30</w:t>
                  </w:r>
                </w:p>
              </w:tc>
              <w:tc>
                <w:tcPr>
                  <w:tcW w:w="675" w:type="dxa"/>
                  <w:tcBorders>
                    <w:tl2br w:val="nil"/>
                    <w:tr2bl w:val="nil"/>
                  </w:tcBorders>
                  <w:noWrap/>
                  <w:vAlign w:val="center"/>
                </w:tcPr>
                <w:p w14:paraId="4BB8CE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20</w:t>
                  </w:r>
                </w:p>
              </w:tc>
              <w:tc>
                <w:tcPr>
                  <w:tcW w:w="630" w:type="dxa"/>
                  <w:tcBorders>
                    <w:tl2br w:val="nil"/>
                    <w:tr2bl w:val="nil"/>
                  </w:tcBorders>
                  <w:noWrap/>
                  <w:vAlign w:val="center"/>
                </w:tcPr>
                <w:p w14:paraId="3677FD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eastAsia" w:ascii="Times New Roman" w:hAnsi="Times New Roman" w:cs="Times New Roman"/>
                      <w:b/>
                      <w:bCs/>
                      <w:color w:val="000000" w:themeColor="text1"/>
                      <w:kern w:val="2"/>
                      <w:sz w:val="21"/>
                      <w:szCs w:val="21"/>
                      <w:highlight w:val="none"/>
                      <w:lang w:val="en-US" w:eastAsia="zh-CN" w:bidi="ar-SA"/>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20</w:t>
                  </w:r>
                </w:p>
              </w:tc>
              <w:tc>
                <w:tcPr>
                  <w:tcW w:w="585" w:type="dxa"/>
                  <w:tcBorders>
                    <w:tl2br w:val="nil"/>
                    <w:tr2bl w:val="nil"/>
                  </w:tcBorders>
                  <w:noWrap/>
                  <w:vAlign w:val="center"/>
                </w:tcPr>
                <w:p w14:paraId="165EA8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eastAsia"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6.0</w:t>
                  </w:r>
                </w:p>
              </w:tc>
              <w:tc>
                <w:tcPr>
                  <w:tcW w:w="652" w:type="dxa"/>
                  <w:tcBorders>
                    <w:tl2br w:val="nil"/>
                    <w:tr2bl w:val="nil"/>
                  </w:tcBorders>
                  <w:noWrap/>
                  <w:vAlign w:val="center"/>
                </w:tcPr>
                <w:p w14:paraId="6060C4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eastAsia" w:ascii="Times New Roman" w:hAnsi="Times New Roman" w:cs="Times New Roman"/>
                      <w:b/>
                      <w:bCs/>
                      <w:color w:val="000000" w:themeColor="text1"/>
                      <w:kern w:val="2"/>
                      <w:sz w:val="21"/>
                      <w:szCs w:val="21"/>
                      <w:highlight w:val="none"/>
                      <w:lang w:val="en-US" w:eastAsia="zh-CN" w:bidi="ar-SA"/>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2.0</w:t>
                  </w:r>
                </w:p>
              </w:tc>
              <w:tc>
                <w:tcPr>
                  <w:tcW w:w="600" w:type="dxa"/>
                  <w:tcBorders>
                    <w:tl2br w:val="nil"/>
                    <w:tr2bl w:val="nil"/>
                  </w:tcBorders>
                  <w:noWrap/>
                  <w:vAlign w:val="center"/>
                </w:tcPr>
                <w:p w14:paraId="5DBD8E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w:t>
                  </w:r>
                </w:p>
              </w:tc>
              <w:tc>
                <w:tcPr>
                  <w:tcW w:w="638" w:type="dxa"/>
                  <w:tcBorders>
                    <w:tl2br w:val="nil"/>
                    <w:tr2bl w:val="nil"/>
                  </w:tcBorders>
                  <w:noWrap/>
                  <w:vAlign w:val="center"/>
                </w:tcPr>
                <w:p w14:paraId="16B6AE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2.0</w:t>
                  </w:r>
                </w:p>
              </w:tc>
              <w:tc>
                <w:tcPr>
                  <w:tcW w:w="434" w:type="dxa"/>
                  <w:tcBorders>
                    <w:tl2br w:val="nil"/>
                    <w:tr2bl w:val="nil"/>
                  </w:tcBorders>
                  <w:noWrap/>
                  <w:vAlign w:val="center"/>
                </w:tcPr>
                <w:p w14:paraId="65C1CE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40</w:t>
                  </w:r>
                </w:p>
              </w:tc>
            </w:tr>
            <w:tr w14:paraId="0E630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8514" w:type="dxa"/>
                  <w:gridSpan w:val="13"/>
                  <w:tcBorders>
                    <w:tl2br w:val="nil"/>
                    <w:tr2bl w:val="nil"/>
                  </w:tcBorders>
                  <w:noWrap/>
                  <w:tcMar>
                    <w:left w:w="0" w:type="dxa"/>
                    <w:right w:w="0" w:type="dxa"/>
                  </w:tcMar>
                  <w:vAlign w:val="center"/>
                </w:tcPr>
                <w:p w14:paraId="743C6E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both"/>
                    <w:textAlignment w:val="auto"/>
                    <w:rPr>
                      <w:rFonts w:hint="default" w:cs="Times New Roman"/>
                      <w:b/>
                      <w:bCs/>
                      <w:color w:val="000000" w:themeColor="text1"/>
                      <w:sz w:val="21"/>
                      <w:szCs w:val="21"/>
                      <w:highlight w:val="none"/>
                      <w:lang w:val="en-US" w:eastAsia="zh-CN"/>
                      <w14:textFill>
                        <w14:solidFill>
                          <w14:schemeClr w14:val="tx1"/>
                        </w14:solidFill>
                      </w14:textFill>
                    </w:rPr>
                  </w:pPr>
                  <w:r>
                    <w:rPr>
                      <w:rFonts w:hint="eastAsia" w:cs="Times New Roman"/>
                      <w:color w:val="000000" w:themeColor="text1"/>
                      <w:kern w:val="2"/>
                      <w:sz w:val="24"/>
                      <w:szCs w:val="24"/>
                      <w:highlight w:val="none"/>
                      <w:lang w:val="en-US" w:eastAsia="zh-CN" w:bidi="ar-SA"/>
                      <w14:textFill>
                        <w14:solidFill>
                          <w14:schemeClr w14:val="tx1"/>
                        </w14:solidFill>
                      </w14:textFill>
                    </w:rPr>
                    <w:t>注：</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为预防和控制含重金废水对下游纳污河段的影响，根据有关专家和主管部门的建议，重金属离子参照废水直接排放标准执行，即按《电镀水污染物排放标准》（DB44/1597-2015）表2新建项目水污染物排放限值-非珠三角地区执行。</w:t>
                  </w:r>
                </w:p>
              </w:tc>
            </w:tr>
          </w:tbl>
          <w:p w14:paraId="4313CB64">
            <w:pPr>
              <w:numPr>
                <w:ilvl w:val="0"/>
                <w:numId w:val="14"/>
              </w:numPr>
              <w:spacing w:line="240" w:lineRule="auto"/>
              <w:ind w:left="0" w:leftChars="0" w:firstLine="40" w:firstLineChars="0"/>
              <w:jc w:val="cente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b/>
                <w:bCs/>
                <w:color w:val="000000" w:themeColor="text1"/>
                <w:sz w:val="21"/>
                <w:szCs w:val="21"/>
                <w:highlight w:val="none"/>
                <w14:textFill>
                  <w14:solidFill>
                    <w14:schemeClr w14:val="tx1"/>
                  </w14:solidFill>
                </w14:textFill>
              </w:rPr>
              <w:t>园区污水处理厂水污染物排放限值（摘录）</w:t>
            </w:r>
            <w:r>
              <w:rPr>
                <w:rFonts w:hint="eastAsia" w:cs="Times New Roman"/>
                <w:b/>
                <w:bCs/>
                <w:color w:val="000000" w:themeColor="text1"/>
                <w:sz w:val="21"/>
                <w:szCs w:val="21"/>
                <w:highlight w:val="none"/>
                <w:lang w:val="en-US" w:eastAsia="zh-CN"/>
                <w14:textFill>
                  <w14:solidFill>
                    <w14:schemeClr w14:val="tx1"/>
                  </w14:solidFill>
                </w14:textFill>
              </w:rPr>
              <w:t xml:space="preserve"> 单位：</w:t>
            </w:r>
            <w:r>
              <w:rPr>
                <w:rFonts w:hint="default" w:ascii="Times New Roman" w:hAnsi="Times New Roman" w:cs="Times New Roman"/>
                <w:b/>
                <w:bCs/>
                <w:color w:val="000000" w:themeColor="text1"/>
                <w:sz w:val="21"/>
                <w:szCs w:val="21"/>
                <w:highlight w:val="none"/>
                <w14:textFill>
                  <w14:solidFill>
                    <w14:schemeClr w14:val="tx1"/>
                  </w14:solidFill>
                </w14:textFill>
              </w:rPr>
              <w:t>mg/L</w:t>
            </w:r>
            <w:r>
              <w:rPr>
                <w:rFonts w:hint="default" w:ascii="Times New Roman" w:hAnsi="Times New Roman" w:cs="Times New Roman"/>
                <w:b/>
                <w:bCs/>
                <w:color w:val="000000" w:themeColor="text1"/>
                <w:sz w:val="21"/>
                <w:szCs w:val="21"/>
                <w:highlight w:val="none"/>
                <w:lang w:eastAsia="zh-CN"/>
                <w14:textFill>
                  <w14:solidFill>
                    <w14:schemeClr w14:val="tx1"/>
                  </w14:solidFill>
                </w14:textFill>
              </w:rPr>
              <w:t>，</w:t>
            </w:r>
            <w:r>
              <w:rPr>
                <w:rFonts w:hint="default" w:ascii="Times New Roman" w:hAnsi="Times New Roman" w:cs="Times New Roman"/>
                <w:b/>
                <w:bCs/>
                <w:color w:val="000000" w:themeColor="text1"/>
                <w:sz w:val="21"/>
                <w:szCs w:val="21"/>
                <w:highlight w:val="none"/>
                <w14:textFill>
                  <w14:solidFill>
                    <w14:schemeClr w14:val="tx1"/>
                  </w14:solidFill>
                </w14:textFill>
              </w:rPr>
              <w:t>pH为无量纲</w:t>
            </w:r>
          </w:p>
          <w:tbl>
            <w:tblPr>
              <w:tblStyle w:val="4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817"/>
              <w:gridCol w:w="806"/>
              <w:gridCol w:w="643"/>
              <w:gridCol w:w="1014"/>
              <w:gridCol w:w="1920"/>
              <w:gridCol w:w="1353"/>
            </w:tblGrid>
            <w:tr w14:paraId="4D002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064" w:type="pct"/>
                  <w:tcBorders>
                    <w:bottom w:val="single" w:color="auto" w:sz="4" w:space="0"/>
                    <w:tl2br w:val="nil"/>
                    <w:tr2bl w:val="nil"/>
                  </w:tcBorders>
                  <w:noWrap/>
                  <w:tcMar>
                    <w:left w:w="0" w:type="dxa"/>
                    <w:right w:w="0" w:type="dxa"/>
                  </w:tcMar>
                  <w:vAlign w:val="center"/>
                </w:tcPr>
                <w:p w14:paraId="413A59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污染物</w:t>
                  </w:r>
                </w:p>
              </w:tc>
              <w:tc>
                <w:tcPr>
                  <w:tcW w:w="491" w:type="pct"/>
                  <w:tcBorders>
                    <w:bottom w:val="single" w:color="auto" w:sz="4" w:space="0"/>
                    <w:tl2br w:val="nil"/>
                    <w:tr2bl w:val="nil"/>
                  </w:tcBorders>
                  <w:noWrap/>
                  <w:tcMar>
                    <w:left w:w="0" w:type="dxa"/>
                    <w:right w:w="0" w:type="dxa"/>
                  </w:tcMar>
                  <w:vAlign w:val="center"/>
                </w:tcPr>
                <w:p w14:paraId="62239A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vertAlign w:val="subscript"/>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COD</w:t>
                  </w:r>
                  <w:r>
                    <w:rPr>
                      <w:rFonts w:hint="default" w:ascii="Times New Roman" w:hAnsi="Times New Roman" w:cs="Times New Roman"/>
                      <w:b/>
                      <w:bCs/>
                      <w:color w:val="000000" w:themeColor="text1"/>
                      <w:sz w:val="21"/>
                      <w:szCs w:val="21"/>
                      <w:highlight w:val="none"/>
                      <w:vertAlign w:val="subscript"/>
                      <w14:textFill>
                        <w14:solidFill>
                          <w14:schemeClr w14:val="tx1"/>
                        </w14:solidFill>
                      </w14:textFill>
                    </w:rPr>
                    <w:t>Cr</w:t>
                  </w:r>
                </w:p>
              </w:tc>
              <w:tc>
                <w:tcPr>
                  <w:tcW w:w="484" w:type="pct"/>
                  <w:tcBorders>
                    <w:bottom w:val="single" w:color="auto" w:sz="4" w:space="0"/>
                    <w:tl2br w:val="nil"/>
                    <w:tr2bl w:val="nil"/>
                  </w:tcBorders>
                  <w:noWrap/>
                  <w:vAlign w:val="center"/>
                </w:tcPr>
                <w:p w14:paraId="271B2E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vertAlign w:val="subscript"/>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BOD</w:t>
                  </w:r>
                  <w:r>
                    <w:rPr>
                      <w:rFonts w:hint="default" w:ascii="Times New Roman" w:hAnsi="Times New Roman" w:cs="Times New Roman"/>
                      <w:b/>
                      <w:bCs/>
                      <w:color w:val="000000" w:themeColor="text1"/>
                      <w:sz w:val="21"/>
                      <w:szCs w:val="21"/>
                      <w:highlight w:val="none"/>
                      <w:vertAlign w:val="subscript"/>
                      <w14:textFill>
                        <w14:solidFill>
                          <w14:schemeClr w14:val="tx1"/>
                        </w14:solidFill>
                      </w14:textFill>
                    </w:rPr>
                    <w:t>5</w:t>
                  </w:r>
                </w:p>
              </w:tc>
              <w:tc>
                <w:tcPr>
                  <w:tcW w:w="386" w:type="pct"/>
                  <w:tcBorders>
                    <w:bottom w:val="single" w:color="auto" w:sz="4" w:space="0"/>
                    <w:tl2br w:val="nil"/>
                    <w:tr2bl w:val="nil"/>
                  </w:tcBorders>
                  <w:noWrap/>
                  <w:vAlign w:val="center"/>
                </w:tcPr>
                <w:p w14:paraId="0A5A37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SS</w:t>
                  </w:r>
                </w:p>
              </w:tc>
              <w:tc>
                <w:tcPr>
                  <w:tcW w:w="609" w:type="pct"/>
                  <w:tcBorders>
                    <w:bottom w:val="single" w:color="auto" w:sz="4" w:space="0"/>
                    <w:tl2br w:val="nil"/>
                    <w:tr2bl w:val="nil"/>
                  </w:tcBorders>
                  <w:noWrap/>
                  <w:vAlign w:val="center"/>
                </w:tcPr>
                <w:p w14:paraId="22E6DC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氨氮</w:t>
                  </w:r>
                </w:p>
              </w:tc>
              <w:tc>
                <w:tcPr>
                  <w:tcW w:w="1153" w:type="pct"/>
                  <w:tcBorders>
                    <w:bottom w:val="single" w:color="auto" w:sz="4" w:space="0"/>
                    <w:tl2br w:val="nil"/>
                    <w:tr2bl w:val="nil"/>
                  </w:tcBorders>
                  <w:noWrap/>
                  <w:vAlign w:val="center"/>
                </w:tcPr>
                <w:p w14:paraId="43E40D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阴离子表面活性剂</w:t>
                  </w:r>
                </w:p>
              </w:tc>
              <w:tc>
                <w:tcPr>
                  <w:tcW w:w="810" w:type="pct"/>
                  <w:tcBorders>
                    <w:bottom w:val="single" w:color="auto" w:sz="4" w:space="0"/>
                    <w:tl2br w:val="nil"/>
                    <w:tr2bl w:val="nil"/>
                  </w:tcBorders>
                  <w:noWrap/>
                  <w:vAlign w:val="center"/>
                </w:tcPr>
                <w:p w14:paraId="4AC7CC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动植物油</w:t>
                  </w:r>
                </w:p>
              </w:tc>
            </w:tr>
            <w:tr w14:paraId="1BCA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064"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7E69D8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DB44/26-2001第二时段一级排放标准</w:t>
                  </w:r>
                </w:p>
              </w:tc>
              <w:tc>
                <w:tcPr>
                  <w:tcW w:w="491"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63726D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40</w:t>
                  </w:r>
                </w:p>
              </w:tc>
              <w:tc>
                <w:tcPr>
                  <w:tcW w:w="484" w:type="pct"/>
                  <w:tcBorders>
                    <w:top w:val="single" w:color="auto" w:sz="4" w:space="0"/>
                    <w:left w:val="single" w:color="auto" w:sz="4" w:space="0"/>
                    <w:bottom w:val="single" w:color="auto" w:sz="4" w:space="0"/>
                    <w:right w:val="single" w:color="auto" w:sz="4" w:space="0"/>
                    <w:tl2br w:val="nil"/>
                    <w:tr2bl w:val="nil"/>
                  </w:tcBorders>
                  <w:noWrap/>
                  <w:vAlign w:val="center"/>
                </w:tcPr>
                <w:p w14:paraId="3A7F27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20</w:t>
                  </w:r>
                </w:p>
              </w:tc>
              <w:tc>
                <w:tcPr>
                  <w:tcW w:w="386" w:type="pct"/>
                  <w:tcBorders>
                    <w:top w:val="single" w:color="auto" w:sz="4" w:space="0"/>
                    <w:left w:val="single" w:color="auto" w:sz="4" w:space="0"/>
                    <w:bottom w:val="single" w:color="auto" w:sz="4" w:space="0"/>
                    <w:right w:val="single" w:color="auto" w:sz="4" w:space="0"/>
                    <w:tl2br w:val="nil"/>
                    <w:tr2bl w:val="nil"/>
                  </w:tcBorders>
                  <w:noWrap/>
                  <w:vAlign w:val="center"/>
                </w:tcPr>
                <w:p w14:paraId="3273C4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20</w:t>
                  </w:r>
                </w:p>
              </w:tc>
              <w:tc>
                <w:tcPr>
                  <w:tcW w:w="609" w:type="pct"/>
                  <w:tcBorders>
                    <w:top w:val="single" w:color="auto" w:sz="4" w:space="0"/>
                    <w:left w:val="single" w:color="auto" w:sz="4" w:space="0"/>
                    <w:bottom w:val="single" w:color="auto" w:sz="4" w:space="0"/>
                    <w:right w:val="single" w:color="auto" w:sz="4" w:space="0"/>
                    <w:tl2br w:val="nil"/>
                    <w:tr2bl w:val="nil"/>
                  </w:tcBorders>
                  <w:noWrap/>
                  <w:vAlign w:val="center"/>
                </w:tcPr>
                <w:p w14:paraId="202183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10</w:t>
                  </w:r>
                </w:p>
              </w:tc>
              <w:tc>
                <w:tcPr>
                  <w:tcW w:w="1153" w:type="pct"/>
                  <w:tcBorders>
                    <w:top w:val="single" w:color="auto" w:sz="4" w:space="0"/>
                    <w:left w:val="single" w:color="auto" w:sz="4" w:space="0"/>
                    <w:bottom w:val="single" w:color="auto" w:sz="4" w:space="0"/>
                    <w:right w:val="single" w:color="auto" w:sz="4" w:space="0"/>
                    <w:tl2br w:val="nil"/>
                    <w:tr2bl w:val="nil"/>
                  </w:tcBorders>
                  <w:noWrap/>
                  <w:vAlign w:val="center"/>
                </w:tcPr>
                <w:p w14:paraId="735A76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5.0</w:t>
                  </w:r>
                </w:p>
              </w:tc>
              <w:tc>
                <w:tcPr>
                  <w:tcW w:w="810" w:type="pct"/>
                  <w:tcBorders>
                    <w:top w:val="single" w:color="auto" w:sz="4" w:space="0"/>
                    <w:left w:val="single" w:color="auto" w:sz="4" w:space="0"/>
                    <w:bottom w:val="single" w:color="auto" w:sz="4" w:space="0"/>
                    <w:right w:val="single" w:color="auto" w:sz="4" w:space="0"/>
                    <w:tl2br w:val="nil"/>
                    <w:tr2bl w:val="nil"/>
                  </w:tcBorders>
                  <w:noWrap/>
                  <w:vAlign w:val="center"/>
                </w:tcPr>
                <w:p w14:paraId="7DD928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10</w:t>
                  </w:r>
                </w:p>
              </w:tc>
            </w:tr>
            <w:tr w14:paraId="65E93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064"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1655A8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GB18918-2002一级B标准</w:t>
                  </w:r>
                </w:p>
              </w:tc>
              <w:tc>
                <w:tcPr>
                  <w:tcW w:w="491"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44B81F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60</w:t>
                  </w:r>
                </w:p>
              </w:tc>
              <w:tc>
                <w:tcPr>
                  <w:tcW w:w="484" w:type="pct"/>
                  <w:tcBorders>
                    <w:top w:val="single" w:color="auto" w:sz="4" w:space="0"/>
                    <w:left w:val="single" w:color="auto" w:sz="4" w:space="0"/>
                    <w:bottom w:val="single" w:color="auto" w:sz="4" w:space="0"/>
                    <w:right w:val="single" w:color="auto" w:sz="4" w:space="0"/>
                    <w:tl2br w:val="nil"/>
                    <w:tr2bl w:val="nil"/>
                  </w:tcBorders>
                  <w:noWrap/>
                  <w:vAlign w:val="center"/>
                </w:tcPr>
                <w:p w14:paraId="0EB22A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20</w:t>
                  </w:r>
                </w:p>
              </w:tc>
              <w:tc>
                <w:tcPr>
                  <w:tcW w:w="386" w:type="pct"/>
                  <w:tcBorders>
                    <w:top w:val="single" w:color="auto" w:sz="4" w:space="0"/>
                    <w:left w:val="single" w:color="auto" w:sz="4" w:space="0"/>
                    <w:bottom w:val="single" w:color="auto" w:sz="4" w:space="0"/>
                    <w:right w:val="single" w:color="auto" w:sz="4" w:space="0"/>
                    <w:tl2br w:val="nil"/>
                    <w:tr2bl w:val="nil"/>
                  </w:tcBorders>
                  <w:noWrap/>
                  <w:vAlign w:val="center"/>
                </w:tcPr>
                <w:p w14:paraId="013ACB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20</w:t>
                  </w:r>
                </w:p>
              </w:tc>
              <w:tc>
                <w:tcPr>
                  <w:tcW w:w="609" w:type="pct"/>
                  <w:tcBorders>
                    <w:top w:val="single" w:color="auto" w:sz="4" w:space="0"/>
                    <w:left w:val="single" w:color="auto" w:sz="4" w:space="0"/>
                    <w:bottom w:val="single" w:color="auto" w:sz="4" w:space="0"/>
                    <w:right w:val="single" w:color="auto" w:sz="4" w:space="0"/>
                    <w:tl2br w:val="nil"/>
                    <w:tr2bl w:val="nil"/>
                  </w:tcBorders>
                  <w:noWrap/>
                  <w:vAlign w:val="center"/>
                </w:tcPr>
                <w:p w14:paraId="305BCD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8(15</w:t>
                  </w:r>
                  <w:r>
                    <w:rPr>
                      <w:rFonts w:hint="default" w:ascii="Times New Roman" w:hAnsi="Times New Roman" w:cs="Times New Roman"/>
                      <w:color w:val="000000" w:themeColor="text1"/>
                      <w:sz w:val="21"/>
                      <w:szCs w:val="21"/>
                      <w:highlight w:val="none"/>
                      <w:vertAlign w:val="superscript"/>
                      <w14:textFill>
                        <w14:solidFill>
                          <w14:schemeClr w14:val="tx1"/>
                        </w14:solidFill>
                      </w14:textFill>
                    </w:rPr>
                    <w:t>①</w:t>
                  </w:r>
                  <w:r>
                    <w:rPr>
                      <w:rFonts w:hint="default" w:ascii="Times New Roman" w:hAnsi="Times New Roman" w:cs="Times New Roman"/>
                      <w:color w:val="000000" w:themeColor="text1"/>
                      <w:sz w:val="21"/>
                      <w:szCs w:val="21"/>
                      <w:highlight w:val="none"/>
                      <w14:textFill>
                        <w14:solidFill>
                          <w14:schemeClr w14:val="tx1"/>
                        </w14:solidFill>
                      </w14:textFill>
                    </w:rPr>
                    <w:t>)</w:t>
                  </w:r>
                </w:p>
              </w:tc>
              <w:tc>
                <w:tcPr>
                  <w:tcW w:w="1153" w:type="pct"/>
                  <w:tcBorders>
                    <w:top w:val="single" w:color="auto" w:sz="4" w:space="0"/>
                    <w:left w:val="single" w:color="auto" w:sz="4" w:space="0"/>
                    <w:bottom w:val="single" w:color="auto" w:sz="4" w:space="0"/>
                    <w:right w:val="single" w:color="auto" w:sz="4" w:space="0"/>
                    <w:tl2br w:val="nil"/>
                    <w:tr2bl w:val="nil"/>
                  </w:tcBorders>
                  <w:noWrap/>
                  <w:vAlign w:val="center"/>
                </w:tcPr>
                <w:p w14:paraId="6FEEE0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1.0</w:t>
                  </w:r>
                </w:p>
              </w:tc>
              <w:tc>
                <w:tcPr>
                  <w:tcW w:w="810" w:type="pct"/>
                  <w:tcBorders>
                    <w:top w:val="single" w:color="auto" w:sz="4" w:space="0"/>
                    <w:left w:val="single" w:color="auto" w:sz="4" w:space="0"/>
                    <w:bottom w:val="single" w:color="auto" w:sz="4" w:space="0"/>
                    <w:right w:val="single" w:color="auto" w:sz="4" w:space="0"/>
                    <w:tl2br w:val="nil"/>
                    <w:tr2bl w:val="nil"/>
                  </w:tcBorders>
                  <w:noWrap/>
                  <w:vAlign w:val="center"/>
                </w:tcPr>
                <w:p w14:paraId="354861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3.0</w:t>
                  </w:r>
                </w:p>
              </w:tc>
            </w:tr>
            <w:tr w14:paraId="35993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064"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2BDB7B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执行限值</w:t>
                  </w:r>
                </w:p>
              </w:tc>
              <w:tc>
                <w:tcPr>
                  <w:tcW w:w="491"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1CF41B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40</w:t>
                  </w:r>
                </w:p>
              </w:tc>
              <w:tc>
                <w:tcPr>
                  <w:tcW w:w="484" w:type="pct"/>
                  <w:tcBorders>
                    <w:top w:val="single" w:color="auto" w:sz="4" w:space="0"/>
                    <w:left w:val="single" w:color="auto" w:sz="4" w:space="0"/>
                    <w:bottom w:val="single" w:color="auto" w:sz="4" w:space="0"/>
                    <w:right w:val="single" w:color="auto" w:sz="4" w:space="0"/>
                    <w:tl2br w:val="nil"/>
                    <w:tr2bl w:val="nil"/>
                  </w:tcBorders>
                  <w:noWrap/>
                  <w:vAlign w:val="center"/>
                </w:tcPr>
                <w:p w14:paraId="15B79D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20</w:t>
                  </w:r>
                </w:p>
              </w:tc>
              <w:tc>
                <w:tcPr>
                  <w:tcW w:w="386" w:type="pct"/>
                  <w:tcBorders>
                    <w:top w:val="single" w:color="auto" w:sz="4" w:space="0"/>
                    <w:left w:val="single" w:color="auto" w:sz="4" w:space="0"/>
                    <w:bottom w:val="single" w:color="auto" w:sz="4" w:space="0"/>
                    <w:right w:val="single" w:color="auto" w:sz="4" w:space="0"/>
                    <w:tl2br w:val="nil"/>
                    <w:tr2bl w:val="nil"/>
                  </w:tcBorders>
                  <w:noWrap/>
                  <w:vAlign w:val="center"/>
                </w:tcPr>
                <w:p w14:paraId="45B52A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20</w:t>
                  </w:r>
                </w:p>
              </w:tc>
              <w:tc>
                <w:tcPr>
                  <w:tcW w:w="609" w:type="pct"/>
                  <w:tcBorders>
                    <w:top w:val="single" w:color="auto" w:sz="4" w:space="0"/>
                    <w:left w:val="single" w:color="auto" w:sz="4" w:space="0"/>
                    <w:bottom w:val="single" w:color="auto" w:sz="4" w:space="0"/>
                    <w:right w:val="single" w:color="auto" w:sz="4" w:space="0"/>
                    <w:tl2br w:val="nil"/>
                    <w:tr2bl w:val="nil"/>
                  </w:tcBorders>
                  <w:noWrap/>
                  <w:vAlign w:val="center"/>
                </w:tcPr>
                <w:p w14:paraId="5082BF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8</w:t>
                  </w:r>
                </w:p>
              </w:tc>
              <w:tc>
                <w:tcPr>
                  <w:tcW w:w="1153" w:type="pct"/>
                  <w:tcBorders>
                    <w:top w:val="single" w:color="auto" w:sz="4" w:space="0"/>
                    <w:left w:val="single" w:color="auto" w:sz="4" w:space="0"/>
                    <w:bottom w:val="single" w:color="auto" w:sz="4" w:space="0"/>
                    <w:right w:val="single" w:color="auto" w:sz="4" w:space="0"/>
                    <w:tl2br w:val="nil"/>
                    <w:tr2bl w:val="nil"/>
                  </w:tcBorders>
                  <w:noWrap/>
                  <w:vAlign w:val="center"/>
                </w:tcPr>
                <w:p w14:paraId="032A9B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1.0</w:t>
                  </w:r>
                </w:p>
              </w:tc>
              <w:tc>
                <w:tcPr>
                  <w:tcW w:w="810" w:type="pct"/>
                  <w:tcBorders>
                    <w:top w:val="single" w:color="auto" w:sz="4" w:space="0"/>
                    <w:left w:val="single" w:color="auto" w:sz="4" w:space="0"/>
                    <w:bottom w:val="single" w:color="auto" w:sz="4" w:space="0"/>
                    <w:right w:val="single" w:color="auto" w:sz="4" w:space="0"/>
                    <w:tl2br w:val="nil"/>
                    <w:tr2bl w:val="nil"/>
                  </w:tcBorders>
                  <w:noWrap/>
                  <w:vAlign w:val="center"/>
                </w:tcPr>
                <w:p w14:paraId="5DBBC1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3.0</w:t>
                  </w:r>
                </w:p>
              </w:tc>
            </w:tr>
            <w:tr w14:paraId="4E55D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064"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351535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污染物</w:t>
                  </w:r>
                </w:p>
              </w:tc>
              <w:tc>
                <w:tcPr>
                  <w:tcW w:w="491"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034B7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总氮</w:t>
                  </w:r>
                </w:p>
              </w:tc>
              <w:tc>
                <w:tcPr>
                  <w:tcW w:w="484" w:type="pct"/>
                  <w:tcBorders>
                    <w:top w:val="single" w:color="auto" w:sz="4" w:space="0"/>
                    <w:left w:val="single" w:color="auto" w:sz="4" w:space="0"/>
                    <w:bottom w:val="single" w:color="auto" w:sz="4" w:space="0"/>
                    <w:right w:val="single" w:color="auto" w:sz="4" w:space="0"/>
                    <w:tl2br w:val="nil"/>
                    <w:tr2bl w:val="nil"/>
                  </w:tcBorders>
                  <w:noWrap/>
                  <w:vAlign w:val="center"/>
                </w:tcPr>
                <w:p w14:paraId="197B0B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总磷</w:t>
                  </w:r>
                </w:p>
              </w:tc>
              <w:tc>
                <w:tcPr>
                  <w:tcW w:w="386" w:type="pct"/>
                  <w:tcBorders>
                    <w:top w:val="single" w:color="auto" w:sz="4" w:space="0"/>
                    <w:left w:val="single" w:color="auto" w:sz="4" w:space="0"/>
                    <w:bottom w:val="single" w:color="auto" w:sz="4" w:space="0"/>
                    <w:right w:val="single" w:color="auto" w:sz="4" w:space="0"/>
                    <w:tl2br w:val="nil"/>
                    <w:tr2bl w:val="nil"/>
                  </w:tcBorders>
                  <w:noWrap/>
                  <w:vAlign w:val="center"/>
                </w:tcPr>
                <w:p w14:paraId="11D902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pH</w:t>
                  </w:r>
                </w:p>
              </w:tc>
              <w:tc>
                <w:tcPr>
                  <w:tcW w:w="609" w:type="pct"/>
                  <w:tcBorders>
                    <w:top w:val="single" w:color="auto" w:sz="4" w:space="0"/>
                    <w:left w:val="single" w:color="auto" w:sz="4" w:space="0"/>
                    <w:bottom w:val="single" w:color="auto" w:sz="4" w:space="0"/>
                    <w:right w:val="single" w:color="auto" w:sz="4" w:space="0"/>
                    <w:tl2br w:val="nil"/>
                    <w:tr2bl w:val="nil"/>
                  </w:tcBorders>
                  <w:noWrap/>
                  <w:vAlign w:val="center"/>
                </w:tcPr>
                <w:p w14:paraId="01E403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石油类</w:t>
                  </w:r>
                </w:p>
              </w:tc>
              <w:tc>
                <w:tcPr>
                  <w:tcW w:w="1153" w:type="pct"/>
                  <w:tcBorders>
                    <w:top w:val="single" w:color="auto" w:sz="4" w:space="0"/>
                    <w:left w:val="single" w:color="auto" w:sz="4" w:space="0"/>
                    <w:bottom w:val="single" w:color="auto" w:sz="4" w:space="0"/>
                    <w:right w:val="single" w:color="auto" w:sz="4" w:space="0"/>
                    <w:tl2br w:val="nil"/>
                    <w:tr2bl w:val="nil"/>
                  </w:tcBorders>
                  <w:noWrap/>
                  <w:vAlign w:val="center"/>
                </w:tcPr>
                <w:p w14:paraId="1F0B1E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色度（稀释倍数）</w:t>
                  </w:r>
                </w:p>
              </w:tc>
              <w:tc>
                <w:tcPr>
                  <w:tcW w:w="810" w:type="pct"/>
                  <w:tcBorders>
                    <w:top w:val="single" w:color="auto" w:sz="4" w:space="0"/>
                    <w:left w:val="single" w:color="auto" w:sz="4" w:space="0"/>
                    <w:bottom w:val="single" w:color="auto" w:sz="4" w:space="0"/>
                    <w:right w:val="single" w:color="auto" w:sz="4" w:space="0"/>
                    <w:tl2br w:val="nil"/>
                    <w:tr2bl w:val="nil"/>
                  </w:tcBorders>
                  <w:noWrap/>
                  <w:vAlign w:val="center"/>
                </w:tcPr>
                <w:p w14:paraId="725BC9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粪大肠菌群</w:t>
                  </w:r>
                </w:p>
              </w:tc>
            </w:tr>
            <w:tr w14:paraId="70E0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064"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38A918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DB44/26-2001第二时段一级排放标准</w:t>
                  </w:r>
                </w:p>
              </w:tc>
              <w:tc>
                <w:tcPr>
                  <w:tcW w:w="491"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74211D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p>
              </w:tc>
              <w:tc>
                <w:tcPr>
                  <w:tcW w:w="484" w:type="pct"/>
                  <w:tcBorders>
                    <w:top w:val="single" w:color="auto" w:sz="4" w:space="0"/>
                    <w:left w:val="single" w:color="auto" w:sz="4" w:space="0"/>
                    <w:bottom w:val="single" w:color="auto" w:sz="4" w:space="0"/>
                    <w:right w:val="single" w:color="auto" w:sz="4" w:space="0"/>
                    <w:tl2br w:val="nil"/>
                    <w:tr2bl w:val="nil"/>
                  </w:tcBorders>
                  <w:noWrap/>
                  <w:vAlign w:val="center"/>
                </w:tcPr>
                <w:p w14:paraId="7A755E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0.5</w:t>
                  </w:r>
                </w:p>
              </w:tc>
              <w:tc>
                <w:tcPr>
                  <w:tcW w:w="386" w:type="pct"/>
                  <w:tcBorders>
                    <w:top w:val="single" w:color="auto" w:sz="4" w:space="0"/>
                    <w:left w:val="single" w:color="auto" w:sz="4" w:space="0"/>
                    <w:bottom w:val="single" w:color="auto" w:sz="4" w:space="0"/>
                    <w:right w:val="single" w:color="auto" w:sz="4" w:space="0"/>
                    <w:tl2br w:val="nil"/>
                    <w:tr2bl w:val="nil"/>
                  </w:tcBorders>
                  <w:noWrap/>
                  <w:vAlign w:val="center"/>
                </w:tcPr>
                <w:p w14:paraId="39934B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6~9</w:t>
                  </w:r>
                </w:p>
              </w:tc>
              <w:tc>
                <w:tcPr>
                  <w:tcW w:w="609" w:type="pct"/>
                  <w:tcBorders>
                    <w:top w:val="single" w:color="auto" w:sz="4" w:space="0"/>
                    <w:left w:val="single" w:color="auto" w:sz="4" w:space="0"/>
                    <w:bottom w:val="single" w:color="auto" w:sz="4" w:space="0"/>
                    <w:right w:val="single" w:color="auto" w:sz="4" w:space="0"/>
                    <w:tl2br w:val="nil"/>
                    <w:tr2bl w:val="nil"/>
                  </w:tcBorders>
                  <w:noWrap/>
                  <w:vAlign w:val="center"/>
                </w:tcPr>
                <w:p w14:paraId="7B1329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5.0</w:t>
                  </w:r>
                </w:p>
              </w:tc>
              <w:tc>
                <w:tcPr>
                  <w:tcW w:w="1153" w:type="pct"/>
                  <w:tcBorders>
                    <w:top w:val="single" w:color="auto" w:sz="4" w:space="0"/>
                    <w:left w:val="single" w:color="auto" w:sz="4" w:space="0"/>
                    <w:bottom w:val="single" w:color="auto" w:sz="4" w:space="0"/>
                    <w:right w:val="single" w:color="auto" w:sz="4" w:space="0"/>
                    <w:tl2br w:val="nil"/>
                    <w:tr2bl w:val="nil"/>
                  </w:tcBorders>
                  <w:noWrap/>
                  <w:vAlign w:val="center"/>
                </w:tcPr>
                <w:p w14:paraId="3A65D4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40</w:t>
                  </w:r>
                </w:p>
              </w:tc>
              <w:tc>
                <w:tcPr>
                  <w:tcW w:w="810" w:type="pct"/>
                  <w:tcBorders>
                    <w:top w:val="single" w:color="auto" w:sz="4" w:space="0"/>
                    <w:left w:val="single" w:color="auto" w:sz="4" w:space="0"/>
                    <w:bottom w:val="single" w:color="auto" w:sz="4" w:space="0"/>
                    <w:right w:val="single" w:color="auto" w:sz="4" w:space="0"/>
                    <w:tl2br w:val="nil"/>
                    <w:tr2bl w:val="nil"/>
                  </w:tcBorders>
                  <w:noWrap/>
                  <w:vAlign w:val="center"/>
                </w:tcPr>
                <w:p w14:paraId="16D3C2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p>
              </w:tc>
            </w:tr>
            <w:tr w14:paraId="3E49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064"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794F44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GB18918-2002一级B标准</w:t>
                  </w:r>
                </w:p>
              </w:tc>
              <w:tc>
                <w:tcPr>
                  <w:tcW w:w="491"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29DA38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20</w:t>
                  </w:r>
                </w:p>
              </w:tc>
              <w:tc>
                <w:tcPr>
                  <w:tcW w:w="484" w:type="pct"/>
                  <w:tcBorders>
                    <w:top w:val="single" w:color="auto" w:sz="4" w:space="0"/>
                    <w:left w:val="single" w:color="auto" w:sz="4" w:space="0"/>
                    <w:bottom w:val="single" w:color="auto" w:sz="4" w:space="0"/>
                    <w:right w:val="single" w:color="auto" w:sz="4" w:space="0"/>
                    <w:tl2br w:val="nil"/>
                    <w:tr2bl w:val="nil"/>
                  </w:tcBorders>
                  <w:noWrap/>
                  <w:vAlign w:val="center"/>
                </w:tcPr>
                <w:p w14:paraId="4417A6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1.0</w:t>
                  </w:r>
                </w:p>
              </w:tc>
              <w:tc>
                <w:tcPr>
                  <w:tcW w:w="386" w:type="pct"/>
                  <w:tcBorders>
                    <w:top w:val="single" w:color="auto" w:sz="4" w:space="0"/>
                    <w:left w:val="single" w:color="auto" w:sz="4" w:space="0"/>
                    <w:bottom w:val="single" w:color="auto" w:sz="4" w:space="0"/>
                    <w:right w:val="single" w:color="auto" w:sz="4" w:space="0"/>
                    <w:tl2br w:val="nil"/>
                    <w:tr2bl w:val="nil"/>
                  </w:tcBorders>
                  <w:noWrap/>
                  <w:vAlign w:val="center"/>
                </w:tcPr>
                <w:p w14:paraId="29F0D8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6~9</w:t>
                  </w:r>
                </w:p>
              </w:tc>
              <w:tc>
                <w:tcPr>
                  <w:tcW w:w="609" w:type="pct"/>
                  <w:tcBorders>
                    <w:top w:val="single" w:color="auto" w:sz="4" w:space="0"/>
                    <w:left w:val="single" w:color="auto" w:sz="4" w:space="0"/>
                    <w:bottom w:val="single" w:color="auto" w:sz="4" w:space="0"/>
                    <w:right w:val="single" w:color="auto" w:sz="4" w:space="0"/>
                    <w:tl2br w:val="nil"/>
                    <w:tr2bl w:val="nil"/>
                  </w:tcBorders>
                  <w:noWrap/>
                  <w:vAlign w:val="center"/>
                </w:tcPr>
                <w:p w14:paraId="7CE451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3.0</w:t>
                  </w:r>
                </w:p>
              </w:tc>
              <w:tc>
                <w:tcPr>
                  <w:tcW w:w="1153" w:type="pct"/>
                  <w:tcBorders>
                    <w:top w:val="single" w:color="auto" w:sz="4" w:space="0"/>
                    <w:left w:val="single" w:color="auto" w:sz="4" w:space="0"/>
                    <w:bottom w:val="single" w:color="auto" w:sz="4" w:space="0"/>
                    <w:right w:val="single" w:color="auto" w:sz="4" w:space="0"/>
                    <w:tl2br w:val="nil"/>
                    <w:tr2bl w:val="nil"/>
                  </w:tcBorders>
                  <w:noWrap/>
                  <w:vAlign w:val="center"/>
                </w:tcPr>
                <w:p w14:paraId="7B63FB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30</w:t>
                  </w:r>
                </w:p>
              </w:tc>
              <w:tc>
                <w:tcPr>
                  <w:tcW w:w="810" w:type="pct"/>
                  <w:tcBorders>
                    <w:top w:val="single" w:color="auto" w:sz="4" w:space="0"/>
                    <w:left w:val="single" w:color="auto" w:sz="4" w:space="0"/>
                    <w:bottom w:val="single" w:color="auto" w:sz="4" w:space="0"/>
                    <w:right w:val="single" w:color="auto" w:sz="4" w:space="0"/>
                    <w:tl2br w:val="nil"/>
                    <w:tr2bl w:val="nil"/>
                  </w:tcBorders>
                  <w:noWrap/>
                  <w:vAlign w:val="center"/>
                </w:tcPr>
                <w:p w14:paraId="3B46E1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10000个/L</w:t>
                  </w:r>
                </w:p>
              </w:tc>
            </w:tr>
            <w:tr w14:paraId="1F2FD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064"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21DC78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执行限值</w:t>
                  </w:r>
                </w:p>
              </w:tc>
              <w:tc>
                <w:tcPr>
                  <w:tcW w:w="491"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315FC8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20</w:t>
                  </w:r>
                </w:p>
              </w:tc>
              <w:tc>
                <w:tcPr>
                  <w:tcW w:w="484" w:type="pct"/>
                  <w:tcBorders>
                    <w:top w:val="single" w:color="auto" w:sz="4" w:space="0"/>
                    <w:left w:val="single" w:color="auto" w:sz="4" w:space="0"/>
                    <w:bottom w:val="single" w:color="auto" w:sz="4" w:space="0"/>
                    <w:right w:val="single" w:color="auto" w:sz="4" w:space="0"/>
                    <w:tl2br w:val="nil"/>
                    <w:tr2bl w:val="nil"/>
                  </w:tcBorders>
                  <w:noWrap/>
                  <w:vAlign w:val="center"/>
                </w:tcPr>
                <w:p w14:paraId="4179E3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0.5</w:t>
                  </w:r>
                </w:p>
              </w:tc>
              <w:tc>
                <w:tcPr>
                  <w:tcW w:w="386" w:type="pct"/>
                  <w:tcBorders>
                    <w:top w:val="single" w:color="auto" w:sz="4" w:space="0"/>
                    <w:left w:val="single" w:color="auto" w:sz="4" w:space="0"/>
                    <w:bottom w:val="single" w:color="auto" w:sz="4" w:space="0"/>
                    <w:right w:val="single" w:color="auto" w:sz="4" w:space="0"/>
                    <w:tl2br w:val="nil"/>
                    <w:tr2bl w:val="nil"/>
                  </w:tcBorders>
                  <w:noWrap/>
                  <w:vAlign w:val="center"/>
                </w:tcPr>
                <w:p w14:paraId="7DEB73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6~9</w:t>
                  </w:r>
                </w:p>
              </w:tc>
              <w:tc>
                <w:tcPr>
                  <w:tcW w:w="609" w:type="pct"/>
                  <w:tcBorders>
                    <w:top w:val="single" w:color="auto" w:sz="4" w:space="0"/>
                    <w:left w:val="single" w:color="auto" w:sz="4" w:space="0"/>
                    <w:bottom w:val="single" w:color="auto" w:sz="4" w:space="0"/>
                    <w:right w:val="single" w:color="auto" w:sz="4" w:space="0"/>
                    <w:tl2br w:val="nil"/>
                    <w:tr2bl w:val="nil"/>
                  </w:tcBorders>
                  <w:noWrap/>
                  <w:vAlign w:val="center"/>
                </w:tcPr>
                <w:p w14:paraId="430589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3.0</w:t>
                  </w:r>
                </w:p>
              </w:tc>
              <w:tc>
                <w:tcPr>
                  <w:tcW w:w="1153" w:type="pct"/>
                  <w:tcBorders>
                    <w:top w:val="single" w:color="auto" w:sz="4" w:space="0"/>
                    <w:left w:val="single" w:color="auto" w:sz="4" w:space="0"/>
                    <w:bottom w:val="single" w:color="auto" w:sz="4" w:space="0"/>
                    <w:right w:val="single" w:color="auto" w:sz="4" w:space="0"/>
                    <w:tl2br w:val="nil"/>
                    <w:tr2bl w:val="nil"/>
                  </w:tcBorders>
                  <w:noWrap/>
                  <w:vAlign w:val="center"/>
                </w:tcPr>
                <w:p w14:paraId="247E5F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30</w:t>
                  </w:r>
                </w:p>
              </w:tc>
              <w:tc>
                <w:tcPr>
                  <w:tcW w:w="810" w:type="pct"/>
                  <w:tcBorders>
                    <w:top w:val="single" w:color="auto" w:sz="4" w:space="0"/>
                    <w:left w:val="single" w:color="auto" w:sz="4" w:space="0"/>
                    <w:bottom w:val="single" w:color="auto" w:sz="4" w:space="0"/>
                    <w:right w:val="single" w:color="auto" w:sz="4" w:space="0"/>
                    <w:tl2br w:val="nil"/>
                    <w:tr2bl w:val="nil"/>
                  </w:tcBorders>
                  <w:noWrap/>
                  <w:vAlign w:val="center"/>
                </w:tcPr>
                <w:p w14:paraId="04B7C4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10000个/L</w:t>
                  </w:r>
                </w:p>
              </w:tc>
            </w:tr>
            <w:tr w14:paraId="6AFD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000" w:type="pct"/>
                  <w:gridSpan w:val="7"/>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561914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vertAlign w:val="superscript"/>
                      <w:lang w:eastAsia="ja-JP"/>
                      <w14:textFill>
                        <w14:solidFill>
                          <w14:schemeClr w14:val="tx1"/>
                        </w14:solidFill>
                      </w14:textFill>
                    </w:rPr>
                    <w:t>①</w:t>
                  </w:r>
                  <w:r>
                    <w:rPr>
                      <w:rFonts w:hint="eastAsia"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备注括号内为水温&lt;12℃时的限值，括号外为水温在12℃以上的限值</w:t>
                  </w:r>
                </w:p>
              </w:tc>
            </w:tr>
          </w:tbl>
          <w:p w14:paraId="0769F190">
            <w:pPr>
              <w:spacing w:line="120" w:lineRule="auto"/>
              <w:rPr>
                <w:rFonts w:hint="default" w:ascii="Times New Roman" w:hAnsi="Times New Roman" w:cs="Times New Roman"/>
                <w:color w:val="000000" w:themeColor="text1"/>
                <w:sz w:val="20"/>
                <w:szCs w:val="20"/>
                <w:highlight w:val="none"/>
                <w14:textFill>
                  <w14:solidFill>
                    <w14:schemeClr w14:val="tx1"/>
                  </w14:solidFill>
                </w14:textFill>
              </w:rPr>
            </w:pPr>
          </w:p>
          <w:p w14:paraId="751C30FC">
            <w:pPr>
              <w:spacing w:line="360" w:lineRule="auto"/>
              <w:ind w:firstLine="482" w:firstLineChars="200"/>
              <w:rPr>
                <w:rFonts w:hint="default" w:ascii="Times New Roman" w:hAnsi="Times New Roman" w:cs="Times New Roman"/>
                <w:b/>
                <w:color w:val="000000" w:themeColor="text1"/>
                <w:sz w:val="24"/>
                <w:highlight w:val="none"/>
                <w14:textFill>
                  <w14:solidFill>
                    <w14:schemeClr w14:val="tx1"/>
                  </w14:solidFill>
                </w14:textFill>
              </w:rPr>
            </w:pPr>
            <w:r>
              <w:rPr>
                <w:rFonts w:hint="default" w:ascii="Times New Roman" w:hAnsi="Times New Roman" w:cs="Times New Roman"/>
                <w:b/>
                <w:color w:val="000000" w:themeColor="text1"/>
                <w:sz w:val="24"/>
                <w:highlight w:val="none"/>
                <w14:textFill>
                  <w14:solidFill>
                    <w14:schemeClr w14:val="tx1"/>
                  </w14:solidFill>
                </w14:textFill>
              </w:rPr>
              <w:t>3、噪声排放标准</w:t>
            </w:r>
          </w:p>
          <w:p w14:paraId="5C26BD33">
            <w:pPr>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营运期</w:t>
            </w:r>
            <w:r>
              <w:rPr>
                <w:rFonts w:hint="eastAsia" w:ascii="Times New Roman" w:hAnsi="Times New Roman" w:cs="Times New Roman"/>
                <w:color w:val="000000" w:themeColor="text1"/>
                <w:sz w:val="24"/>
                <w:highlight w:val="none"/>
                <w:lang w:val="en-US" w:eastAsia="zh-CN"/>
                <w14:textFill>
                  <w14:solidFill>
                    <w14:schemeClr w14:val="tx1"/>
                  </w14:solidFill>
                </w14:textFill>
              </w:rPr>
              <w:t>项目</w:t>
            </w:r>
            <w:r>
              <w:rPr>
                <w:rFonts w:hint="eastAsia" w:cs="Times New Roman"/>
                <w:color w:val="000000" w:themeColor="text1"/>
                <w:sz w:val="24"/>
                <w:highlight w:val="none"/>
                <w:lang w:val="en-US" w:eastAsia="zh-CN"/>
                <w14:textFill>
                  <w14:solidFill>
                    <w14:schemeClr w14:val="tx1"/>
                  </w14:solidFill>
                </w14:textFill>
              </w:rPr>
              <w:t>南</w:t>
            </w:r>
            <w:r>
              <w:rPr>
                <w:rFonts w:hint="eastAsia" w:ascii="Times New Roman" w:hAnsi="Times New Roman" w:cs="Times New Roman"/>
                <w:color w:val="000000" w:themeColor="text1"/>
                <w:sz w:val="24"/>
                <w:highlight w:val="none"/>
                <w:lang w:val="en-US" w:eastAsia="zh-CN"/>
                <w14:textFill>
                  <w14:solidFill>
                    <w14:schemeClr w14:val="tx1"/>
                  </w14:solidFill>
                </w14:textFill>
              </w:rPr>
              <w:t>面</w:t>
            </w:r>
            <w:r>
              <w:rPr>
                <w:rFonts w:hint="default" w:ascii="Times New Roman" w:hAnsi="Times New Roman" w:cs="Times New Roman"/>
                <w:color w:val="000000" w:themeColor="text1"/>
                <w:sz w:val="24"/>
                <w:highlight w:val="none"/>
                <w14:textFill>
                  <w14:solidFill>
                    <w14:schemeClr w14:val="tx1"/>
                  </w14:solidFill>
                </w14:textFill>
              </w:rPr>
              <w:t>厂界噪声执行《工业企业厂界环境噪声排放标准》（GB12348-2008）中的</w:t>
            </w:r>
            <w:r>
              <w:rPr>
                <w:rFonts w:hint="eastAsia" w:ascii="Times New Roman" w:hAnsi="Times New Roman" w:cs="Times New Roman"/>
                <w:color w:val="000000" w:themeColor="text1"/>
                <w:sz w:val="24"/>
                <w:highlight w:val="none"/>
                <w:lang w:val="en-US" w:eastAsia="zh-CN"/>
                <w14:textFill>
                  <w14:solidFill>
                    <w14:schemeClr w14:val="tx1"/>
                  </w14:solidFill>
                </w14:textFill>
              </w:rPr>
              <w:t>4</w:t>
            </w:r>
            <w:r>
              <w:rPr>
                <w:rFonts w:hint="eastAsia" w:cs="Times New Roman"/>
                <w:color w:val="000000" w:themeColor="text1"/>
                <w:sz w:val="24"/>
                <w:highlight w:val="none"/>
                <w:lang w:val="en-US" w:eastAsia="zh-CN"/>
                <w14:textFill>
                  <w14:solidFill>
                    <w14:schemeClr w14:val="tx1"/>
                  </w14:solidFill>
                </w14:textFill>
              </w:rPr>
              <w:t>a</w:t>
            </w:r>
            <w:r>
              <w:rPr>
                <w:rFonts w:hint="default" w:ascii="Times New Roman" w:hAnsi="Times New Roman" w:cs="Times New Roman"/>
                <w:color w:val="000000" w:themeColor="text1"/>
                <w:sz w:val="24"/>
                <w:highlight w:val="none"/>
                <w14:textFill>
                  <w14:solidFill>
                    <w14:schemeClr w14:val="tx1"/>
                  </w14:solidFill>
                </w14:textFill>
              </w:rPr>
              <w:t>类标准</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pacing w:val="-1"/>
                <w:sz w:val="24"/>
                <w:szCs w:val="24"/>
                <w:highlight w:val="none"/>
                <w14:textFill>
                  <w14:solidFill>
                    <w14:schemeClr w14:val="tx1"/>
                  </w14:solidFill>
                </w14:textFill>
              </w:rPr>
              <w:t>即昼间</w:t>
            </w:r>
            <w:r>
              <w:rPr>
                <w:rFonts w:hint="default" w:ascii="Times New Roman" w:hAnsi="Times New Roman" w:eastAsia="Times New Roman" w:cs="Times New Roman"/>
                <w:color w:val="000000" w:themeColor="text1"/>
                <w:spacing w:val="-1"/>
                <w:sz w:val="24"/>
                <w:szCs w:val="24"/>
                <w:highlight w:val="none"/>
                <w14:textFill>
                  <w14:solidFill>
                    <w14:schemeClr w14:val="tx1"/>
                  </w14:solidFill>
                </w14:textFill>
              </w:rPr>
              <w:t>≤</w:t>
            </w:r>
            <w:r>
              <w:rPr>
                <w:rFonts w:hint="eastAsia"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7</w:t>
            </w:r>
            <w:r>
              <w:rPr>
                <w:rFonts w:hint="default" w:ascii="Times New Roman" w:hAnsi="Times New Roman" w:eastAsia="Times New Roman" w:cs="Times New Roman"/>
                <w:color w:val="000000" w:themeColor="text1"/>
                <w:spacing w:val="-1"/>
                <w:sz w:val="24"/>
                <w:szCs w:val="24"/>
                <w:highlight w:val="none"/>
                <w14:textFill>
                  <w14:solidFill>
                    <w14:schemeClr w14:val="tx1"/>
                  </w14:solidFill>
                </w14:textFill>
              </w:rPr>
              <w:t>0dB</w:t>
            </w:r>
            <w:r>
              <w:rPr>
                <w:rFonts w:hint="default" w:ascii="Times New Roman" w:hAnsi="Times New Roman" w:cs="Times New Roman"/>
                <w:color w:val="000000" w:themeColor="text1"/>
                <w:spacing w:val="-1"/>
                <w:sz w:val="24"/>
                <w:szCs w:val="24"/>
                <w:highlight w:val="none"/>
                <w14:textFill>
                  <w14:solidFill>
                    <w14:schemeClr w14:val="tx1"/>
                  </w14:solidFill>
                </w14:textFill>
              </w:rPr>
              <w:t>（</w:t>
            </w:r>
            <w:r>
              <w:rPr>
                <w:rFonts w:hint="default" w:ascii="Times New Roman" w:hAnsi="Times New Roman" w:eastAsia="Times New Roman" w:cs="Times New Roman"/>
                <w:color w:val="000000" w:themeColor="text1"/>
                <w:spacing w:val="-1"/>
                <w:sz w:val="24"/>
                <w:szCs w:val="24"/>
                <w:highlight w:val="none"/>
                <w14:textFill>
                  <w14:solidFill>
                    <w14:schemeClr w14:val="tx1"/>
                  </w14:solidFill>
                </w14:textFill>
              </w:rPr>
              <w:t>A</w:t>
            </w:r>
            <w:r>
              <w:rPr>
                <w:rFonts w:hint="default" w:ascii="Times New Roman" w:hAnsi="Times New Roman" w:cs="Times New Roman"/>
                <w:color w:val="000000" w:themeColor="text1"/>
                <w:spacing w:val="9"/>
                <w:sz w:val="24"/>
                <w:szCs w:val="24"/>
                <w:highlight w:val="none"/>
                <w14:textFill>
                  <w14:solidFill>
                    <w14:schemeClr w14:val="tx1"/>
                  </w14:solidFill>
                </w14:textFill>
              </w:rPr>
              <w:t>）</w:t>
            </w:r>
            <w:r>
              <w:rPr>
                <w:rFonts w:hint="eastAsia" w:ascii="Times New Roman" w:hAnsi="Times New Roman" w:cs="Times New Roman"/>
                <w:color w:val="000000" w:themeColor="text1"/>
                <w:spacing w:val="-1"/>
                <w:sz w:val="24"/>
                <w:szCs w:val="24"/>
                <w:highlight w:val="none"/>
                <w:lang w:eastAsia="zh-CN"/>
                <w14:textFill>
                  <w14:solidFill>
                    <w14:schemeClr w14:val="tx1"/>
                  </w14:solidFill>
                </w14:textFill>
              </w:rPr>
              <w:t>；</w:t>
            </w:r>
            <w:r>
              <w:rPr>
                <w:rFonts w:hint="eastAsia" w:cs="Times New Roman"/>
                <w:color w:val="000000" w:themeColor="text1"/>
                <w:spacing w:val="-1"/>
                <w:sz w:val="24"/>
                <w:szCs w:val="24"/>
                <w:highlight w:val="none"/>
                <w:lang w:val="en-US" w:eastAsia="zh-CN"/>
                <w14:textFill>
                  <w14:solidFill>
                    <w14:schemeClr w14:val="tx1"/>
                  </w14:solidFill>
                </w14:textFill>
              </w:rPr>
              <w:t>东</w:t>
            </w:r>
            <w:r>
              <w:rPr>
                <w:rFonts w:hint="eastAsia" w:ascii="Times New Roman" w:hAnsi="Times New Roman" w:cs="Times New Roman"/>
                <w:color w:val="000000" w:themeColor="text1"/>
                <w:spacing w:val="-1"/>
                <w:sz w:val="24"/>
                <w:szCs w:val="24"/>
                <w:highlight w:val="none"/>
                <w:lang w:val="en-US" w:eastAsia="zh-CN"/>
                <w14:textFill>
                  <w14:solidFill>
                    <w14:schemeClr w14:val="tx1"/>
                  </w14:solidFill>
                </w14:textFill>
              </w:rPr>
              <w:t>、西、北</w:t>
            </w:r>
            <w:r>
              <w:rPr>
                <w:rFonts w:hint="eastAsia" w:ascii="Times New Roman" w:hAnsi="Times New Roman" w:cs="Times New Roman"/>
                <w:color w:val="000000" w:themeColor="text1"/>
                <w:sz w:val="24"/>
                <w:highlight w:val="none"/>
                <w:lang w:val="en-US" w:eastAsia="zh-CN"/>
                <w14:textFill>
                  <w14:solidFill>
                    <w14:schemeClr w14:val="tx1"/>
                  </w14:solidFill>
                </w14:textFill>
              </w:rPr>
              <w:t>面</w:t>
            </w:r>
            <w:r>
              <w:rPr>
                <w:rFonts w:hint="default" w:ascii="Times New Roman" w:hAnsi="Times New Roman" w:cs="Times New Roman"/>
                <w:color w:val="000000" w:themeColor="text1"/>
                <w:sz w:val="24"/>
                <w:highlight w:val="none"/>
                <w14:textFill>
                  <w14:solidFill>
                    <w14:schemeClr w14:val="tx1"/>
                  </w14:solidFill>
                </w14:textFill>
              </w:rPr>
              <w:t>厂界噪声执行《工业企业厂界环境噪声排放标准》（GB12348-2008）中的</w:t>
            </w:r>
            <w:r>
              <w:rPr>
                <w:rFonts w:hint="eastAsia" w:ascii="Times New Roman" w:hAnsi="Times New Roman" w:cs="Times New Roman"/>
                <w:color w:val="000000" w:themeColor="text1"/>
                <w:sz w:val="24"/>
                <w:highlight w:val="none"/>
                <w:lang w:val="en-US" w:eastAsia="zh-CN"/>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类标准</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pacing w:val="-1"/>
                <w:sz w:val="24"/>
                <w:szCs w:val="24"/>
                <w:highlight w:val="none"/>
                <w14:textFill>
                  <w14:solidFill>
                    <w14:schemeClr w14:val="tx1"/>
                  </w14:solidFill>
                </w14:textFill>
              </w:rPr>
              <w:t>即昼间</w:t>
            </w:r>
            <w:r>
              <w:rPr>
                <w:rFonts w:hint="default" w:ascii="Times New Roman" w:hAnsi="Times New Roman" w:eastAsia="Times New Roman" w:cs="Times New Roman"/>
                <w:color w:val="000000" w:themeColor="text1"/>
                <w:spacing w:val="-1"/>
                <w:sz w:val="24"/>
                <w:szCs w:val="24"/>
                <w:highlight w:val="none"/>
                <w14:textFill>
                  <w14:solidFill>
                    <w14:schemeClr w14:val="tx1"/>
                  </w14:solidFill>
                </w14:textFill>
              </w:rPr>
              <w:t>≤6</w:t>
            </w:r>
            <w:r>
              <w:rPr>
                <w:rFonts w:hint="eastAsia"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5</w:t>
            </w:r>
            <w:r>
              <w:rPr>
                <w:rFonts w:hint="default" w:ascii="Times New Roman" w:hAnsi="Times New Roman" w:eastAsia="Times New Roman" w:cs="Times New Roman"/>
                <w:color w:val="000000" w:themeColor="text1"/>
                <w:spacing w:val="-1"/>
                <w:sz w:val="24"/>
                <w:szCs w:val="24"/>
                <w:highlight w:val="none"/>
                <w14:textFill>
                  <w14:solidFill>
                    <w14:schemeClr w14:val="tx1"/>
                  </w14:solidFill>
                </w14:textFill>
              </w:rPr>
              <w:t>dB</w:t>
            </w:r>
            <w:r>
              <w:rPr>
                <w:rFonts w:hint="default" w:ascii="Times New Roman" w:hAnsi="Times New Roman" w:cs="Times New Roman"/>
                <w:color w:val="000000" w:themeColor="text1"/>
                <w:spacing w:val="-1"/>
                <w:sz w:val="24"/>
                <w:szCs w:val="24"/>
                <w:highlight w:val="none"/>
                <w14:textFill>
                  <w14:solidFill>
                    <w14:schemeClr w14:val="tx1"/>
                  </w14:solidFill>
                </w14:textFill>
              </w:rPr>
              <w:t>（</w:t>
            </w:r>
            <w:r>
              <w:rPr>
                <w:rFonts w:hint="default" w:ascii="Times New Roman" w:hAnsi="Times New Roman" w:eastAsia="Times New Roman" w:cs="Times New Roman"/>
                <w:color w:val="000000" w:themeColor="text1"/>
                <w:spacing w:val="-1"/>
                <w:sz w:val="24"/>
                <w:szCs w:val="24"/>
                <w:highlight w:val="none"/>
                <w14:textFill>
                  <w14:solidFill>
                    <w14:schemeClr w14:val="tx1"/>
                  </w14:solidFill>
                </w14:textFill>
              </w:rPr>
              <w:t>A</w:t>
            </w:r>
            <w:r>
              <w:rPr>
                <w:rFonts w:hint="default" w:ascii="Times New Roman" w:hAnsi="Times New Roman" w:cs="Times New Roman"/>
                <w:color w:val="000000" w:themeColor="text1"/>
                <w:spacing w:val="9"/>
                <w:sz w:val="24"/>
                <w:szCs w:val="24"/>
                <w:highlight w:val="none"/>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本项目仅在昼间营运，夜间不营运。</w:t>
            </w:r>
          </w:p>
          <w:p w14:paraId="390EEE6F">
            <w:pPr>
              <w:spacing w:line="360" w:lineRule="auto"/>
              <w:ind w:firstLine="482" w:firstLineChars="200"/>
              <w:rPr>
                <w:rFonts w:hint="default" w:ascii="Times New Roman" w:hAnsi="Times New Roman" w:cs="Times New Roman"/>
                <w:b/>
                <w:bCs/>
                <w:color w:val="000000" w:themeColor="text1"/>
                <w:sz w:val="24"/>
                <w:highlight w:val="none"/>
                <w14:textFill>
                  <w14:solidFill>
                    <w14:schemeClr w14:val="tx1"/>
                  </w14:solidFill>
                </w14:textFill>
              </w:rPr>
            </w:pPr>
            <w:r>
              <w:rPr>
                <w:rFonts w:hint="default" w:ascii="Times New Roman" w:hAnsi="Times New Roman" w:cs="Times New Roman"/>
                <w:b/>
                <w:bCs/>
                <w:color w:val="000000" w:themeColor="text1"/>
                <w:sz w:val="24"/>
                <w:highlight w:val="none"/>
                <w14:textFill>
                  <w14:solidFill>
                    <w14:schemeClr w14:val="tx1"/>
                  </w14:solidFill>
                </w14:textFill>
              </w:rPr>
              <w:t>4、固体废物控制标准</w:t>
            </w:r>
          </w:p>
          <w:p w14:paraId="64CE4E8D">
            <w:pPr>
              <w:spacing w:line="360" w:lineRule="auto"/>
              <w:ind w:firstLine="480" w:firstLineChars="200"/>
              <w:rPr>
                <w:rFonts w:hint="default" w:ascii="Times New Roman" w:hAnsi="Times New Roman"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一般工业固体废物在厂内采用库房或包装工具贮存，贮存过程应满足相应防渗漏、防雨淋、防扬尘等环境保护要求</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项目危险废物</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按照</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《国家危险废物名录（202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年版）》</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类别进行管理，危险废物贮存过程执行《危险废物贮存污染控制标准》（GB18597-2023）和《危险废物收集贮存运输技术规范》（HJ2025-2012）</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p>
        </w:tc>
      </w:tr>
      <w:tr w14:paraId="1406A3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40" w:hRule="atLeast"/>
          <w:jc w:val="center"/>
        </w:trPr>
        <w:tc>
          <w:tcPr>
            <w:tcW w:w="278" w:type="pct"/>
            <w:noWrap w:val="0"/>
            <w:vAlign w:val="center"/>
          </w:tcPr>
          <w:p w14:paraId="477689AD">
            <w:pPr>
              <w:adjustRightInd w:val="0"/>
              <w:snapToGrid w:val="0"/>
              <w:jc w:val="center"/>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总量</w:t>
            </w:r>
          </w:p>
          <w:p w14:paraId="29F184C0">
            <w:pPr>
              <w:adjustRightInd w:val="0"/>
              <w:snapToGrid w:val="0"/>
              <w:jc w:val="center"/>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控制</w:t>
            </w:r>
          </w:p>
          <w:p w14:paraId="1206F142">
            <w:pPr>
              <w:adjustRightInd w:val="0"/>
              <w:snapToGrid w:val="0"/>
              <w:jc w:val="center"/>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指标</w:t>
            </w:r>
          </w:p>
        </w:tc>
        <w:tc>
          <w:tcPr>
            <w:tcW w:w="4721" w:type="pct"/>
            <w:noWrap w:val="0"/>
            <w:vAlign w:val="center"/>
          </w:tcPr>
          <w:p w14:paraId="1118DF55">
            <w:pPr>
              <w:spacing w:line="12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p>
          <w:p w14:paraId="13338572">
            <w:pPr>
              <w:spacing w:line="360" w:lineRule="auto"/>
              <w:ind w:firstLine="482" w:firstLineChars="200"/>
              <w:rPr>
                <w:rFonts w:hint="default" w:ascii="Times New Roman" w:hAnsi="Times New Roman" w:cs="Times New Roman"/>
                <w:b/>
                <w:bCs/>
                <w:color w:val="000000" w:themeColor="text1"/>
                <w:sz w:val="24"/>
                <w:highlight w:val="none"/>
                <w14:textFill>
                  <w14:solidFill>
                    <w14:schemeClr w14:val="tx1"/>
                  </w14:solidFill>
                </w14:textFill>
              </w:rPr>
            </w:pPr>
            <w:r>
              <w:rPr>
                <w:rFonts w:hint="default" w:ascii="Times New Roman" w:hAnsi="Times New Roman" w:cs="Times New Roman"/>
                <w:b/>
                <w:bCs/>
                <w:color w:val="000000" w:themeColor="text1"/>
                <w:sz w:val="24"/>
                <w:highlight w:val="none"/>
                <w:lang w:val="en-US" w:eastAsia="zh-CN"/>
                <w14:textFill>
                  <w14:solidFill>
                    <w14:schemeClr w14:val="tx1"/>
                  </w14:solidFill>
                </w14:textFill>
              </w:rPr>
              <w:t>1、水污染物排放总量控制指标</w:t>
            </w:r>
          </w:p>
          <w:p w14:paraId="70BFF69E">
            <w:pPr>
              <w:widowControl w:val="0"/>
              <w:kinsoku/>
              <w:autoSpaceDE/>
              <w:autoSpaceDN/>
              <w:adjustRightInd/>
              <w:snapToGrid/>
              <w:spacing w:line="360" w:lineRule="auto"/>
              <w:ind w:firstLine="476" w:firstLineChars="200"/>
              <w:jc w:val="both"/>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pacing w:val="-1"/>
                <w:sz w:val="24"/>
                <w:szCs w:val="24"/>
                <w:highlight w:val="none"/>
                <w14:textFill>
                  <w14:solidFill>
                    <w14:schemeClr w14:val="tx1"/>
                  </w14:solidFill>
                </w14:textFill>
              </w:rPr>
              <w:t>项目生产废水排放量为</w:t>
            </w:r>
            <w:r>
              <w:rPr>
                <w:rFonts w:hint="eastAsia" w:cs="Times New Roman"/>
                <w:color w:val="000000" w:themeColor="text1"/>
                <w:spacing w:val="-1"/>
                <w:sz w:val="24"/>
                <w:szCs w:val="24"/>
                <w:highlight w:val="none"/>
                <w:lang w:val="en-US" w:eastAsia="zh-CN"/>
                <w14:textFill>
                  <w14:solidFill>
                    <w14:schemeClr w14:val="tx1"/>
                  </w14:solidFill>
                </w14:textFill>
              </w:rPr>
              <w:t>10010.08</w:t>
            </w:r>
            <w:r>
              <w:rPr>
                <w:rFonts w:hint="default" w:ascii="Times New Roman" w:hAnsi="Times New Roman" w:cs="Times New Roman"/>
                <w:color w:val="000000" w:themeColor="text1"/>
                <w:spacing w:val="-1"/>
                <w:sz w:val="24"/>
                <w:szCs w:val="24"/>
                <w:highlight w:val="none"/>
                <w14:textFill>
                  <w14:solidFill>
                    <w14:schemeClr w14:val="tx1"/>
                  </w14:solidFill>
                </w14:textFill>
              </w:rPr>
              <w:t>t/a，生活污水排放量为</w:t>
            </w:r>
            <w:r>
              <w:rPr>
                <w:rFonts w:hint="eastAsia" w:ascii="Times New Roman" w:hAnsi="Times New Roman" w:cs="Times New Roman"/>
                <w:color w:val="000000" w:themeColor="text1"/>
                <w:spacing w:val="-1"/>
                <w:sz w:val="24"/>
                <w:szCs w:val="24"/>
                <w:highlight w:val="none"/>
                <w:lang w:val="en-US" w:eastAsia="zh-CN"/>
                <w14:textFill>
                  <w14:solidFill>
                    <w14:schemeClr w14:val="tx1"/>
                  </w14:solidFill>
                </w14:textFill>
              </w:rPr>
              <w:t>2070</w:t>
            </w:r>
            <w:r>
              <w:rPr>
                <w:rFonts w:hint="default" w:ascii="Times New Roman" w:hAnsi="Times New Roman" w:cs="Times New Roman"/>
                <w:color w:val="000000" w:themeColor="text1"/>
                <w:spacing w:val="-1"/>
                <w:sz w:val="24"/>
                <w:szCs w:val="24"/>
                <w:highlight w:val="none"/>
                <w14:textFill>
                  <w14:solidFill>
                    <w14:schemeClr w14:val="tx1"/>
                  </w14:solidFill>
                </w14:textFill>
              </w:rPr>
              <w:t>t/a，</w:t>
            </w:r>
            <w:r>
              <w:rPr>
                <w:rFonts w:hint="default" w:ascii="Times New Roman" w:hAnsi="Times New Roman" w:cs="Times New Roman"/>
                <w:color w:val="000000" w:themeColor="text1"/>
                <w:spacing w:val="-1"/>
                <w:sz w:val="24"/>
                <w:szCs w:val="24"/>
                <w:highlight w:val="none"/>
                <w:lang w:val="en-US" w:eastAsia="zh-CN"/>
                <w14:textFill>
                  <w14:solidFill>
                    <w14:schemeClr w14:val="tx1"/>
                  </w14:solidFill>
                </w14:textFill>
              </w:rPr>
              <w:t>综合废水合计为</w:t>
            </w:r>
            <w:r>
              <w:rPr>
                <w:rFonts w:hint="eastAsia" w:cs="Times New Roman"/>
                <w:color w:val="000000" w:themeColor="text1"/>
                <w:spacing w:val="-1"/>
                <w:sz w:val="24"/>
                <w:szCs w:val="24"/>
                <w:highlight w:val="none"/>
                <w:lang w:val="en-US" w:eastAsia="zh-CN"/>
                <w14:textFill>
                  <w14:solidFill>
                    <w14:schemeClr w14:val="tx1"/>
                  </w14:solidFill>
                </w14:textFill>
              </w:rPr>
              <w:t>12080.08</w:t>
            </w:r>
            <w:r>
              <w:rPr>
                <w:rFonts w:hint="default" w:ascii="Times New Roman" w:hAnsi="Times New Roman" w:cs="Times New Roman"/>
                <w:color w:val="000000" w:themeColor="text1"/>
                <w:spacing w:val="-1"/>
                <w:sz w:val="24"/>
                <w:szCs w:val="24"/>
                <w:highlight w:val="none"/>
                <w:lang w:val="en-US" w:eastAsia="zh-CN"/>
                <w14:textFill>
                  <w14:solidFill>
                    <w14:schemeClr w14:val="tx1"/>
                  </w14:solidFill>
                </w14:textFill>
              </w:rPr>
              <w:t>t/a，</w:t>
            </w:r>
            <w:r>
              <w:rPr>
                <w:rFonts w:hint="default" w:ascii="Times New Roman" w:hAnsi="Times New Roman" w:cs="Times New Roman"/>
                <w:color w:val="000000" w:themeColor="text1"/>
                <w:spacing w:val="-1"/>
                <w:sz w:val="24"/>
                <w:szCs w:val="24"/>
                <w:highlight w:val="none"/>
                <w14:textFill>
                  <w14:solidFill>
                    <w14:schemeClr w14:val="tx1"/>
                  </w14:solidFill>
                </w14:textFill>
              </w:rPr>
              <w:t>均经预处理后排入园区污水处理厂进行处理，因此，COD</w:t>
            </w:r>
            <w:r>
              <w:rPr>
                <w:rFonts w:hint="eastAsia" w:ascii="Times New Roman" w:hAnsi="Times New Roman" w:cs="Times New Roman"/>
                <w:color w:val="000000" w:themeColor="text1"/>
                <w:spacing w:val="-1"/>
                <w:sz w:val="24"/>
                <w:szCs w:val="24"/>
                <w:highlight w:val="none"/>
                <w:vertAlign w:val="subscript"/>
                <w:lang w:val="en-US" w:eastAsia="zh-CN"/>
                <w14:textFill>
                  <w14:solidFill>
                    <w14:schemeClr w14:val="tx1"/>
                  </w14:solidFill>
                </w14:textFill>
              </w:rPr>
              <w:t>C</w:t>
            </w:r>
            <w:r>
              <w:rPr>
                <w:rFonts w:hint="default" w:ascii="Times New Roman" w:hAnsi="Times New Roman" w:cs="Times New Roman"/>
                <w:color w:val="000000" w:themeColor="text1"/>
                <w:spacing w:val="-1"/>
                <w:sz w:val="24"/>
                <w:szCs w:val="24"/>
                <w:highlight w:val="none"/>
                <w:vertAlign w:val="subscript"/>
                <w14:textFill>
                  <w14:solidFill>
                    <w14:schemeClr w14:val="tx1"/>
                  </w14:solidFill>
                </w14:textFill>
              </w:rPr>
              <w:t>r</w:t>
            </w:r>
            <w:r>
              <w:rPr>
                <w:rFonts w:hint="default" w:ascii="Times New Roman" w:hAnsi="Times New Roman" w:cs="Times New Roman"/>
                <w:color w:val="000000" w:themeColor="text1"/>
                <w:spacing w:val="-1"/>
                <w:sz w:val="24"/>
                <w:szCs w:val="24"/>
                <w:highlight w:val="none"/>
                <w:lang w:eastAsia="zh-CN"/>
                <w14:textFill>
                  <w14:solidFill>
                    <w14:schemeClr w14:val="tx1"/>
                  </w14:solidFill>
                </w14:textFill>
              </w:rPr>
              <w:t>（</w:t>
            </w:r>
            <w:r>
              <w:rPr>
                <w:rFonts w:hint="eastAsia" w:cs="Times New Roman"/>
                <w:color w:val="000000" w:themeColor="text1"/>
                <w:spacing w:val="-1"/>
                <w:sz w:val="24"/>
                <w:szCs w:val="24"/>
                <w:highlight w:val="none"/>
                <w:lang w:val="en-US" w:eastAsia="zh-CN"/>
                <w14:textFill>
                  <w14:solidFill>
                    <w14:schemeClr w14:val="tx1"/>
                  </w14:solidFill>
                </w14:textFill>
              </w:rPr>
              <w:t>1.680</w:t>
            </w:r>
            <w:r>
              <w:rPr>
                <w:rFonts w:hint="default" w:ascii="Times New Roman" w:hAnsi="Times New Roman" w:cs="Times New Roman"/>
                <w:color w:val="000000" w:themeColor="text1"/>
                <w:spacing w:val="-1"/>
                <w:sz w:val="24"/>
                <w:szCs w:val="24"/>
                <w:highlight w:val="none"/>
                <w:lang w:val="en-US" w:eastAsia="zh-CN"/>
                <w14:textFill>
                  <w14:solidFill>
                    <w14:schemeClr w14:val="tx1"/>
                  </w14:solidFill>
                </w14:textFill>
              </w:rPr>
              <w:t>t/a）</w:t>
            </w:r>
            <w:r>
              <w:rPr>
                <w:rFonts w:hint="default" w:ascii="Times New Roman" w:hAnsi="Times New Roman" w:cs="Times New Roman"/>
                <w:color w:val="000000" w:themeColor="text1"/>
                <w:spacing w:val="-1"/>
                <w:sz w:val="24"/>
                <w:szCs w:val="24"/>
                <w:highlight w:val="none"/>
                <w14:textFill>
                  <w14:solidFill>
                    <w14:schemeClr w14:val="tx1"/>
                  </w14:solidFill>
                </w14:textFill>
              </w:rPr>
              <w:t>、NH</w:t>
            </w:r>
            <w:r>
              <w:rPr>
                <w:rFonts w:hint="default" w:ascii="Times New Roman" w:hAnsi="Times New Roman" w:cs="Times New Roman"/>
                <w:color w:val="000000" w:themeColor="text1"/>
                <w:spacing w:val="-1"/>
                <w:sz w:val="24"/>
                <w:szCs w:val="24"/>
                <w:highlight w:val="none"/>
                <w:vertAlign w:val="subscript"/>
                <w:lang w:val="en-US" w:eastAsia="zh-CN"/>
                <w14:textFill>
                  <w14:solidFill>
                    <w14:schemeClr w14:val="tx1"/>
                  </w14:solidFill>
                </w14:textFill>
              </w:rPr>
              <w:t>3</w:t>
            </w:r>
            <w:r>
              <w:rPr>
                <w:rFonts w:hint="default" w:ascii="Times New Roman" w:hAnsi="Times New Roman" w:cs="Times New Roman"/>
                <w:color w:val="000000" w:themeColor="text1"/>
                <w:spacing w:val="-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pacing w:val="-1"/>
                <w:sz w:val="24"/>
                <w:szCs w:val="24"/>
                <w:highlight w:val="none"/>
                <w14:textFill>
                  <w14:solidFill>
                    <w14:schemeClr w14:val="tx1"/>
                  </w14:solidFill>
                </w14:textFill>
              </w:rPr>
              <w:t>N</w:t>
            </w:r>
            <w:r>
              <w:rPr>
                <w:rFonts w:hint="default" w:ascii="Times New Roman" w:hAnsi="Times New Roman" w:cs="Times New Roman"/>
                <w:color w:val="000000" w:themeColor="text1"/>
                <w:spacing w:val="-1"/>
                <w:sz w:val="24"/>
                <w:szCs w:val="24"/>
                <w:highlight w:val="none"/>
                <w:lang w:eastAsia="zh-CN"/>
                <w14:textFill>
                  <w14:solidFill>
                    <w14:schemeClr w14:val="tx1"/>
                  </w14:solidFill>
                </w14:textFill>
              </w:rPr>
              <w:t>（</w:t>
            </w:r>
            <w:r>
              <w:rPr>
                <w:rFonts w:hint="eastAsia" w:cs="Times New Roman"/>
                <w:color w:val="000000" w:themeColor="text1"/>
                <w:spacing w:val="-1"/>
                <w:sz w:val="24"/>
                <w:szCs w:val="24"/>
                <w:highlight w:val="none"/>
                <w:lang w:val="en-US" w:eastAsia="zh-CN"/>
                <w14:textFill>
                  <w14:solidFill>
                    <w14:schemeClr w14:val="tx1"/>
                  </w14:solidFill>
                </w14:textFill>
              </w:rPr>
              <w:t>0.188</w:t>
            </w:r>
            <w:r>
              <w:rPr>
                <w:rFonts w:hint="default" w:ascii="Times New Roman" w:hAnsi="Times New Roman" w:cs="Times New Roman"/>
                <w:color w:val="000000" w:themeColor="text1"/>
                <w:spacing w:val="-1"/>
                <w:sz w:val="24"/>
                <w:szCs w:val="24"/>
                <w:highlight w:val="none"/>
                <w:lang w:val="en-US" w:eastAsia="zh-CN"/>
                <w14:textFill>
                  <w14:solidFill>
                    <w14:schemeClr w14:val="tx1"/>
                  </w14:solidFill>
                </w14:textFill>
              </w:rPr>
              <w:t>t/a）</w:t>
            </w:r>
            <w:r>
              <w:rPr>
                <w:rFonts w:hint="default" w:ascii="Times New Roman" w:hAnsi="Times New Roman" w:cs="Times New Roman"/>
                <w:color w:val="000000" w:themeColor="text1"/>
                <w:spacing w:val="-1"/>
                <w:sz w:val="24"/>
                <w:szCs w:val="24"/>
                <w:highlight w:val="none"/>
                <w14:textFill>
                  <w14:solidFill>
                    <w14:schemeClr w14:val="tx1"/>
                  </w14:solidFill>
                </w14:textFill>
              </w:rPr>
              <w:t>纳入园区污水处理厂的总量控制指标，不需再增加新的总量分配指标。</w:t>
            </w:r>
          </w:p>
          <w:p w14:paraId="223D27E1">
            <w:pPr>
              <w:spacing w:line="360" w:lineRule="auto"/>
              <w:ind w:firstLine="482" w:firstLineChars="200"/>
              <w:rPr>
                <w:rFonts w:hint="default" w:ascii="Times New Roman" w:hAnsi="Times New Roman" w:cs="Times New Roman"/>
                <w:b/>
                <w:bCs/>
                <w:color w:val="000000" w:themeColor="text1"/>
                <w:sz w:val="24"/>
                <w:highlight w:val="none"/>
                <w14:textFill>
                  <w14:solidFill>
                    <w14:schemeClr w14:val="tx1"/>
                  </w14:solidFill>
                </w14:textFill>
              </w:rPr>
            </w:pPr>
            <w:r>
              <w:rPr>
                <w:rFonts w:hint="default" w:ascii="Times New Roman" w:hAnsi="Times New Roman" w:cs="Times New Roman"/>
                <w:b/>
                <w:bCs/>
                <w:color w:val="000000" w:themeColor="text1"/>
                <w:sz w:val="24"/>
                <w:highlight w:val="none"/>
                <w:lang w:val="en-US" w:eastAsia="zh-CN"/>
                <w14:textFill>
                  <w14:solidFill>
                    <w14:schemeClr w14:val="tx1"/>
                  </w14:solidFill>
                </w14:textFill>
              </w:rPr>
              <w:t>2、</w:t>
            </w:r>
            <w:r>
              <w:rPr>
                <w:rFonts w:hint="default" w:ascii="Times New Roman" w:hAnsi="Times New Roman" w:cs="Times New Roman"/>
                <w:b/>
                <w:bCs/>
                <w:color w:val="000000" w:themeColor="text1"/>
                <w:sz w:val="24"/>
                <w:highlight w:val="none"/>
                <w14:textFill>
                  <w14:solidFill>
                    <w14:schemeClr w14:val="tx1"/>
                  </w14:solidFill>
                </w14:textFill>
              </w:rPr>
              <w:t>废气排放量控制指标</w:t>
            </w:r>
          </w:p>
          <w:p w14:paraId="63220734">
            <w:pPr>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根据</w:t>
            </w:r>
            <w:r>
              <w:rPr>
                <w:rFonts w:hint="default" w:ascii="Times New Roman" w:hAnsi="Times New Roman" w:cs="Times New Roman"/>
                <w:color w:val="000000" w:themeColor="text1"/>
                <w:sz w:val="24"/>
                <w:highlight w:val="none"/>
                <w14:textFill>
                  <w14:solidFill>
                    <w14:schemeClr w14:val="tx1"/>
                  </w14:solidFill>
                </w14:textFill>
              </w:rPr>
              <w:t>生态环境部“十四五”主要污染物总量减排有关文件以及</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广东省人民政府关于印发广东省“三线一单”生态环境分区管控方案的通知</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粤府〔2020〕71号</w:t>
            </w:r>
            <w:r>
              <w:rPr>
                <w:rFonts w:hint="default" w:ascii="Times New Roman" w:hAnsi="Times New Roman" w:cs="Times New Roman"/>
                <w:color w:val="000000" w:themeColor="text1"/>
                <w:sz w:val="24"/>
                <w:highlight w:val="none"/>
                <w:lang w:eastAsia="zh-CN"/>
                <w14:textFill>
                  <w14:solidFill>
                    <w14:schemeClr w14:val="tx1"/>
                  </w14:solidFill>
                </w14:textFill>
              </w:rPr>
              <w:t>），重点污染物排放总量指标包括化学需氧量、氨氮、氮氧化物及挥发性有机物等</w:t>
            </w:r>
            <w:r>
              <w:rPr>
                <w:rFonts w:hint="default" w:ascii="Times New Roman" w:hAnsi="Times New Roman" w:cs="Times New Roman"/>
                <w:color w:val="000000" w:themeColor="text1"/>
                <w:sz w:val="24"/>
                <w:highlight w:val="none"/>
                <w:lang w:val="en-US" w:eastAsia="zh-CN"/>
                <w14:textFill>
                  <w14:solidFill>
                    <w14:schemeClr w14:val="tx1"/>
                  </w14:solidFill>
                </w14:textFill>
              </w:rPr>
              <w:t>四项</w:t>
            </w:r>
            <w:r>
              <w:rPr>
                <w:rFonts w:hint="eastAsia"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颗粒物</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、SO</w:t>
            </w:r>
            <w:r>
              <w:rPr>
                <w:rFonts w:hint="eastAsia"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无需设置大气污染物总量控制指标</w:t>
            </w:r>
            <w:r>
              <w:rPr>
                <w:rFonts w:hint="default" w:ascii="Times New Roman" w:hAnsi="Times New Roman" w:cs="Times New Roman"/>
                <w:color w:val="000000" w:themeColor="text1"/>
                <w:sz w:val="24"/>
                <w:highlight w:val="none"/>
                <w14:textFill>
                  <w14:solidFill>
                    <w14:schemeClr w14:val="tx1"/>
                  </w14:solidFill>
                </w14:textFill>
              </w:rPr>
              <w:t>。</w:t>
            </w:r>
          </w:p>
          <w:p w14:paraId="0F78B823">
            <w:pPr>
              <w:spacing w:line="360" w:lineRule="auto"/>
              <w:ind w:firstLine="480" w:firstLineChars="200"/>
              <w:rPr>
                <w:rFonts w:hint="eastAsia" w:cs="Times New Roman"/>
                <w:color w:val="000000" w:themeColor="text1"/>
                <w:sz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highlight w:val="none"/>
                <w:lang w:val="en-US" w:eastAsia="zh-CN"/>
                <w14:textFill>
                  <w14:solidFill>
                    <w14:schemeClr w14:val="tx1"/>
                  </w14:solidFill>
                </w14:textFill>
              </w:rPr>
              <w:t>本项目建成后VOCs排放总量为</w:t>
            </w:r>
            <w:r>
              <w:rPr>
                <w:rFonts w:hint="eastAsia" w:cs="Times New Roman"/>
                <w:color w:val="000000" w:themeColor="text1"/>
                <w:sz w:val="24"/>
                <w:highlight w:val="none"/>
                <w:lang w:val="en-US" w:eastAsia="zh-CN"/>
                <w14:textFill>
                  <w14:solidFill>
                    <w14:schemeClr w14:val="tx1"/>
                  </w14:solidFill>
                </w14:textFill>
              </w:rPr>
              <w:t>1.022</w:t>
            </w:r>
            <w:r>
              <w:rPr>
                <w:rFonts w:hint="eastAsia" w:ascii="Times New Roman" w:hAnsi="Times New Roman" w:cs="Times New Roman"/>
                <w:color w:val="000000" w:themeColor="text1"/>
                <w:sz w:val="24"/>
                <w:highlight w:val="none"/>
                <w:lang w:val="en-US" w:eastAsia="zh-CN"/>
                <w14:textFill>
                  <w14:solidFill>
                    <w14:schemeClr w14:val="tx1"/>
                  </w14:solidFill>
                </w14:textFill>
              </w:rPr>
              <w:t>t/a（有组织排放量</w:t>
            </w:r>
            <w:r>
              <w:rPr>
                <w:rFonts w:hint="eastAsia" w:cs="Times New Roman"/>
                <w:color w:val="000000" w:themeColor="text1"/>
                <w:sz w:val="24"/>
                <w:highlight w:val="none"/>
                <w:lang w:val="en-US" w:eastAsia="zh-CN"/>
                <w14:textFill>
                  <w14:solidFill>
                    <w14:schemeClr w14:val="tx1"/>
                  </w14:solidFill>
                </w14:textFill>
              </w:rPr>
              <w:t>0.670</w:t>
            </w:r>
            <w:r>
              <w:rPr>
                <w:rFonts w:hint="eastAsia" w:ascii="Times New Roman" w:hAnsi="Times New Roman" w:cs="Times New Roman"/>
                <w:color w:val="000000" w:themeColor="text1"/>
                <w:sz w:val="24"/>
                <w:highlight w:val="none"/>
                <w:lang w:val="en-US" w:eastAsia="zh-CN"/>
                <w14:textFill>
                  <w14:solidFill>
                    <w14:schemeClr w14:val="tx1"/>
                  </w14:solidFill>
                </w14:textFill>
              </w:rPr>
              <w:t>t/a，无组织排放量0.</w:t>
            </w:r>
            <w:r>
              <w:rPr>
                <w:rFonts w:hint="eastAsia" w:cs="Times New Roman"/>
                <w:color w:val="000000" w:themeColor="text1"/>
                <w:sz w:val="24"/>
                <w:highlight w:val="none"/>
                <w:lang w:val="en-US" w:eastAsia="zh-CN"/>
                <w14:textFill>
                  <w14:solidFill>
                    <w14:schemeClr w14:val="tx1"/>
                  </w14:solidFill>
                </w14:textFill>
              </w:rPr>
              <w:t>352t</w:t>
            </w:r>
            <w:r>
              <w:rPr>
                <w:rFonts w:hint="eastAsia" w:ascii="Times New Roman" w:hAnsi="Times New Roman" w:cs="Times New Roman"/>
                <w:color w:val="000000" w:themeColor="text1"/>
                <w:sz w:val="24"/>
                <w:highlight w:val="none"/>
                <w:lang w:val="en-US" w:eastAsia="zh-CN"/>
                <w14:textFill>
                  <w14:solidFill>
                    <w14:schemeClr w14:val="tx1"/>
                  </w14:solidFill>
                </w14:textFill>
              </w:rPr>
              <w:t>/a），氮氧化物排放总量为0.</w:t>
            </w:r>
            <w:r>
              <w:rPr>
                <w:rFonts w:hint="eastAsia" w:cs="Times New Roman"/>
                <w:color w:val="000000" w:themeColor="text1"/>
                <w:sz w:val="24"/>
                <w:highlight w:val="none"/>
                <w:lang w:val="en-US" w:eastAsia="zh-CN"/>
                <w14:textFill>
                  <w14:solidFill>
                    <w14:schemeClr w14:val="tx1"/>
                  </w14:solidFill>
                </w14:textFill>
              </w:rPr>
              <w:t>341</w:t>
            </w:r>
            <w:r>
              <w:rPr>
                <w:rFonts w:hint="eastAsia" w:ascii="Times New Roman" w:hAnsi="Times New Roman" w:cs="Times New Roman"/>
                <w:color w:val="000000" w:themeColor="text1"/>
                <w:sz w:val="24"/>
                <w:highlight w:val="none"/>
                <w:lang w:val="en-US" w:eastAsia="zh-CN"/>
                <w14:textFill>
                  <w14:solidFill>
                    <w14:schemeClr w14:val="tx1"/>
                  </w14:solidFill>
                </w14:textFill>
              </w:rPr>
              <w:t>t/a。根据《广东省人民政府办公厅印发广东省关于进一步深化投融资体制改革若干举措的通知》（粤府办〔2025〕8号），VOCs、氮氧化物等量替代需向韶关市生态环境局乐昌分局申请分配</w:t>
            </w:r>
            <w:r>
              <w:rPr>
                <w:rFonts w:hint="eastAsia" w:cs="Times New Roman"/>
                <w:color w:val="000000" w:themeColor="text1"/>
                <w:sz w:val="24"/>
                <w:highlight w:val="none"/>
                <w:lang w:val="en-US" w:eastAsia="zh-CN"/>
                <w14:textFill>
                  <w14:solidFill>
                    <w14:schemeClr w14:val="tx1"/>
                  </w14:solidFill>
                </w14:textFill>
              </w:rPr>
              <w:t>，根据总量申请结果（附件9），有机物总量指标替代来源从“广东嘉盛环保高新材料股份有限公司低效治理设施改造”计划减排量中预支。氮氧化物总量指标来源于乐昌市俊辉木材加工厂燃生物质锅炉淘汰项目、乐昌市华翔木业有限公司燃生物质锅炉淘汰项目。</w:t>
            </w:r>
          </w:p>
          <w:p w14:paraId="3A3C78D3">
            <w:pPr>
              <w:pStyle w:val="2"/>
              <w:rPr>
                <w:rFonts w:hint="default"/>
                <w:color w:val="000000" w:themeColor="text1"/>
                <w:lang w:val="en-US" w:eastAsia="zh-CN"/>
                <w14:textFill>
                  <w14:solidFill>
                    <w14:schemeClr w14:val="tx1"/>
                  </w14:solidFill>
                </w14:textFill>
              </w:rPr>
            </w:pPr>
          </w:p>
        </w:tc>
      </w:tr>
    </w:tbl>
    <w:p w14:paraId="13AE413F">
      <w:pPr>
        <w:pStyle w:val="41"/>
        <w:numPr>
          <w:ilvl w:val="0"/>
          <w:numId w:val="0"/>
        </w:numPr>
        <w:spacing w:line="240" w:lineRule="auto"/>
        <w:jc w:val="both"/>
        <w:outlineLvl w:val="9"/>
        <w:rPr>
          <w:rFonts w:hint="eastAsia" w:ascii="黑体" w:hAnsi="黑体" w:eastAsia="黑体"/>
          <w:snapToGrid w:val="0"/>
          <w:color w:val="000000" w:themeColor="text1"/>
          <w:sz w:val="30"/>
          <w:szCs w:val="30"/>
          <w:highlight w:val="none"/>
          <w14:textFill>
            <w14:solidFill>
              <w14:schemeClr w14:val="tx1"/>
            </w14:solidFill>
          </w14:textFill>
        </w:rPr>
      </w:pPr>
    </w:p>
    <w:p w14:paraId="6CB91C88">
      <w:pPr>
        <w:pStyle w:val="41"/>
        <w:jc w:val="center"/>
        <w:outlineLvl w:val="0"/>
        <w:rPr>
          <w:rFonts w:ascii="黑体" w:hAnsi="黑体" w:eastAsia="黑体"/>
          <w:snapToGrid w:val="0"/>
          <w:color w:val="000000" w:themeColor="text1"/>
          <w:sz w:val="30"/>
          <w:szCs w:val="30"/>
          <w:highlight w:val="none"/>
          <w14:textFill>
            <w14:solidFill>
              <w14:schemeClr w14:val="tx1"/>
            </w14:solidFill>
          </w14:textFill>
        </w:rPr>
      </w:pPr>
      <w:r>
        <w:rPr>
          <w:rFonts w:ascii="黑体" w:hAnsi="黑体" w:eastAsia="黑体"/>
          <w:snapToGrid w:val="0"/>
          <w:color w:val="000000" w:themeColor="text1"/>
          <w:sz w:val="36"/>
          <w:szCs w:val="36"/>
          <w:highlight w:val="none"/>
          <w14:textFill>
            <w14:solidFill>
              <w14:schemeClr w14:val="tx1"/>
            </w14:solidFill>
          </w14:textFill>
        </w:rPr>
        <w:br w:type="page"/>
      </w:r>
      <w:bookmarkStart w:id="17" w:name="_Toc5205"/>
      <w:bookmarkStart w:id="18" w:name="_Toc28571"/>
      <w:bookmarkStart w:id="19" w:name="_Toc31582"/>
      <w:bookmarkStart w:id="20" w:name="_Toc25738"/>
      <w:r>
        <w:rPr>
          <w:rFonts w:hint="eastAsia" w:ascii="黑体" w:hAnsi="黑体" w:eastAsia="黑体"/>
          <w:snapToGrid w:val="0"/>
          <w:color w:val="000000" w:themeColor="text1"/>
          <w:sz w:val="30"/>
          <w:szCs w:val="30"/>
          <w:highlight w:val="none"/>
          <w14:textFill>
            <w14:solidFill>
              <w14:schemeClr w14:val="tx1"/>
            </w14:solidFill>
          </w14:textFill>
        </w:rPr>
        <w:t>四、主要环境影响和保护措施</w:t>
      </w:r>
      <w:bookmarkEnd w:id="17"/>
      <w:bookmarkEnd w:id="18"/>
      <w:bookmarkEnd w:id="19"/>
      <w:bookmarkEnd w:id="20"/>
    </w:p>
    <w:tbl>
      <w:tblPr>
        <w:tblStyle w:val="44"/>
        <w:tblW w:w="912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09"/>
        <w:gridCol w:w="8616"/>
      </w:tblGrid>
      <w:tr w14:paraId="290B54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9" w:type="dxa"/>
            <w:noWrap w:val="0"/>
            <w:tcMar>
              <w:left w:w="28" w:type="dxa"/>
              <w:right w:w="28" w:type="dxa"/>
            </w:tcMar>
            <w:vAlign w:val="center"/>
          </w:tcPr>
          <w:p w14:paraId="03D0D305">
            <w:pPr>
              <w:pStyle w:val="41"/>
              <w:adjustRightInd w:val="0"/>
              <w:snapToGrid w:val="0"/>
              <w:spacing w:before="0" w:beforeAutospacing="0" w:after="0" w:afterAutospacing="0"/>
              <w:jc w:val="center"/>
              <w:rPr>
                <w:rFonts w:hint="default" w:ascii="Times New Roman" w:hAnsi="Times New Roman" w:eastAsia="宋体" w:cs="Times New Roman"/>
                <w:color w:val="000000" w:themeColor="text1"/>
                <w:kern w:val="2"/>
                <w:szCs w:val="24"/>
                <w:highlight w:val="none"/>
                <w14:textFill>
                  <w14:solidFill>
                    <w14:schemeClr w14:val="tx1"/>
                  </w14:solidFill>
                </w14:textFill>
              </w:rPr>
            </w:pPr>
            <w:r>
              <w:rPr>
                <w:rFonts w:hint="default" w:ascii="Times New Roman" w:hAnsi="Times New Roman" w:eastAsia="宋体" w:cs="Times New Roman"/>
                <w:color w:val="000000" w:themeColor="text1"/>
                <w:kern w:val="2"/>
                <w:szCs w:val="24"/>
                <w:highlight w:val="none"/>
                <w14:textFill>
                  <w14:solidFill>
                    <w14:schemeClr w14:val="tx1"/>
                  </w14:solidFill>
                </w14:textFill>
              </w:rPr>
              <w:t>施工</w:t>
            </w:r>
          </w:p>
          <w:p w14:paraId="17ED710D">
            <w:pPr>
              <w:pStyle w:val="41"/>
              <w:adjustRightInd w:val="0"/>
              <w:snapToGrid w:val="0"/>
              <w:spacing w:before="0" w:beforeAutospacing="0" w:after="0" w:afterAutospacing="0"/>
              <w:jc w:val="center"/>
              <w:rPr>
                <w:rFonts w:hint="default" w:ascii="Times New Roman" w:hAnsi="Times New Roman" w:eastAsia="宋体" w:cs="Times New Roman"/>
                <w:color w:val="000000" w:themeColor="text1"/>
                <w:kern w:val="2"/>
                <w:szCs w:val="24"/>
                <w:highlight w:val="none"/>
                <w14:textFill>
                  <w14:solidFill>
                    <w14:schemeClr w14:val="tx1"/>
                  </w14:solidFill>
                </w14:textFill>
              </w:rPr>
            </w:pPr>
            <w:r>
              <w:rPr>
                <w:rFonts w:hint="default" w:ascii="Times New Roman" w:hAnsi="Times New Roman" w:eastAsia="宋体" w:cs="Times New Roman"/>
                <w:color w:val="000000" w:themeColor="text1"/>
                <w:kern w:val="2"/>
                <w:szCs w:val="24"/>
                <w:highlight w:val="none"/>
                <w14:textFill>
                  <w14:solidFill>
                    <w14:schemeClr w14:val="tx1"/>
                  </w14:solidFill>
                </w14:textFill>
              </w:rPr>
              <w:t>期环</w:t>
            </w:r>
          </w:p>
          <w:p w14:paraId="42D62D36">
            <w:pPr>
              <w:pStyle w:val="41"/>
              <w:adjustRightInd w:val="0"/>
              <w:snapToGrid w:val="0"/>
              <w:spacing w:before="0" w:beforeAutospacing="0" w:after="0" w:afterAutospacing="0"/>
              <w:jc w:val="center"/>
              <w:rPr>
                <w:rFonts w:hint="default" w:ascii="Times New Roman" w:hAnsi="Times New Roman" w:eastAsia="宋体" w:cs="Times New Roman"/>
                <w:color w:val="000000" w:themeColor="text1"/>
                <w:kern w:val="2"/>
                <w:szCs w:val="24"/>
                <w:highlight w:val="none"/>
                <w14:textFill>
                  <w14:solidFill>
                    <w14:schemeClr w14:val="tx1"/>
                  </w14:solidFill>
                </w14:textFill>
              </w:rPr>
            </w:pPr>
            <w:r>
              <w:rPr>
                <w:rFonts w:hint="default" w:ascii="Times New Roman" w:hAnsi="Times New Roman" w:eastAsia="宋体" w:cs="Times New Roman"/>
                <w:color w:val="000000" w:themeColor="text1"/>
                <w:kern w:val="2"/>
                <w:szCs w:val="24"/>
                <w:highlight w:val="none"/>
                <w14:textFill>
                  <w14:solidFill>
                    <w14:schemeClr w14:val="tx1"/>
                  </w14:solidFill>
                </w14:textFill>
              </w:rPr>
              <w:t>境保</w:t>
            </w:r>
          </w:p>
          <w:p w14:paraId="015E115C">
            <w:pPr>
              <w:pStyle w:val="41"/>
              <w:adjustRightInd w:val="0"/>
              <w:snapToGrid w:val="0"/>
              <w:spacing w:before="0" w:beforeAutospacing="0" w:after="0" w:afterAutospacing="0"/>
              <w:jc w:val="center"/>
              <w:rPr>
                <w:rFonts w:hint="default" w:ascii="Times New Roman" w:hAnsi="Times New Roman" w:eastAsia="宋体" w:cs="Times New Roman"/>
                <w:color w:val="000000" w:themeColor="text1"/>
                <w:kern w:val="2"/>
                <w:szCs w:val="24"/>
                <w:highlight w:val="none"/>
                <w14:textFill>
                  <w14:solidFill>
                    <w14:schemeClr w14:val="tx1"/>
                  </w14:solidFill>
                </w14:textFill>
              </w:rPr>
            </w:pPr>
            <w:r>
              <w:rPr>
                <w:rFonts w:hint="default" w:ascii="Times New Roman" w:hAnsi="Times New Roman" w:eastAsia="宋体" w:cs="Times New Roman"/>
                <w:color w:val="000000" w:themeColor="text1"/>
                <w:kern w:val="2"/>
                <w:szCs w:val="24"/>
                <w:highlight w:val="none"/>
                <w14:textFill>
                  <w14:solidFill>
                    <w14:schemeClr w14:val="tx1"/>
                  </w14:solidFill>
                </w14:textFill>
              </w:rPr>
              <w:t>护措</w:t>
            </w:r>
          </w:p>
          <w:p w14:paraId="4BB92313">
            <w:pPr>
              <w:pStyle w:val="41"/>
              <w:adjustRightInd w:val="0"/>
              <w:snapToGrid w:val="0"/>
              <w:spacing w:before="0" w:beforeAutospacing="0" w:after="0" w:afterAutospacing="0"/>
              <w:jc w:val="center"/>
              <w:rPr>
                <w:rFonts w:hint="default" w:ascii="Times New Roman" w:hAnsi="Times New Roman" w:eastAsia="宋体" w:cs="Times New Roman"/>
                <w:bCs/>
                <w:color w:val="000000" w:themeColor="text1"/>
                <w:kern w:val="2"/>
                <w:szCs w:val="24"/>
                <w:highlight w:val="none"/>
                <w14:textFill>
                  <w14:solidFill>
                    <w14:schemeClr w14:val="tx1"/>
                  </w14:solidFill>
                </w14:textFill>
              </w:rPr>
            </w:pPr>
            <w:r>
              <w:rPr>
                <w:rFonts w:hint="default" w:ascii="Times New Roman" w:hAnsi="Times New Roman" w:eastAsia="宋体" w:cs="Times New Roman"/>
                <w:color w:val="000000" w:themeColor="text1"/>
                <w:kern w:val="2"/>
                <w:szCs w:val="24"/>
                <w:highlight w:val="none"/>
                <w14:textFill>
                  <w14:solidFill>
                    <w14:schemeClr w14:val="tx1"/>
                  </w14:solidFill>
                </w14:textFill>
              </w:rPr>
              <w:t>施</w:t>
            </w:r>
          </w:p>
        </w:tc>
        <w:tc>
          <w:tcPr>
            <w:tcW w:w="8616" w:type="dxa"/>
            <w:noWrap w:val="0"/>
            <w:vAlign w:val="center"/>
          </w:tcPr>
          <w:p w14:paraId="61776A57">
            <w:pPr>
              <w:pStyle w:val="136"/>
              <w:keepNext w:val="0"/>
              <w:keepLines w:val="0"/>
              <w:pageBreakBefore w:val="0"/>
              <w:widowControl w:val="0"/>
              <w:kinsoku/>
              <w:wordWrap/>
              <w:overflowPunct/>
              <w:topLinePunct w:val="0"/>
              <w:autoSpaceDE/>
              <w:autoSpaceDN/>
              <w:bidi w:val="0"/>
              <w:adjustRightInd/>
              <w:snapToGrid/>
              <w:spacing w:before="39" w:line="120" w:lineRule="exact"/>
              <w:ind w:left="113" w:right="108" w:firstLine="476"/>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p w14:paraId="2EC80E07">
            <w:pPr>
              <w:spacing w:line="360" w:lineRule="auto"/>
              <w:ind w:firstLine="480" w:firstLineChars="200"/>
              <w:rPr>
                <w:rFonts w:hint="default" w:ascii="Times New Roman" w:hAnsi="Times New Roman" w:eastAsia="宋体" w:cs="Times New Roman"/>
                <w:color w:val="000000" w:themeColor="text1"/>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本项目</w:t>
            </w:r>
            <w:r>
              <w:rPr>
                <w:rFonts w:hint="eastAsia"/>
                <w:color w:val="000000" w:themeColor="text1"/>
                <w:sz w:val="24"/>
                <w:szCs w:val="24"/>
                <w:highlight w:val="none"/>
                <w:lang w:eastAsia="zh-CN"/>
                <w14:textFill>
                  <w14:solidFill>
                    <w14:schemeClr w14:val="tx1"/>
                  </w14:solidFill>
                </w14:textFill>
              </w:rPr>
              <w:t>位于</w:t>
            </w:r>
            <w:r>
              <w:rPr>
                <w:rFonts w:hint="eastAsia" w:cs="Times New Roman"/>
                <w:color w:val="000000" w:themeColor="text1"/>
                <w:sz w:val="24"/>
                <w:szCs w:val="24"/>
                <w:highlight w:val="none"/>
                <w:lang w:val="en-US" w:eastAsia="zh-CN"/>
                <w14:textFill>
                  <w14:solidFill>
                    <w14:schemeClr w14:val="tx1"/>
                  </w14:solidFill>
                </w14:textFill>
              </w:rPr>
              <w:t>韶关市乐昌市乐昌经济开发区管理委员会后座046号</w:t>
            </w:r>
            <w:r>
              <w:rPr>
                <w:rFonts w:hint="eastAsia"/>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目前厂房已建设，施工期已过。</w:t>
            </w:r>
          </w:p>
        </w:tc>
      </w:tr>
    </w:tbl>
    <w:p w14:paraId="25EAF578">
      <w:pPr>
        <w:adjustRightInd w:val="0"/>
        <w:snapToGrid w:val="0"/>
        <w:spacing w:line="360" w:lineRule="auto"/>
        <w:rPr>
          <w:rFonts w:hint="eastAsia" w:ascii="宋体" w:cs="宋体"/>
          <w:b/>
          <w:color w:val="000000" w:themeColor="text1"/>
          <w:kern w:val="0"/>
          <w:sz w:val="28"/>
          <w:szCs w:val="28"/>
          <w:highlight w:val="none"/>
          <w14:textFill>
            <w14:solidFill>
              <w14:schemeClr w14:val="tx1"/>
            </w14:solidFill>
          </w14:textFill>
        </w:rPr>
        <w:sectPr>
          <w:pgSz w:w="11907" w:h="16840"/>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13064"/>
      </w:tblGrid>
      <w:tr w14:paraId="2DEA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5" w:hRule="atLeast"/>
        </w:trPr>
        <w:tc>
          <w:tcPr>
            <w:tcW w:w="630" w:type="dxa"/>
            <w:noWrap w:val="0"/>
            <w:vAlign w:val="top"/>
          </w:tcPr>
          <w:p w14:paraId="75234501">
            <w:pPr>
              <w:adjustRightInd w:val="0"/>
              <w:snapToGrid w:val="0"/>
              <w:jc w:val="center"/>
              <w:rPr>
                <w:rFonts w:hint="default" w:ascii="Times New Roman" w:hAnsi="Times New Roman" w:eastAsia="宋体" w:cs="Times New Roman"/>
                <w:bCs/>
                <w:color w:val="000000" w:themeColor="text1"/>
                <w:sz w:val="24"/>
                <w:highlight w:val="none"/>
                <w14:textFill>
                  <w14:solidFill>
                    <w14:schemeClr w14:val="tx1"/>
                  </w14:solidFill>
                </w14:textFill>
              </w:rPr>
            </w:pPr>
            <w:r>
              <w:rPr>
                <w:rFonts w:hint="default" w:ascii="Times New Roman" w:hAnsi="Times New Roman" w:eastAsia="宋体" w:cs="Times New Roman"/>
                <w:bCs/>
                <w:color w:val="000000" w:themeColor="text1"/>
                <w:sz w:val="24"/>
                <w:highlight w:val="none"/>
                <w14:textFill>
                  <w14:solidFill>
                    <w14:schemeClr w14:val="tx1"/>
                  </w14:solidFill>
                </w14:textFill>
              </w:rPr>
              <w:t>运营</w:t>
            </w:r>
          </w:p>
          <w:p w14:paraId="14BED8C5">
            <w:pPr>
              <w:adjustRightInd w:val="0"/>
              <w:snapToGrid w:val="0"/>
              <w:jc w:val="center"/>
              <w:rPr>
                <w:rFonts w:hint="default" w:ascii="Times New Roman" w:hAnsi="Times New Roman" w:eastAsia="宋体" w:cs="Times New Roman"/>
                <w:bCs/>
                <w:color w:val="000000" w:themeColor="text1"/>
                <w:sz w:val="24"/>
                <w:highlight w:val="none"/>
                <w14:textFill>
                  <w14:solidFill>
                    <w14:schemeClr w14:val="tx1"/>
                  </w14:solidFill>
                </w14:textFill>
              </w:rPr>
            </w:pPr>
            <w:r>
              <w:rPr>
                <w:rFonts w:hint="default" w:ascii="Times New Roman" w:hAnsi="Times New Roman" w:eastAsia="宋体" w:cs="Times New Roman"/>
                <w:bCs/>
                <w:color w:val="000000" w:themeColor="text1"/>
                <w:sz w:val="24"/>
                <w:highlight w:val="none"/>
                <w14:textFill>
                  <w14:solidFill>
                    <w14:schemeClr w14:val="tx1"/>
                  </w14:solidFill>
                </w14:textFill>
              </w:rPr>
              <w:t>期环</w:t>
            </w:r>
          </w:p>
          <w:p w14:paraId="4CF6938B">
            <w:pPr>
              <w:adjustRightInd w:val="0"/>
              <w:snapToGrid w:val="0"/>
              <w:jc w:val="center"/>
              <w:rPr>
                <w:rFonts w:hint="default" w:ascii="Times New Roman" w:hAnsi="Times New Roman" w:eastAsia="宋体" w:cs="Times New Roman"/>
                <w:bCs/>
                <w:color w:val="000000" w:themeColor="text1"/>
                <w:sz w:val="24"/>
                <w:highlight w:val="none"/>
                <w14:textFill>
                  <w14:solidFill>
                    <w14:schemeClr w14:val="tx1"/>
                  </w14:solidFill>
                </w14:textFill>
              </w:rPr>
            </w:pPr>
            <w:r>
              <w:rPr>
                <w:rFonts w:hint="default" w:ascii="Times New Roman" w:hAnsi="Times New Roman" w:eastAsia="宋体" w:cs="Times New Roman"/>
                <w:bCs/>
                <w:color w:val="000000" w:themeColor="text1"/>
                <w:sz w:val="24"/>
                <w:highlight w:val="none"/>
                <w14:textFill>
                  <w14:solidFill>
                    <w14:schemeClr w14:val="tx1"/>
                  </w14:solidFill>
                </w14:textFill>
              </w:rPr>
              <w:t>境影</w:t>
            </w:r>
          </w:p>
          <w:p w14:paraId="7D0F6D8F">
            <w:pPr>
              <w:adjustRightInd w:val="0"/>
              <w:snapToGrid w:val="0"/>
              <w:jc w:val="center"/>
              <w:rPr>
                <w:rFonts w:hint="default" w:ascii="Times New Roman" w:hAnsi="Times New Roman" w:eastAsia="宋体" w:cs="Times New Roman"/>
                <w:bCs/>
                <w:color w:val="000000" w:themeColor="text1"/>
                <w:sz w:val="24"/>
                <w:highlight w:val="none"/>
                <w14:textFill>
                  <w14:solidFill>
                    <w14:schemeClr w14:val="tx1"/>
                  </w14:solidFill>
                </w14:textFill>
              </w:rPr>
            </w:pPr>
            <w:r>
              <w:rPr>
                <w:rFonts w:hint="default" w:ascii="Times New Roman" w:hAnsi="Times New Roman" w:eastAsia="宋体" w:cs="Times New Roman"/>
                <w:bCs/>
                <w:color w:val="000000" w:themeColor="text1"/>
                <w:sz w:val="24"/>
                <w:highlight w:val="none"/>
                <w14:textFill>
                  <w14:solidFill>
                    <w14:schemeClr w14:val="tx1"/>
                  </w14:solidFill>
                </w14:textFill>
              </w:rPr>
              <w:t>响和</w:t>
            </w:r>
          </w:p>
          <w:p w14:paraId="07F642B8">
            <w:pPr>
              <w:adjustRightInd w:val="0"/>
              <w:snapToGrid w:val="0"/>
              <w:jc w:val="center"/>
              <w:rPr>
                <w:rFonts w:hint="eastAsia"/>
                <w:color w:val="000000" w:themeColor="text1"/>
                <w:highlight w:val="none"/>
                <w:vertAlign w:val="baseline"/>
                <w14:textFill>
                  <w14:solidFill>
                    <w14:schemeClr w14:val="tx1"/>
                  </w14:solidFill>
                </w14:textFill>
              </w:rPr>
            </w:pPr>
            <w:r>
              <w:rPr>
                <w:rFonts w:hint="default" w:ascii="Times New Roman" w:hAnsi="Times New Roman" w:eastAsia="宋体" w:cs="Times New Roman"/>
                <w:bCs/>
                <w:color w:val="000000" w:themeColor="text1"/>
                <w:sz w:val="24"/>
                <w:highlight w:val="none"/>
                <w14:textFill>
                  <w14:solidFill>
                    <w14:schemeClr w14:val="tx1"/>
                  </w14:solidFill>
                </w14:textFill>
              </w:rPr>
              <w:t>保护措施</w:t>
            </w:r>
          </w:p>
        </w:tc>
        <w:tc>
          <w:tcPr>
            <w:tcW w:w="13024" w:type="dxa"/>
            <w:noWrap w:val="0"/>
            <w:vAlign w:val="top"/>
          </w:tcPr>
          <w:p w14:paraId="475F12F8">
            <w:pPr>
              <w:spacing w:line="360" w:lineRule="auto"/>
              <w:ind w:firstLine="482" w:firstLineChars="200"/>
              <w:rPr>
                <w:rFonts w:hint="default" w:ascii="Times New Roman" w:hAnsi="Times New Roman" w:cs="Times New Roman"/>
                <w:b/>
                <w:color w:val="000000" w:themeColor="text1"/>
                <w:sz w:val="24"/>
                <w:szCs w:val="24"/>
                <w:highlight w:val="none"/>
                <w:lang w:val="en-US" w:eastAsia="zh-CN"/>
                <w14:textFill>
                  <w14:solidFill>
                    <w14:schemeClr w14:val="tx1"/>
                  </w14:solidFill>
                </w14:textFill>
              </w:rPr>
            </w:pPr>
            <w:r>
              <w:rPr>
                <w:rFonts w:hint="eastAsia" w:cs="Times New Roman"/>
                <w:b/>
                <w:color w:val="000000" w:themeColor="text1"/>
                <w:sz w:val="24"/>
                <w:szCs w:val="24"/>
                <w:highlight w:val="none"/>
                <w:lang w:val="en-US" w:eastAsia="zh-CN"/>
                <w14:textFill>
                  <w14:solidFill>
                    <w14:schemeClr w14:val="tx1"/>
                  </w14:solidFill>
                </w14:textFill>
              </w:rPr>
              <w:t>1、 废气</w:t>
            </w:r>
          </w:p>
          <w:p w14:paraId="41827A48">
            <w:pPr>
              <w:spacing w:line="360" w:lineRule="auto"/>
              <w:ind w:firstLine="482"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b/>
                <w:color w:val="000000" w:themeColor="text1"/>
                <w:sz w:val="24"/>
                <w:szCs w:val="24"/>
                <w:highlight w:val="none"/>
                <w:lang w:val="en-US" w:eastAsia="zh-CN"/>
                <w14:textFill>
                  <w14:solidFill>
                    <w14:schemeClr w14:val="tx1"/>
                  </w14:solidFill>
                </w14:textFill>
              </w:rPr>
              <w:t>1</w:t>
            </w:r>
            <w:r>
              <w:rPr>
                <w:rFonts w:hint="eastAsia" w:cs="Times New Roman"/>
                <w:b/>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b/>
                <w:color w:val="000000" w:themeColor="text1"/>
                <w:sz w:val="24"/>
                <w:szCs w:val="24"/>
                <w:highlight w:val="none"/>
                <w:lang w:val="en-US" w:eastAsia="zh-CN"/>
                <w14:textFill>
                  <w14:solidFill>
                    <w14:schemeClr w14:val="tx1"/>
                  </w14:solidFill>
                </w14:textFill>
              </w:rPr>
              <w:t>废气</w:t>
            </w:r>
            <w:r>
              <w:rPr>
                <w:rFonts w:hint="eastAsia" w:cs="Times New Roman"/>
                <w:b/>
                <w:color w:val="000000" w:themeColor="text1"/>
                <w:sz w:val="24"/>
                <w:szCs w:val="24"/>
                <w:highlight w:val="none"/>
                <w:lang w:val="en-US" w:eastAsia="zh-CN"/>
                <w14:textFill>
                  <w14:solidFill>
                    <w14:schemeClr w14:val="tx1"/>
                  </w14:solidFill>
                </w14:textFill>
              </w:rPr>
              <w:t>排放情况</w:t>
            </w:r>
          </w:p>
          <w:p w14:paraId="13CD4D49">
            <w:pPr>
              <w:widowControl w:val="0"/>
              <w:kinsoku/>
              <w:autoSpaceDE/>
              <w:autoSpaceDN/>
              <w:adjustRightInd/>
              <w:snapToGrid/>
              <w:spacing w:line="360" w:lineRule="auto"/>
              <w:ind w:firstLine="464" w:firstLineChars="200"/>
              <w:jc w:val="both"/>
              <w:textAlignment w:val="auto"/>
              <w:rPr>
                <w:rFonts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pPr>
            <w:r>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t>本项目营运期产生的废气主要为钣金车间的</w:t>
            </w:r>
            <w:r>
              <w:rPr>
                <w:rFonts w:hint="default"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机加工粉尘</w:t>
            </w:r>
            <w:r>
              <w:rPr>
                <w:rFonts w:hint="eastAsia"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（含切割粉尘、</w:t>
            </w:r>
            <w:r>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t>打磨抛光粉尘</w:t>
            </w:r>
            <w:r>
              <w:rPr>
                <w:rFonts w:hint="eastAsia"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w:t>
            </w:r>
            <w:r>
              <w:rPr>
                <w:rFonts w:hint="default"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w:t>
            </w:r>
            <w:r>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t>焊接烟尘；</w:t>
            </w:r>
            <w:r>
              <w:rPr>
                <w:rFonts w:hint="eastAsia" w:cs="Times New Roman"/>
                <w:snapToGrid/>
                <w:color w:val="000000" w:themeColor="text1"/>
                <w:spacing w:val="-4"/>
                <w:kern w:val="2"/>
                <w:sz w:val="24"/>
                <w:szCs w:val="24"/>
                <w:highlight w:val="none"/>
                <w:lang w:val="en-US" w:eastAsia="zh-CN"/>
                <w14:textFill>
                  <w14:solidFill>
                    <w14:schemeClr w14:val="tx1"/>
                  </w14:solidFill>
                </w14:textFill>
              </w:rPr>
              <w:t>喷涂车间产生的喷粉粉尘、喷漆废气和固化废气</w:t>
            </w:r>
            <w:r>
              <w:rPr>
                <w:rFonts w:hint="default"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以及</w:t>
            </w:r>
            <w:r>
              <w:rPr>
                <w:rFonts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t>厨房油烟废气。</w:t>
            </w:r>
          </w:p>
          <w:p w14:paraId="79BC77D1">
            <w:pPr>
              <w:pStyle w:val="2"/>
              <w:keepNext w:val="0"/>
              <w:keepLines w:val="0"/>
              <w:numPr>
                <w:ilvl w:val="0"/>
                <w:numId w:val="0"/>
              </w:numPr>
              <w:suppressLineNumbers w:val="0"/>
              <w:tabs>
                <w:tab w:val="left" w:pos="0"/>
              </w:tabs>
              <w:spacing w:before="0" w:beforeAutospacing="0" w:after="0" w:afterAutospacing="0"/>
              <w:ind w:left="0" w:leftChars="0" w:right="0" w:rightChars="0" w:firstLine="40" w:firstLineChars="0"/>
              <w:jc w:val="center"/>
              <w:rPr>
                <w:rFonts w:hint="eastAsia" w:asci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表4-1</w:t>
            </w:r>
            <w:r>
              <w:rPr>
                <w:rFonts w:hint="eastAsia" w:ascii="Times New Roman" w:cs="Times New Roman"/>
                <w:b/>
                <w:bCs/>
                <w:color w:val="000000" w:themeColor="text1"/>
                <w:kern w:val="2"/>
                <w:sz w:val="21"/>
                <w:szCs w:val="21"/>
                <w:lang w:val="en-US" w:eastAsia="zh-CN" w:bidi="ar-SA"/>
                <w14:textFill>
                  <w14:solidFill>
                    <w14:schemeClr w14:val="tx1"/>
                  </w14:solidFill>
                </w14:textFill>
              </w:rPr>
              <w:t xml:space="preserve"> </w:t>
            </w:r>
            <w:r>
              <w:rPr>
                <w:rFonts w:hint="eastAsia" w:ascii="Times New Roman" w:cs="Times New Roman"/>
                <w:b/>
                <w:bCs/>
                <w:color w:val="000000" w:themeColor="text1"/>
                <w:sz w:val="21"/>
                <w:szCs w:val="21"/>
                <w:highlight w:val="none"/>
                <w14:textFill>
                  <w14:solidFill>
                    <w14:schemeClr w14:val="tx1"/>
                  </w14:solidFill>
                </w14:textFill>
              </w:rPr>
              <w:t>项目废气产排污节点、污染物及污染治理设施情况一览表</w:t>
            </w:r>
          </w:p>
          <w:tbl>
            <w:tblPr>
              <w:tblStyle w:val="45"/>
              <w:tblW w:w="498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43"/>
              <w:gridCol w:w="2242"/>
              <w:gridCol w:w="1131"/>
              <w:gridCol w:w="1717"/>
              <w:gridCol w:w="914"/>
              <w:gridCol w:w="1165"/>
              <w:gridCol w:w="2234"/>
              <w:gridCol w:w="1116"/>
              <w:gridCol w:w="985"/>
              <w:gridCol w:w="845"/>
            </w:tblGrid>
            <w:tr w14:paraId="1D8D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73" w:type="pct"/>
                  <w:vMerge w:val="restart"/>
                  <w:noWrap w:val="0"/>
                  <w:vAlign w:val="center"/>
                </w:tcPr>
                <w:p w14:paraId="482470F7">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t>序号</w:t>
                  </w:r>
                </w:p>
              </w:tc>
              <w:tc>
                <w:tcPr>
                  <w:tcW w:w="876" w:type="pct"/>
                  <w:vMerge w:val="restart"/>
                  <w:noWrap w:val="0"/>
                  <w:vAlign w:val="center"/>
                </w:tcPr>
                <w:p w14:paraId="71C8FE92">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t>位置</w:t>
                  </w:r>
                </w:p>
              </w:tc>
              <w:tc>
                <w:tcPr>
                  <w:tcW w:w="442" w:type="pct"/>
                  <w:vMerge w:val="restart"/>
                  <w:noWrap w:val="0"/>
                  <w:vAlign w:val="center"/>
                </w:tcPr>
                <w:p w14:paraId="2A56784D">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t>产污环节</w:t>
                  </w:r>
                </w:p>
              </w:tc>
              <w:tc>
                <w:tcPr>
                  <w:tcW w:w="671" w:type="pct"/>
                  <w:vMerge w:val="restart"/>
                  <w:noWrap w:val="0"/>
                  <w:vAlign w:val="center"/>
                </w:tcPr>
                <w:p w14:paraId="57E771EF">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t>污染物种类</w:t>
                  </w:r>
                </w:p>
              </w:tc>
              <w:tc>
                <w:tcPr>
                  <w:tcW w:w="357" w:type="pct"/>
                  <w:vMerge w:val="restart"/>
                  <w:noWrap w:val="0"/>
                  <w:vAlign w:val="center"/>
                </w:tcPr>
                <w:p w14:paraId="524A2B18">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t>排放形式</w:t>
                  </w:r>
                </w:p>
              </w:tc>
              <w:tc>
                <w:tcPr>
                  <w:tcW w:w="2149" w:type="pct"/>
                  <w:gridSpan w:val="4"/>
                  <w:tcBorders>
                    <w:right w:val="single" w:color="000000" w:sz="4" w:space="0"/>
                  </w:tcBorders>
                  <w:noWrap w:val="0"/>
                  <w:vAlign w:val="center"/>
                </w:tcPr>
                <w:p w14:paraId="37BDF344">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t>污染防治设施</w:t>
                  </w:r>
                </w:p>
              </w:tc>
              <w:tc>
                <w:tcPr>
                  <w:tcW w:w="330" w:type="pct"/>
                  <w:vMerge w:val="restart"/>
                  <w:noWrap w:val="0"/>
                  <w:vAlign w:val="center"/>
                </w:tcPr>
                <w:p w14:paraId="73EB8BD6">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t>有组织排放编号</w:t>
                  </w:r>
                </w:p>
              </w:tc>
            </w:tr>
            <w:tr w14:paraId="6FE5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73" w:type="pct"/>
                  <w:vMerge w:val="continue"/>
                  <w:noWrap w:val="0"/>
                  <w:vAlign w:val="center"/>
                </w:tcPr>
                <w:p w14:paraId="4AEC933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000000" w:themeColor="text1"/>
                      <w:sz w:val="21"/>
                      <w:szCs w:val="21"/>
                      <w:highlight w:val="none"/>
                      <w14:textFill>
                        <w14:solidFill>
                          <w14:schemeClr w14:val="tx1"/>
                        </w14:solidFill>
                      </w14:textFill>
                    </w:rPr>
                  </w:pPr>
                </w:p>
              </w:tc>
              <w:tc>
                <w:tcPr>
                  <w:tcW w:w="876" w:type="pct"/>
                  <w:vMerge w:val="continue"/>
                  <w:noWrap w:val="0"/>
                  <w:vAlign w:val="center"/>
                </w:tcPr>
                <w:p w14:paraId="1EF6869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000000" w:themeColor="text1"/>
                      <w:sz w:val="21"/>
                      <w:szCs w:val="21"/>
                      <w:highlight w:val="none"/>
                      <w14:textFill>
                        <w14:solidFill>
                          <w14:schemeClr w14:val="tx1"/>
                        </w14:solidFill>
                      </w14:textFill>
                    </w:rPr>
                  </w:pPr>
                </w:p>
              </w:tc>
              <w:tc>
                <w:tcPr>
                  <w:tcW w:w="442" w:type="pct"/>
                  <w:vMerge w:val="continue"/>
                  <w:noWrap w:val="0"/>
                  <w:vAlign w:val="center"/>
                </w:tcPr>
                <w:p w14:paraId="18ACFE3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000000" w:themeColor="text1"/>
                      <w:sz w:val="21"/>
                      <w:szCs w:val="21"/>
                      <w:highlight w:val="none"/>
                      <w14:textFill>
                        <w14:solidFill>
                          <w14:schemeClr w14:val="tx1"/>
                        </w14:solidFill>
                      </w14:textFill>
                    </w:rPr>
                  </w:pPr>
                </w:p>
              </w:tc>
              <w:tc>
                <w:tcPr>
                  <w:tcW w:w="671" w:type="pct"/>
                  <w:vMerge w:val="continue"/>
                  <w:noWrap w:val="0"/>
                  <w:vAlign w:val="center"/>
                </w:tcPr>
                <w:p w14:paraId="6FE729E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000000" w:themeColor="text1"/>
                      <w:sz w:val="21"/>
                      <w:szCs w:val="21"/>
                      <w:highlight w:val="none"/>
                      <w14:textFill>
                        <w14:solidFill>
                          <w14:schemeClr w14:val="tx1"/>
                        </w14:solidFill>
                      </w14:textFill>
                    </w:rPr>
                  </w:pPr>
                </w:p>
              </w:tc>
              <w:tc>
                <w:tcPr>
                  <w:tcW w:w="357" w:type="pct"/>
                  <w:vMerge w:val="continue"/>
                  <w:noWrap w:val="0"/>
                  <w:vAlign w:val="center"/>
                </w:tcPr>
                <w:p w14:paraId="557B986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000000" w:themeColor="text1"/>
                      <w:sz w:val="21"/>
                      <w:szCs w:val="21"/>
                      <w:highlight w:val="none"/>
                      <w14:textFill>
                        <w14:solidFill>
                          <w14:schemeClr w14:val="tx1"/>
                        </w14:solidFill>
                      </w14:textFill>
                    </w:rPr>
                  </w:pPr>
                </w:p>
              </w:tc>
              <w:tc>
                <w:tcPr>
                  <w:tcW w:w="455" w:type="pct"/>
                  <w:noWrap w:val="0"/>
                  <w:vAlign w:val="center"/>
                </w:tcPr>
                <w:p w14:paraId="3E55F19D">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t>污染防治设施编号</w:t>
                  </w:r>
                </w:p>
              </w:tc>
              <w:tc>
                <w:tcPr>
                  <w:tcW w:w="873" w:type="pct"/>
                  <w:noWrap w:val="0"/>
                  <w:vAlign w:val="center"/>
                </w:tcPr>
                <w:p w14:paraId="35F7DAEF">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t>污染防治设施名称</w:t>
                  </w:r>
                </w:p>
              </w:tc>
              <w:tc>
                <w:tcPr>
                  <w:tcW w:w="436" w:type="pct"/>
                  <w:noWrap w:val="0"/>
                  <w:vAlign w:val="center"/>
                </w:tcPr>
                <w:p w14:paraId="5FEBCB51">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t>污染防治设施工艺</w:t>
                  </w:r>
                </w:p>
              </w:tc>
              <w:tc>
                <w:tcPr>
                  <w:tcW w:w="385" w:type="pct"/>
                  <w:tcBorders>
                    <w:right w:val="single" w:color="000000" w:sz="4" w:space="0"/>
                  </w:tcBorders>
                  <w:noWrap w:val="0"/>
                  <w:vAlign w:val="center"/>
                </w:tcPr>
                <w:p w14:paraId="32FBA054">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t>是否为可行性技术</w:t>
                  </w:r>
                </w:p>
              </w:tc>
              <w:tc>
                <w:tcPr>
                  <w:tcW w:w="330" w:type="pct"/>
                  <w:vMerge w:val="continue"/>
                  <w:noWrap w:val="0"/>
                  <w:vAlign w:val="center"/>
                </w:tcPr>
                <w:p w14:paraId="4B28255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000000" w:themeColor="text1"/>
                      <w:sz w:val="21"/>
                      <w:szCs w:val="21"/>
                      <w:highlight w:val="none"/>
                      <w14:textFill>
                        <w14:solidFill>
                          <w14:schemeClr w14:val="tx1"/>
                        </w14:solidFill>
                      </w14:textFill>
                    </w:rPr>
                  </w:pPr>
                </w:p>
              </w:tc>
            </w:tr>
            <w:tr w14:paraId="544A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73" w:type="pct"/>
                  <w:noWrap w:val="0"/>
                  <w:vAlign w:val="center"/>
                </w:tcPr>
                <w:p w14:paraId="61C6E125">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w:t>
                  </w:r>
                </w:p>
              </w:tc>
              <w:tc>
                <w:tcPr>
                  <w:tcW w:w="876" w:type="pct"/>
                  <w:noWrap w:val="0"/>
                  <w:vAlign w:val="center"/>
                </w:tcPr>
                <w:p w14:paraId="5F735C0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激光切割生产线</w:t>
                  </w:r>
                  <w:r>
                    <w:rPr>
                      <w:rFonts w:hint="eastAsia"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、数控切割机</w:t>
                  </w:r>
                </w:p>
              </w:tc>
              <w:tc>
                <w:tcPr>
                  <w:tcW w:w="442" w:type="pct"/>
                  <w:noWrap w:val="0"/>
                  <w:vAlign w:val="center"/>
                </w:tcPr>
                <w:p w14:paraId="665ABF86">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钣金成型（切割）</w:t>
                  </w:r>
                </w:p>
              </w:tc>
              <w:tc>
                <w:tcPr>
                  <w:tcW w:w="671" w:type="pct"/>
                  <w:noWrap w:val="0"/>
                  <w:vAlign w:val="center"/>
                </w:tcPr>
                <w:p w14:paraId="7D2D7185">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颗粒物</w:t>
                  </w:r>
                </w:p>
              </w:tc>
              <w:tc>
                <w:tcPr>
                  <w:tcW w:w="357" w:type="pct"/>
                  <w:noWrap w:val="0"/>
                  <w:vAlign w:val="center"/>
                </w:tcPr>
                <w:p w14:paraId="19D17DC3">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无组织</w:t>
                  </w:r>
                </w:p>
              </w:tc>
              <w:tc>
                <w:tcPr>
                  <w:tcW w:w="455" w:type="pct"/>
                  <w:noWrap w:val="0"/>
                  <w:vAlign w:val="center"/>
                </w:tcPr>
                <w:p w14:paraId="4D273444">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p>
              </w:tc>
              <w:tc>
                <w:tcPr>
                  <w:tcW w:w="873" w:type="pct"/>
                  <w:noWrap w:val="0"/>
                  <w:vAlign w:val="center"/>
                </w:tcPr>
                <w:p w14:paraId="7DC7F470">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436" w:type="pct"/>
                  <w:noWrap w:val="0"/>
                  <w:vAlign w:val="center"/>
                </w:tcPr>
                <w:p w14:paraId="1023D2B8">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385" w:type="pct"/>
                  <w:noWrap w:val="0"/>
                  <w:vAlign w:val="center"/>
                </w:tcPr>
                <w:p w14:paraId="21CE8A4A">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330" w:type="pct"/>
                  <w:noWrap w:val="0"/>
                  <w:vAlign w:val="center"/>
                </w:tcPr>
                <w:p w14:paraId="666E5FA0">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r>
            <w:tr w14:paraId="0D03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73" w:type="pct"/>
                  <w:noWrap w:val="0"/>
                  <w:vAlign w:val="center"/>
                </w:tcPr>
                <w:p w14:paraId="4D1B5386">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w:t>
                  </w:r>
                </w:p>
              </w:tc>
              <w:tc>
                <w:tcPr>
                  <w:tcW w:w="876" w:type="pct"/>
                  <w:noWrap w:val="0"/>
                  <w:vAlign w:val="center"/>
                </w:tcPr>
                <w:p w14:paraId="1031491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高速激光焊机、进口氩弧焊机、多功能焊机</w:t>
                  </w:r>
                </w:p>
              </w:tc>
              <w:tc>
                <w:tcPr>
                  <w:tcW w:w="442" w:type="pct"/>
                  <w:noWrap w:val="0"/>
                  <w:vAlign w:val="center"/>
                </w:tcPr>
                <w:p w14:paraId="5C42DBE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钣金成型（焊接）</w:t>
                  </w:r>
                </w:p>
              </w:tc>
              <w:tc>
                <w:tcPr>
                  <w:tcW w:w="671" w:type="pct"/>
                  <w:noWrap w:val="0"/>
                  <w:vAlign w:val="center"/>
                </w:tcPr>
                <w:p w14:paraId="6615D88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颗粒物</w:t>
                  </w:r>
                </w:p>
              </w:tc>
              <w:tc>
                <w:tcPr>
                  <w:tcW w:w="357" w:type="pct"/>
                  <w:noWrap w:val="0"/>
                  <w:vAlign w:val="center"/>
                </w:tcPr>
                <w:p w14:paraId="2A939EC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无组织</w:t>
                  </w:r>
                </w:p>
              </w:tc>
              <w:tc>
                <w:tcPr>
                  <w:tcW w:w="455" w:type="pct"/>
                  <w:noWrap w:val="0"/>
                  <w:vAlign w:val="center"/>
                </w:tcPr>
                <w:p w14:paraId="37E7149B">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p>
              </w:tc>
              <w:tc>
                <w:tcPr>
                  <w:tcW w:w="873" w:type="pct"/>
                  <w:noWrap w:val="0"/>
                  <w:vAlign w:val="center"/>
                </w:tcPr>
                <w:p w14:paraId="64B85696">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移动式焊烟净化器</w:t>
                  </w:r>
                </w:p>
              </w:tc>
              <w:tc>
                <w:tcPr>
                  <w:tcW w:w="436" w:type="pct"/>
                  <w:noWrap w:val="0"/>
                  <w:vAlign w:val="center"/>
                </w:tcPr>
                <w:p w14:paraId="6BCB7D79">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滤筒除尘</w:t>
                  </w:r>
                </w:p>
              </w:tc>
              <w:tc>
                <w:tcPr>
                  <w:tcW w:w="385" w:type="pct"/>
                  <w:noWrap w:val="0"/>
                  <w:vAlign w:val="center"/>
                </w:tcPr>
                <w:p w14:paraId="16CA3AF3">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是</w:t>
                  </w:r>
                </w:p>
              </w:tc>
              <w:tc>
                <w:tcPr>
                  <w:tcW w:w="330" w:type="pct"/>
                  <w:noWrap w:val="0"/>
                  <w:vAlign w:val="center"/>
                </w:tcPr>
                <w:p w14:paraId="7406FA0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p>
              </w:tc>
            </w:tr>
            <w:tr w14:paraId="3A48B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73" w:type="pct"/>
                  <w:noWrap w:val="0"/>
                  <w:vAlign w:val="center"/>
                </w:tcPr>
                <w:p w14:paraId="4FC71371">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w:t>
                  </w:r>
                </w:p>
              </w:tc>
              <w:tc>
                <w:tcPr>
                  <w:tcW w:w="876" w:type="pct"/>
                  <w:noWrap w:val="0"/>
                  <w:vAlign w:val="center"/>
                </w:tcPr>
                <w:p w14:paraId="0D6C36D0">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手磨机</w:t>
                  </w:r>
                </w:p>
              </w:tc>
              <w:tc>
                <w:tcPr>
                  <w:tcW w:w="442" w:type="pct"/>
                  <w:noWrap w:val="0"/>
                  <w:vAlign w:val="center"/>
                </w:tcPr>
                <w:p w14:paraId="175BC2FF">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抛光打磨</w:t>
                  </w:r>
                </w:p>
              </w:tc>
              <w:tc>
                <w:tcPr>
                  <w:tcW w:w="671" w:type="pct"/>
                  <w:noWrap w:val="0"/>
                  <w:vAlign w:val="center"/>
                </w:tcPr>
                <w:p w14:paraId="23D3D54A">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颗粒物</w:t>
                  </w:r>
                </w:p>
              </w:tc>
              <w:tc>
                <w:tcPr>
                  <w:tcW w:w="357" w:type="pct"/>
                  <w:noWrap w:val="0"/>
                  <w:vAlign w:val="center"/>
                </w:tcPr>
                <w:p w14:paraId="650DDC3A">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无</w:t>
                  </w:r>
                  <w:r>
                    <w:rPr>
                      <w:rFonts w:hint="default" w:ascii="Times New Roman" w:hAnsi="Times New Roman" w:cs="Times New Roman"/>
                      <w:color w:val="000000" w:themeColor="text1"/>
                      <w:sz w:val="21"/>
                      <w:szCs w:val="21"/>
                      <w:highlight w:val="none"/>
                      <w14:textFill>
                        <w14:solidFill>
                          <w14:schemeClr w14:val="tx1"/>
                        </w14:solidFill>
                      </w14:textFill>
                    </w:rPr>
                    <w:t>组织</w:t>
                  </w:r>
                </w:p>
              </w:tc>
              <w:tc>
                <w:tcPr>
                  <w:tcW w:w="455" w:type="pct"/>
                  <w:noWrap w:val="0"/>
                  <w:vAlign w:val="center"/>
                </w:tcPr>
                <w:p w14:paraId="1A7D3450">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873" w:type="pct"/>
                  <w:noWrap w:val="0"/>
                  <w:vAlign w:val="center"/>
                </w:tcPr>
                <w:p w14:paraId="0AC4CA2A">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436" w:type="pct"/>
                  <w:noWrap w:val="0"/>
                  <w:vAlign w:val="center"/>
                </w:tcPr>
                <w:p w14:paraId="0F2CD4E8">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w:t>
                  </w:r>
                </w:p>
              </w:tc>
              <w:tc>
                <w:tcPr>
                  <w:tcW w:w="385" w:type="pct"/>
                  <w:noWrap w:val="0"/>
                  <w:vAlign w:val="center"/>
                </w:tcPr>
                <w:p w14:paraId="31AD86B7">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330" w:type="pct"/>
                  <w:noWrap w:val="0"/>
                  <w:vAlign w:val="center"/>
                </w:tcPr>
                <w:p w14:paraId="6B76C47E">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r>
            <w:tr w14:paraId="00981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73" w:type="pct"/>
                  <w:noWrap w:val="0"/>
                  <w:vAlign w:val="center"/>
                </w:tcPr>
                <w:p w14:paraId="33776A4B">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w:t>
                  </w:r>
                </w:p>
              </w:tc>
              <w:tc>
                <w:tcPr>
                  <w:tcW w:w="876" w:type="pct"/>
                  <w:noWrap w:val="0"/>
                  <w:vAlign w:val="center"/>
                </w:tcPr>
                <w:p w14:paraId="65039E5B">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喷粉粉尘</w:t>
                  </w:r>
                </w:p>
              </w:tc>
              <w:tc>
                <w:tcPr>
                  <w:tcW w:w="442" w:type="pct"/>
                  <w:noWrap w:val="0"/>
                  <w:vAlign w:val="center"/>
                </w:tcPr>
                <w:p w14:paraId="42863562">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喷粉</w:t>
                  </w:r>
                </w:p>
              </w:tc>
              <w:tc>
                <w:tcPr>
                  <w:tcW w:w="671" w:type="pct"/>
                  <w:shd w:val="clear" w:color="auto" w:fill="auto"/>
                  <w:noWrap w:val="0"/>
                  <w:vAlign w:val="center"/>
                </w:tcPr>
                <w:p w14:paraId="18F7A15A">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颗粒物</w:t>
                  </w:r>
                </w:p>
              </w:tc>
              <w:tc>
                <w:tcPr>
                  <w:tcW w:w="357" w:type="pct"/>
                  <w:shd w:val="clear" w:color="auto" w:fill="auto"/>
                  <w:noWrap w:val="0"/>
                  <w:vAlign w:val="center"/>
                </w:tcPr>
                <w:p w14:paraId="74B4FA75">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无组织</w:t>
                  </w:r>
                </w:p>
              </w:tc>
              <w:tc>
                <w:tcPr>
                  <w:tcW w:w="455" w:type="pct"/>
                  <w:noWrap w:val="0"/>
                  <w:vAlign w:val="center"/>
                </w:tcPr>
                <w:p w14:paraId="68681576">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TA001</w:t>
                  </w:r>
                </w:p>
              </w:tc>
              <w:tc>
                <w:tcPr>
                  <w:tcW w:w="873" w:type="pct"/>
                  <w:noWrap w:val="0"/>
                  <w:vAlign w:val="center"/>
                </w:tcPr>
                <w:p w14:paraId="7D872DE7">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color w:val="000000" w:themeColor="text1"/>
                      <w:sz w:val="21"/>
                      <w:szCs w:val="21"/>
                      <w14:textFill>
                        <w14:solidFill>
                          <w14:schemeClr w14:val="tx1"/>
                        </w14:solidFill>
                      </w14:textFill>
                    </w:rPr>
                    <w:t>大旋风+滤芯式二级回收系统</w:t>
                  </w:r>
                </w:p>
              </w:tc>
              <w:tc>
                <w:tcPr>
                  <w:tcW w:w="436" w:type="pct"/>
                  <w:noWrap w:val="0"/>
                  <w:vAlign w:val="center"/>
                </w:tcPr>
                <w:p w14:paraId="298B82E0">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p>
              </w:tc>
              <w:tc>
                <w:tcPr>
                  <w:tcW w:w="385" w:type="pct"/>
                  <w:noWrap w:val="0"/>
                  <w:vAlign w:val="center"/>
                </w:tcPr>
                <w:p w14:paraId="57777619">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p>
              </w:tc>
              <w:tc>
                <w:tcPr>
                  <w:tcW w:w="330" w:type="pct"/>
                  <w:noWrap w:val="0"/>
                  <w:vAlign w:val="center"/>
                </w:tcPr>
                <w:p w14:paraId="0FF25A62">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p>
              </w:tc>
            </w:tr>
            <w:tr w14:paraId="1188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73" w:type="pct"/>
                  <w:noWrap w:val="0"/>
                  <w:vAlign w:val="center"/>
                </w:tcPr>
                <w:p w14:paraId="687A9ED6">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5</w:t>
                  </w:r>
                </w:p>
              </w:tc>
              <w:tc>
                <w:tcPr>
                  <w:tcW w:w="876" w:type="pct"/>
                  <w:shd w:val="clear" w:color="auto" w:fill="auto"/>
                  <w:noWrap w:val="0"/>
                  <w:vAlign w:val="center"/>
                </w:tcPr>
                <w:p w14:paraId="4D2DC930">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喷漆</w:t>
                  </w:r>
                  <w:r>
                    <w:rPr>
                      <w:rFonts w:hint="eastAsia" w:cs="Times New Roman"/>
                      <w:color w:val="000000" w:themeColor="text1"/>
                      <w:sz w:val="21"/>
                      <w:szCs w:val="21"/>
                      <w:highlight w:val="none"/>
                      <w:lang w:val="en-US" w:eastAsia="zh-CN"/>
                      <w14:textFill>
                        <w14:solidFill>
                          <w14:schemeClr w14:val="tx1"/>
                        </w14:solidFill>
                      </w14:textFill>
                    </w:rPr>
                    <w:t>线</w:t>
                  </w:r>
                </w:p>
              </w:tc>
              <w:tc>
                <w:tcPr>
                  <w:tcW w:w="442" w:type="pct"/>
                  <w:shd w:val="clear" w:color="auto" w:fill="auto"/>
                  <w:noWrap w:val="0"/>
                  <w:vAlign w:val="center"/>
                </w:tcPr>
                <w:p w14:paraId="0BA335F7">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喷漆</w:t>
                  </w:r>
                </w:p>
              </w:tc>
              <w:tc>
                <w:tcPr>
                  <w:tcW w:w="671" w:type="pct"/>
                  <w:shd w:val="clear" w:color="auto" w:fill="auto"/>
                  <w:noWrap w:val="0"/>
                  <w:vAlign w:val="center"/>
                </w:tcPr>
                <w:p w14:paraId="5A04CCE1">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颗粒物、非甲烷总烃、苯系物、臭气浓度</w:t>
                  </w:r>
                </w:p>
              </w:tc>
              <w:tc>
                <w:tcPr>
                  <w:tcW w:w="357" w:type="pct"/>
                  <w:shd w:val="clear" w:color="auto" w:fill="auto"/>
                  <w:noWrap w:val="0"/>
                  <w:vAlign w:val="center"/>
                </w:tcPr>
                <w:p w14:paraId="1E7E131A">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有组织</w:t>
                  </w:r>
                </w:p>
              </w:tc>
              <w:tc>
                <w:tcPr>
                  <w:tcW w:w="455" w:type="pct"/>
                  <w:shd w:val="clear" w:color="auto" w:fill="auto"/>
                  <w:noWrap w:val="0"/>
                  <w:vAlign w:val="center"/>
                </w:tcPr>
                <w:p w14:paraId="5C742019">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TA00</w:t>
                  </w:r>
                  <w:r>
                    <w:rPr>
                      <w:rFonts w:hint="eastAsia" w:cs="Times New Roman"/>
                      <w:color w:val="000000" w:themeColor="text1"/>
                      <w:sz w:val="21"/>
                      <w:szCs w:val="21"/>
                      <w:highlight w:val="none"/>
                      <w:lang w:val="en-US" w:eastAsia="zh-CN"/>
                      <w14:textFill>
                        <w14:solidFill>
                          <w14:schemeClr w14:val="tx1"/>
                        </w14:solidFill>
                      </w14:textFill>
                    </w:rPr>
                    <w:t>2</w:t>
                  </w:r>
                </w:p>
              </w:tc>
              <w:tc>
                <w:tcPr>
                  <w:tcW w:w="873" w:type="pct"/>
                  <w:shd w:val="clear" w:color="auto" w:fill="auto"/>
                  <w:noWrap w:val="0"/>
                  <w:vAlign w:val="center"/>
                </w:tcPr>
                <w:p w14:paraId="0D1121BF">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喷淋</w:t>
                  </w:r>
                  <w:r>
                    <w:rPr>
                      <w:rFonts w:hint="default" w:ascii="Times New Roman" w:hAnsi="Times New Roman" w:eastAsia="宋体" w:cs="Times New Roman"/>
                      <w:color w:val="000000" w:themeColor="text1"/>
                      <w:sz w:val="21"/>
                      <w:szCs w:val="21"/>
                      <w:highlight w:val="none"/>
                      <w14:textFill>
                        <w14:solidFill>
                          <w14:schemeClr w14:val="tx1"/>
                        </w14:solidFill>
                      </w14:textFill>
                    </w:rPr>
                    <w:t>+干式过滤器+</w:t>
                  </w:r>
                  <w:r>
                    <w:rPr>
                      <w:rFonts w:hint="eastAsia" w:cs="Times New Roman"/>
                      <w:color w:val="000000" w:themeColor="text1"/>
                      <w:sz w:val="21"/>
                      <w:szCs w:val="21"/>
                      <w:highlight w:val="none"/>
                      <w:lang w:eastAsia="zh-CN"/>
                      <w14:textFill>
                        <w14:solidFill>
                          <w14:schemeClr w14:val="tx1"/>
                        </w14:solidFill>
                      </w14:textFill>
                    </w:rPr>
                    <w:t>活性炭吸脱附+催化燃烧+活性炭吸附</w:t>
                  </w:r>
                </w:p>
              </w:tc>
              <w:tc>
                <w:tcPr>
                  <w:tcW w:w="436" w:type="pct"/>
                  <w:shd w:val="clear" w:color="auto" w:fill="auto"/>
                  <w:noWrap w:val="0"/>
                  <w:vAlign w:val="center"/>
                </w:tcPr>
                <w:p w14:paraId="3467F5C8">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喷淋</w:t>
                  </w:r>
                  <w:r>
                    <w:rPr>
                      <w:rFonts w:hint="default" w:ascii="Times New Roman" w:hAnsi="Times New Roman" w:eastAsia="宋体" w:cs="Times New Roman"/>
                      <w:color w:val="000000" w:themeColor="text1"/>
                      <w:sz w:val="21"/>
                      <w:szCs w:val="21"/>
                      <w:highlight w:val="none"/>
                      <w14:textFill>
                        <w14:solidFill>
                          <w14:schemeClr w14:val="tx1"/>
                        </w14:solidFill>
                      </w14:textFill>
                    </w:rPr>
                    <w:t>+干式过滤器+</w:t>
                  </w:r>
                  <w:r>
                    <w:rPr>
                      <w:rFonts w:hint="eastAsia" w:cs="Times New Roman"/>
                      <w:color w:val="000000" w:themeColor="text1"/>
                      <w:sz w:val="21"/>
                      <w:szCs w:val="21"/>
                      <w:highlight w:val="none"/>
                      <w:lang w:eastAsia="zh-CN"/>
                      <w14:textFill>
                        <w14:solidFill>
                          <w14:schemeClr w14:val="tx1"/>
                        </w14:solidFill>
                      </w14:textFill>
                    </w:rPr>
                    <w:t>活性炭吸脱附+催化燃烧+活性炭吸附</w:t>
                  </w:r>
                </w:p>
              </w:tc>
              <w:tc>
                <w:tcPr>
                  <w:tcW w:w="385" w:type="pct"/>
                  <w:shd w:val="clear" w:color="auto" w:fill="auto"/>
                  <w:noWrap w:val="0"/>
                  <w:vAlign w:val="center"/>
                </w:tcPr>
                <w:p w14:paraId="329A2F61">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是</w:t>
                  </w:r>
                </w:p>
              </w:tc>
              <w:tc>
                <w:tcPr>
                  <w:tcW w:w="330" w:type="pct"/>
                  <w:shd w:val="clear" w:color="auto" w:fill="auto"/>
                  <w:noWrap w:val="0"/>
                  <w:vAlign w:val="center"/>
                </w:tcPr>
                <w:p w14:paraId="34B39CAE">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DA001</w:t>
                  </w:r>
                </w:p>
              </w:tc>
            </w:tr>
            <w:tr w14:paraId="626A4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73" w:type="pct"/>
                  <w:shd w:val="clear" w:color="auto" w:fill="auto"/>
                  <w:noWrap w:val="0"/>
                  <w:vAlign w:val="center"/>
                </w:tcPr>
                <w:p w14:paraId="4B6D7B9F">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6</w:t>
                  </w:r>
                </w:p>
              </w:tc>
              <w:tc>
                <w:tcPr>
                  <w:tcW w:w="876" w:type="pct"/>
                  <w:shd w:val="clear" w:color="auto" w:fill="auto"/>
                  <w:noWrap w:val="0"/>
                  <w:vAlign w:val="center"/>
                </w:tcPr>
                <w:p w14:paraId="7526F3C1">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固化炉</w:t>
                  </w:r>
                </w:p>
              </w:tc>
              <w:tc>
                <w:tcPr>
                  <w:tcW w:w="442" w:type="pct"/>
                  <w:shd w:val="clear" w:color="auto" w:fill="auto"/>
                  <w:noWrap w:val="0"/>
                  <w:vAlign w:val="center"/>
                </w:tcPr>
                <w:p w14:paraId="30573061">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固化</w:t>
                  </w:r>
                </w:p>
              </w:tc>
              <w:tc>
                <w:tcPr>
                  <w:tcW w:w="671" w:type="pct"/>
                  <w:shd w:val="clear" w:color="auto" w:fill="auto"/>
                  <w:noWrap w:val="0"/>
                  <w:vAlign w:val="center"/>
                </w:tcPr>
                <w:p w14:paraId="21365C93">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非甲烷总烃、臭气浓度、</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颗粒物、</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SO</w:t>
                  </w:r>
                  <w:r>
                    <w:rPr>
                      <w:rFonts w:hint="default" w:ascii="Times New Roman" w:hAnsi="Times New Roman" w:eastAsia="宋体" w:cs="Times New Roman"/>
                      <w:b w:val="0"/>
                      <w:bCs w:val="0"/>
                      <w:color w:val="000000" w:themeColor="text1"/>
                      <w:sz w:val="21"/>
                      <w:szCs w:val="21"/>
                      <w:highlight w:val="none"/>
                      <w:vertAlign w:val="subscript"/>
                      <w14:textFill>
                        <w14:solidFill>
                          <w14:schemeClr w14:val="tx1"/>
                        </w14:solidFill>
                      </w14:textFill>
                    </w:rPr>
                    <w:t>2</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NO</w:t>
                  </w:r>
                  <w:r>
                    <w:rPr>
                      <w:rFonts w:hint="default" w:ascii="Times New Roman" w:hAnsi="Times New Roman" w:eastAsia="宋体" w:cs="Times New Roman"/>
                      <w:b w:val="0"/>
                      <w:bCs w:val="0"/>
                      <w:color w:val="000000" w:themeColor="text1"/>
                      <w:sz w:val="21"/>
                      <w:szCs w:val="21"/>
                      <w:highlight w:val="none"/>
                      <w:vertAlign w:val="subscript"/>
                      <w14:textFill>
                        <w14:solidFill>
                          <w14:schemeClr w14:val="tx1"/>
                        </w14:solidFill>
                      </w14:textFill>
                    </w:rPr>
                    <w:t>X</w:t>
                  </w:r>
                </w:p>
              </w:tc>
              <w:tc>
                <w:tcPr>
                  <w:tcW w:w="357" w:type="pct"/>
                  <w:shd w:val="clear" w:color="auto" w:fill="auto"/>
                  <w:noWrap w:val="0"/>
                  <w:vAlign w:val="center"/>
                </w:tcPr>
                <w:p w14:paraId="135B0EBD">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有组织</w:t>
                  </w:r>
                </w:p>
              </w:tc>
              <w:tc>
                <w:tcPr>
                  <w:tcW w:w="455" w:type="pct"/>
                  <w:shd w:val="clear" w:color="auto" w:fill="auto"/>
                  <w:noWrap w:val="0"/>
                  <w:vAlign w:val="center"/>
                </w:tcPr>
                <w:p w14:paraId="455EAC2E">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TA00</w:t>
                  </w:r>
                  <w:r>
                    <w:rPr>
                      <w:rFonts w:hint="eastAsia" w:cs="Times New Roman"/>
                      <w:color w:val="000000" w:themeColor="text1"/>
                      <w:sz w:val="21"/>
                      <w:szCs w:val="21"/>
                      <w:highlight w:val="none"/>
                      <w:lang w:val="en-US" w:eastAsia="zh-CN"/>
                      <w14:textFill>
                        <w14:solidFill>
                          <w14:schemeClr w14:val="tx1"/>
                        </w14:solidFill>
                      </w14:textFill>
                    </w:rPr>
                    <w:t>3</w:t>
                  </w:r>
                </w:p>
              </w:tc>
              <w:tc>
                <w:tcPr>
                  <w:tcW w:w="873" w:type="pct"/>
                  <w:shd w:val="clear" w:color="auto" w:fill="auto"/>
                  <w:noWrap w:val="0"/>
                  <w:vAlign w:val="center"/>
                </w:tcPr>
                <w:p w14:paraId="5A3E4CE5">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喷淋</w:t>
                  </w:r>
                  <w:r>
                    <w:rPr>
                      <w:rFonts w:hint="default" w:ascii="Times New Roman" w:hAnsi="Times New Roman" w:eastAsia="宋体" w:cs="Times New Roman"/>
                      <w:color w:val="000000" w:themeColor="text1"/>
                      <w:sz w:val="21"/>
                      <w:szCs w:val="21"/>
                      <w:highlight w:val="none"/>
                      <w14:textFill>
                        <w14:solidFill>
                          <w14:schemeClr w14:val="tx1"/>
                        </w14:solidFill>
                      </w14:textFill>
                    </w:rPr>
                    <w:t>+干式过滤器+</w:t>
                  </w:r>
                  <w:r>
                    <w:rPr>
                      <w:rFonts w:hint="eastAsia" w:cs="Times New Roman"/>
                      <w:color w:val="000000" w:themeColor="text1"/>
                      <w:kern w:val="0"/>
                      <w:sz w:val="21"/>
                      <w:szCs w:val="21"/>
                      <w:lang w:val="en-US" w:eastAsia="zh-CN" w:bidi="ar"/>
                      <w14:textFill>
                        <w14:solidFill>
                          <w14:schemeClr w14:val="tx1"/>
                        </w14:solidFill>
                      </w14:textFill>
                    </w:rPr>
                    <w:t>二级活性炭吸附</w:t>
                  </w:r>
                </w:p>
              </w:tc>
              <w:tc>
                <w:tcPr>
                  <w:tcW w:w="436" w:type="pct"/>
                  <w:shd w:val="clear" w:color="auto" w:fill="auto"/>
                  <w:noWrap w:val="0"/>
                  <w:vAlign w:val="center"/>
                </w:tcPr>
                <w:p w14:paraId="2C7C1E3E">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喷淋</w:t>
                  </w:r>
                  <w:r>
                    <w:rPr>
                      <w:rFonts w:hint="default" w:ascii="Times New Roman" w:hAnsi="Times New Roman" w:eastAsia="宋体" w:cs="Times New Roman"/>
                      <w:color w:val="000000" w:themeColor="text1"/>
                      <w:sz w:val="21"/>
                      <w:szCs w:val="21"/>
                      <w:highlight w:val="none"/>
                      <w14:textFill>
                        <w14:solidFill>
                          <w14:schemeClr w14:val="tx1"/>
                        </w14:solidFill>
                      </w14:textFill>
                    </w:rPr>
                    <w:t>+干式过滤器+</w:t>
                  </w:r>
                  <w:r>
                    <w:rPr>
                      <w:rFonts w:hint="eastAsia" w:cs="Times New Roman"/>
                      <w:color w:val="000000" w:themeColor="text1"/>
                      <w:kern w:val="0"/>
                      <w:sz w:val="21"/>
                      <w:szCs w:val="21"/>
                      <w:lang w:val="en-US" w:eastAsia="zh-CN" w:bidi="ar"/>
                      <w14:textFill>
                        <w14:solidFill>
                          <w14:schemeClr w14:val="tx1"/>
                        </w14:solidFill>
                      </w14:textFill>
                    </w:rPr>
                    <w:t>二级活性炭吸附</w:t>
                  </w:r>
                </w:p>
              </w:tc>
              <w:tc>
                <w:tcPr>
                  <w:tcW w:w="385" w:type="pct"/>
                  <w:shd w:val="clear" w:color="auto" w:fill="auto"/>
                  <w:noWrap w:val="0"/>
                  <w:vAlign w:val="center"/>
                </w:tcPr>
                <w:p w14:paraId="0D6A7999">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是</w:t>
                  </w:r>
                </w:p>
              </w:tc>
              <w:tc>
                <w:tcPr>
                  <w:tcW w:w="330" w:type="pct"/>
                  <w:shd w:val="clear" w:color="auto" w:fill="auto"/>
                  <w:noWrap w:val="0"/>
                  <w:vAlign w:val="center"/>
                </w:tcPr>
                <w:p w14:paraId="2F357506">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DA002</w:t>
                  </w:r>
                </w:p>
              </w:tc>
            </w:tr>
            <w:tr w14:paraId="33F0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73" w:type="pct"/>
                  <w:shd w:val="clear" w:color="auto" w:fill="auto"/>
                  <w:noWrap w:val="0"/>
                  <w:vAlign w:val="center"/>
                </w:tcPr>
                <w:p w14:paraId="4158F5F9">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7</w:t>
                  </w:r>
                </w:p>
              </w:tc>
              <w:tc>
                <w:tcPr>
                  <w:tcW w:w="876" w:type="pct"/>
                  <w:shd w:val="clear" w:color="auto" w:fill="auto"/>
                  <w:noWrap w:val="0"/>
                  <w:vAlign w:val="center"/>
                </w:tcPr>
                <w:p w14:paraId="10793FAD">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食堂</w:t>
                  </w:r>
                </w:p>
              </w:tc>
              <w:tc>
                <w:tcPr>
                  <w:tcW w:w="442" w:type="pct"/>
                  <w:shd w:val="clear" w:color="auto" w:fill="auto"/>
                  <w:noWrap w:val="0"/>
                  <w:vAlign w:val="center"/>
                </w:tcPr>
                <w:p w14:paraId="1C87A603">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烹饪</w:t>
                  </w:r>
                </w:p>
              </w:tc>
              <w:tc>
                <w:tcPr>
                  <w:tcW w:w="671" w:type="pct"/>
                  <w:shd w:val="clear" w:color="auto" w:fill="auto"/>
                  <w:noWrap w:val="0"/>
                  <w:vAlign w:val="center"/>
                </w:tcPr>
                <w:p w14:paraId="02F262D4">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厨房油烟</w:t>
                  </w:r>
                </w:p>
              </w:tc>
              <w:tc>
                <w:tcPr>
                  <w:tcW w:w="357" w:type="pct"/>
                  <w:shd w:val="clear" w:color="auto" w:fill="auto"/>
                  <w:noWrap w:val="0"/>
                  <w:vAlign w:val="center"/>
                </w:tcPr>
                <w:p w14:paraId="75CBCAAA">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有组织</w:t>
                  </w:r>
                </w:p>
              </w:tc>
              <w:tc>
                <w:tcPr>
                  <w:tcW w:w="455" w:type="pct"/>
                  <w:shd w:val="clear" w:color="auto" w:fill="auto"/>
                  <w:noWrap w:val="0"/>
                  <w:vAlign w:val="center"/>
                </w:tcPr>
                <w:p w14:paraId="6E013D74">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TA00</w:t>
                  </w:r>
                  <w:r>
                    <w:rPr>
                      <w:rFonts w:hint="eastAsia" w:cs="Times New Roman"/>
                      <w:color w:val="000000" w:themeColor="text1"/>
                      <w:sz w:val="21"/>
                      <w:szCs w:val="21"/>
                      <w:highlight w:val="none"/>
                      <w:lang w:val="en-US" w:eastAsia="zh-CN"/>
                      <w14:textFill>
                        <w14:solidFill>
                          <w14:schemeClr w14:val="tx1"/>
                        </w14:solidFill>
                      </w14:textFill>
                    </w:rPr>
                    <w:t>4</w:t>
                  </w:r>
                </w:p>
              </w:tc>
              <w:tc>
                <w:tcPr>
                  <w:tcW w:w="1309" w:type="pct"/>
                  <w:gridSpan w:val="2"/>
                  <w:shd w:val="clear" w:color="auto" w:fill="auto"/>
                  <w:noWrap w:val="0"/>
                  <w:vAlign w:val="center"/>
                </w:tcPr>
                <w:p w14:paraId="6CC3B825">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t>高效静电油烟净化器</w:t>
                  </w:r>
                </w:p>
              </w:tc>
              <w:tc>
                <w:tcPr>
                  <w:tcW w:w="385" w:type="pct"/>
                  <w:shd w:val="clear" w:color="auto" w:fill="auto"/>
                  <w:noWrap w:val="0"/>
                  <w:vAlign w:val="center"/>
                </w:tcPr>
                <w:p w14:paraId="4061D501">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是</w:t>
                  </w:r>
                </w:p>
              </w:tc>
              <w:tc>
                <w:tcPr>
                  <w:tcW w:w="330" w:type="pct"/>
                  <w:shd w:val="clear" w:color="auto" w:fill="auto"/>
                  <w:noWrap w:val="0"/>
                  <w:vAlign w:val="center"/>
                </w:tcPr>
                <w:p w14:paraId="27B63065">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DA003</w:t>
                  </w:r>
                </w:p>
              </w:tc>
            </w:tr>
            <w:tr w14:paraId="15D72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73" w:type="pct"/>
                  <w:shd w:val="clear" w:color="auto" w:fill="auto"/>
                  <w:noWrap w:val="0"/>
                  <w:vAlign w:val="center"/>
                </w:tcPr>
                <w:p w14:paraId="0B2A5B48">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8</w:t>
                  </w:r>
                </w:p>
              </w:tc>
              <w:tc>
                <w:tcPr>
                  <w:tcW w:w="876" w:type="pct"/>
                  <w:shd w:val="clear" w:color="auto" w:fill="auto"/>
                  <w:noWrap w:val="0"/>
                  <w:vAlign w:val="center"/>
                </w:tcPr>
                <w:p w14:paraId="1C4B1C1B">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脱脂工序</w:t>
                  </w:r>
                </w:p>
              </w:tc>
              <w:tc>
                <w:tcPr>
                  <w:tcW w:w="442" w:type="pct"/>
                  <w:shd w:val="clear" w:color="auto" w:fill="auto"/>
                  <w:noWrap w:val="0"/>
                  <w:vAlign w:val="center"/>
                </w:tcPr>
                <w:p w14:paraId="0723E6EA">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脱脂</w:t>
                  </w:r>
                </w:p>
              </w:tc>
              <w:tc>
                <w:tcPr>
                  <w:tcW w:w="671" w:type="pct"/>
                  <w:shd w:val="clear" w:color="auto" w:fill="auto"/>
                  <w:noWrap w:val="0"/>
                  <w:vAlign w:val="center"/>
                </w:tcPr>
                <w:p w14:paraId="4A263C35">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氟化物</w:t>
                  </w:r>
                </w:p>
              </w:tc>
              <w:tc>
                <w:tcPr>
                  <w:tcW w:w="357" w:type="pct"/>
                  <w:shd w:val="clear" w:color="auto" w:fill="auto"/>
                  <w:noWrap w:val="0"/>
                  <w:vAlign w:val="center"/>
                </w:tcPr>
                <w:p w14:paraId="3764C885">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无组织</w:t>
                  </w:r>
                </w:p>
              </w:tc>
              <w:tc>
                <w:tcPr>
                  <w:tcW w:w="455" w:type="pct"/>
                  <w:shd w:val="clear" w:color="auto" w:fill="auto"/>
                  <w:noWrap w:val="0"/>
                  <w:vAlign w:val="center"/>
                </w:tcPr>
                <w:p w14:paraId="4C5B46B5">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1309" w:type="pct"/>
                  <w:gridSpan w:val="2"/>
                  <w:shd w:val="clear" w:color="auto" w:fill="auto"/>
                  <w:noWrap w:val="0"/>
                  <w:vAlign w:val="center"/>
                </w:tcPr>
                <w:p w14:paraId="4A7F2A85">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cs="Times New Roman"/>
                      <w:snapToGrid/>
                      <w:color w:val="000000" w:themeColor="text1"/>
                      <w:kern w:val="2"/>
                      <w:sz w:val="21"/>
                      <w:szCs w:val="21"/>
                      <w:highlight w:val="none"/>
                      <w:lang w:val="en-US" w:eastAsia="zh-CN"/>
                      <w14:textFill>
                        <w14:solidFill>
                          <w14:schemeClr w14:val="tx1"/>
                        </w14:solidFill>
                      </w14:textFill>
                    </w:rPr>
                    <w:t>/</w:t>
                  </w:r>
                </w:p>
              </w:tc>
              <w:tc>
                <w:tcPr>
                  <w:tcW w:w="385" w:type="pct"/>
                  <w:shd w:val="clear" w:color="auto" w:fill="auto"/>
                  <w:noWrap w:val="0"/>
                  <w:vAlign w:val="center"/>
                </w:tcPr>
                <w:p w14:paraId="1351CF88">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330" w:type="pct"/>
                  <w:shd w:val="clear" w:color="auto" w:fill="auto"/>
                  <w:noWrap w:val="0"/>
                  <w:vAlign w:val="center"/>
                </w:tcPr>
                <w:p w14:paraId="14147881">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r>
          </w:tbl>
          <w:p w14:paraId="1C9D543B">
            <w:pPr>
              <w:keepNext w:val="0"/>
              <w:keepLines w:val="0"/>
              <w:pageBreakBefore w:val="0"/>
              <w:widowControl w:val="0"/>
              <w:kinsoku/>
              <w:wordWrap/>
              <w:overflowPunct/>
              <w:topLinePunct w:val="0"/>
              <w:autoSpaceDE/>
              <w:autoSpaceDN/>
              <w:bidi w:val="0"/>
              <w:adjustRightInd/>
              <w:snapToGrid/>
              <w:spacing w:line="120" w:lineRule="exact"/>
              <w:ind w:firstLine="464" w:firstLineChars="200"/>
              <w:jc w:val="both"/>
              <w:textAlignment w:val="auto"/>
              <w:rPr>
                <w:rFonts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pPr>
          </w:p>
          <w:p w14:paraId="2A6384C2">
            <w:pPr>
              <w:pStyle w:val="2"/>
              <w:keepNext w:val="0"/>
              <w:keepLines w:val="0"/>
              <w:numPr>
                <w:ilvl w:val="0"/>
                <w:numId w:val="0"/>
              </w:numPr>
              <w:suppressLineNumbers w:val="0"/>
              <w:tabs>
                <w:tab w:val="left" w:pos="0"/>
              </w:tabs>
              <w:spacing w:before="0" w:beforeAutospacing="0" w:after="0" w:afterAutospacing="0"/>
              <w:ind w:left="0" w:leftChars="0" w:right="0" w:rightChars="0" w:firstLine="40" w:firstLineChars="0"/>
              <w:jc w:val="center"/>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eastAsia="宋体....." w:cs="Times New Roman"/>
                <w:b/>
                <w:color w:val="000000" w:themeColor="text1"/>
                <w:kern w:val="2"/>
                <w:sz w:val="21"/>
                <w:szCs w:val="21"/>
                <w:lang w:val="en-US" w:eastAsia="zh-CN" w:bidi="ar-SA"/>
                <w14:textFill>
                  <w14:solidFill>
                    <w14:schemeClr w14:val="tx1"/>
                  </w14:solidFill>
                </w14:textFill>
              </w:rPr>
              <w:t>表4-2</w:t>
            </w:r>
            <w:r>
              <w:rPr>
                <w:rFonts w:hint="eastAsia" w:ascii="Times New Roman" w:cs="Times New Roman"/>
                <w:b/>
                <w:color w:val="000000" w:themeColor="text1"/>
                <w:kern w:val="2"/>
                <w:sz w:val="21"/>
                <w:szCs w:val="21"/>
                <w:lang w:val="en-US" w:eastAsia="zh-CN" w:bidi="ar-SA"/>
                <w14:textFill>
                  <w14:solidFill>
                    <w14:schemeClr w14:val="tx1"/>
                  </w14:solidFill>
                </w14:textFill>
              </w:rPr>
              <w:t xml:space="preserve">  </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本项目</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废气产排</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情况</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一览</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表</w:t>
            </w:r>
          </w:p>
          <w:tbl>
            <w:tblPr>
              <w:tblStyle w:val="4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1012"/>
              <w:gridCol w:w="873"/>
              <w:gridCol w:w="1074"/>
              <w:gridCol w:w="1102"/>
              <w:gridCol w:w="904"/>
              <w:gridCol w:w="1109"/>
              <w:gridCol w:w="735"/>
              <w:gridCol w:w="670"/>
              <w:gridCol w:w="873"/>
              <w:gridCol w:w="1109"/>
              <w:gridCol w:w="1225"/>
              <w:gridCol w:w="878"/>
            </w:tblGrid>
            <w:tr w14:paraId="71785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vMerge w:val="restart"/>
                  <w:tcBorders>
                    <w:tl2br w:val="nil"/>
                    <w:tr2bl w:val="nil"/>
                  </w:tcBorders>
                  <w:noWrap w:val="0"/>
                  <w:tcMar>
                    <w:top w:w="0" w:type="dxa"/>
                    <w:left w:w="0" w:type="dxa"/>
                    <w:bottom w:w="0" w:type="dxa"/>
                    <w:right w:w="0" w:type="dxa"/>
                  </w:tcMar>
                  <w:vAlign w:val="center"/>
                </w:tcPr>
                <w:p w14:paraId="3D14C121">
                  <w:pPr>
                    <w:pStyle w:val="109"/>
                    <w:bidi w:val="0"/>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t>污染源</w:t>
                  </w:r>
                </w:p>
              </w:tc>
              <w:tc>
                <w:tcPr>
                  <w:tcW w:w="394" w:type="pct"/>
                  <w:vMerge w:val="restart"/>
                  <w:tcBorders>
                    <w:tl2br w:val="nil"/>
                    <w:tr2bl w:val="nil"/>
                  </w:tcBorders>
                  <w:noWrap w:val="0"/>
                  <w:tcMar>
                    <w:top w:w="0" w:type="dxa"/>
                    <w:left w:w="0" w:type="dxa"/>
                    <w:bottom w:w="0" w:type="dxa"/>
                    <w:right w:w="0" w:type="dxa"/>
                  </w:tcMar>
                  <w:vAlign w:val="center"/>
                </w:tcPr>
                <w:p w14:paraId="0D9B910E">
                  <w:pPr>
                    <w:jc w:val="center"/>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污染物种类</w:t>
                  </w:r>
                </w:p>
              </w:tc>
              <w:tc>
                <w:tcPr>
                  <w:tcW w:w="1187" w:type="pct"/>
                  <w:gridSpan w:val="3"/>
                  <w:tcBorders>
                    <w:tl2br w:val="nil"/>
                    <w:tr2bl w:val="nil"/>
                  </w:tcBorders>
                  <w:noWrap w:val="0"/>
                  <w:tcMar>
                    <w:top w:w="0" w:type="dxa"/>
                    <w:left w:w="0" w:type="dxa"/>
                    <w:bottom w:w="0" w:type="dxa"/>
                    <w:right w:w="0" w:type="dxa"/>
                  </w:tcMar>
                  <w:vAlign w:val="center"/>
                </w:tcPr>
                <w:p w14:paraId="7F804AFA">
                  <w:pPr>
                    <w:jc w:val="center"/>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污染物产生情况</w:t>
                  </w:r>
                </w:p>
              </w:tc>
              <w:tc>
                <w:tcPr>
                  <w:tcW w:w="352" w:type="pct"/>
                  <w:vMerge w:val="restart"/>
                  <w:tcBorders>
                    <w:tl2br w:val="nil"/>
                    <w:tr2bl w:val="nil"/>
                  </w:tcBorders>
                  <w:noWrap w:val="0"/>
                  <w:tcMar>
                    <w:top w:w="0" w:type="dxa"/>
                    <w:left w:w="0" w:type="dxa"/>
                    <w:bottom w:w="0" w:type="dxa"/>
                    <w:right w:w="0" w:type="dxa"/>
                  </w:tcMar>
                  <w:vAlign w:val="center"/>
                </w:tcPr>
                <w:p w14:paraId="019C2B7C">
                  <w:pPr>
                    <w:jc w:val="center"/>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排放形式</w:t>
                  </w:r>
                </w:p>
              </w:tc>
              <w:tc>
                <w:tcPr>
                  <w:tcW w:w="979" w:type="pct"/>
                  <w:gridSpan w:val="3"/>
                  <w:tcBorders>
                    <w:tl2br w:val="nil"/>
                    <w:tr2bl w:val="nil"/>
                  </w:tcBorders>
                  <w:noWrap w:val="0"/>
                  <w:tcMar>
                    <w:top w:w="0" w:type="dxa"/>
                    <w:left w:w="0" w:type="dxa"/>
                    <w:bottom w:w="0" w:type="dxa"/>
                    <w:right w:w="0" w:type="dxa"/>
                  </w:tcMar>
                  <w:vAlign w:val="center"/>
                </w:tcPr>
                <w:p w14:paraId="4C8CDC07">
                  <w:pPr>
                    <w:jc w:val="center"/>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治理设施情况</w:t>
                  </w:r>
                </w:p>
              </w:tc>
              <w:tc>
                <w:tcPr>
                  <w:tcW w:w="1249" w:type="pct"/>
                  <w:gridSpan w:val="3"/>
                  <w:tcBorders>
                    <w:tl2br w:val="nil"/>
                    <w:tr2bl w:val="nil"/>
                  </w:tcBorders>
                  <w:noWrap w:val="0"/>
                  <w:tcMar>
                    <w:top w:w="0" w:type="dxa"/>
                    <w:left w:w="0" w:type="dxa"/>
                    <w:bottom w:w="0" w:type="dxa"/>
                    <w:right w:w="0" w:type="dxa"/>
                  </w:tcMar>
                  <w:vAlign w:val="center"/>
                </w:tcPr>
                <w:p w14:paraId="2BE1B6CC">
                  <w:pPr>
                    <w:jc w:val="center"/>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污染物排放情况</w:t>
                  </w:r>
                </w:p>
              </w:tc>
              <w:tc>
                <w:tcPr>
                  <w:tcW w:w="342" w:type="pct"/>
                  <w:vMerge w:val="restart"/>
                  <w:tcBorders>
                    <w:tl2br w:val="nil"/>
                    <w:tr2bl w:val="nil"/>
                  </w:tcBorders>
                  <w:noWrap w:val="0"/>
                  <w:tcMar>
                    <w:top w:w="0" w:type="dxa"/>
                    <w:left w:w="0" w:type="dxa"/>
                    <w:bottom w:w="0" w:type="dxa"/>
                    <w:right w:w="0" w:type="dxa"/>
                  </w:tcMar>
                  <w:vAlign w:val="center"/>
                </w:tcPr>
                <w:p w14:paraId="6968F95B">
                  <w:pPr>
                    <w:jc w:val="center"/>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排放时间（h）</w:t>
                  </w:r>
                </w:p>
              </w:tc>
            </w:tr>
            <w:tr w14:paraId="2C64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vMerge w:val="continue"/>
                  <w:tcBorders>
                    <w:tl2br w:val="nil"/>
                    <w:tr2bl w:val="nil"/>
                  </w:tcBorders>
                  <w:noWrap w:val="0"/>
                  <w:tcMar>
                    <w:top w:w="0" w:type="dxa"/>
                    <w:left w:w="0" w:type="dxa"/>
                    <w:bottom w:w="0" w:type="dxa"/>
                    <w:right w:w="0" w:type="dxa"/>
                  </w:tcMar>
                  <w:vAlign w:val="center"/>
                </w:tcPr>
                <w:p w14:paraId="67243084">
                  <w:pPr>
                    <w:jc w:val="center"/>
                    <w:rPr>
                      <w:rFonts w:hint="default" w:ascii="Times New Roman" w:hAnsi="Times New Roman" w:cs="Times New Roman"/>
                      <w:b/>
                      <w:color w:val="000000" w:themeColor="text1"/>
                      <w:sz w:val="21"/>
                      <w:szCs w:val="21"/>
                      <w:highlight w:val="none"/>
                      <w14:textFill>
                        <w14:solidFill>
                          <w14:schemeClr w14:val="tx1"/>
                        </w14:solidFill>
                      </w14:textFill>
                    </w:rPr>
                  </w:pPr>
                </w:p>
              </w:tc>
              <w:tc>
                <w:tcPr>
                  <w:tcW w:w="394" w:type="pct"/>
                  <w:vMerge w:val="continue"/>
                  <w:tcBorders>
                    <w:tl2br w:val="nil"/>
                    <w:tr2bl w:val="nil"/>
                  </w:tcBorders>
                  <w:noWrap w:val="0"/>
                  <w:tcMar>
                    <w:top w:w="0" w:type="dxa"/>
                    <w:left w:w="0" w:type="dxa"/>
                    <w:bottom w:w="0" w:type="dxa"/>
                    <w:right w:w="0" w:type="dxa"/>
                  </w:tcMar>
                  <w:vAlign w:val="center"/>
                </w:tcPr>
                <w:p w14:paraId="0CE8BC7A">
                  <w:pPr>
                    <w:jc w:val="center"/>
                    <w:rPr>
                      <w:rFonts w:hint="default" w:ascii="Times New Roman" w:hAnsi="Times New Roman" w:cs="Times New Roman"/>
                      <w:b/>
                      <w:color w:val="000000" w:themeColor="text1"/>
                      <w:sz w:val="21"/>
                      <w:szCs w:val="21"/>
                      <w:highlight w:val="none"/>
                      <w14:textFill>
                        <w14:solidFill>
                          <w14:schemeClr w14:val="tx1"/>
                        </w14:solidFill>
                      </w14:textFill>
                    </w:rPr>
                  </w:pPr>
                </w:p>
              </w:tc>
              <w:tc>
                <w:tcPr>
                  <w:tcW w:w="340" w:type="pct"/>
                  <w:tcBorders>
                    <w:tl2br w:val="nil"/>
                    <w:tr2bl w:val="nil"/>
                  </w:tcBorders>
                  <w:noWrap w:val="0"/>
                  <w:tcMar>
                    <w:top w:w="0" w:type="dxa"/>
                    <w:left w:w="0" w:type="dxa"/>
                    <w:bottom w:w="0" w:type="dxa"/>
                    <w:right w:w="0" w:type="dxa"/>
                  </w:tcMar>
                  <w:vAlign w:val="center"/>
                </w:tcPr>
                <w:p w14:paraId="3D972156">
                  <w:pPr>
                    <w:jc w:val="center"/>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产生量（t/a）</w:t>
                  </w:r>
                </w:p>
              </w:tc>
              <w:tc>
                <w:tcPr>
                  <w:tcW w:w="418" w:type="pct"/>
                  <w:tcBorders>
                    <w:tl2br w:val="nil"/>
                    <w:tr2bl w:val="nil"/>
                  </w:tcBorders>
                  <w:noWrap w:val="0"/>
                  <w:tcMar>
                    <w:top w:w="0" w:type="dxa"/>
                    <w:left w:w="0" w:type="dxa"/>
                    <w:bottom w:w="0" w:type="dxa"/>
                    <w:right w:w="0" w:type="dxa"/>
                  </w:tcMar>
                  <w:vAlign w:val="center"/>
                </w:tcPr>
                <w:p w14:paraId="6C52B9C5">
                  <w:pPr>
                    <w:jc w:val="center"/>
                    <w:rPr>
                      <w:rFonts w:hint="default" w:ascii="Times New Roman" w:hAnsi="Times New Roman" w:eastAsia="宋体" w:cs="Times New Roman"/>
                      <w:b/>
                      <w:color w:val="000000" w:themeColor="text1"/>
                      <w:sz w:val="21"/>
                      <w:szCs w:val="21"/>
                      <w:highlight w:val="none"/>
                      <w:lang w:eastAsia="zh-CN"/>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产生速率</w:t>
                  </w:r>
                  <w:r>
                    <w:rPr>
                      <w:rFonts w:hint="default" w:ascii="Times New Roman" w:hAnsi="Times New Roman" w:cs="Times New Roman"/>
                      <w:b/>
                      <w:color w:val="000000" w:themeColor="text1"/>
                      <w:sz w:val="21"/>
                      <w:szCs w:val="21"/>
                      <w:highlight w:val="none"/>
                      <w:lang w:eastAsia="zh-CN"/>
                      <w14:textFill>
                        <w14:solidFill>
                          <w14:schemeClr w14:val="tx1"/>
                        </w14:solidFill>
                      </w14:textFill>
                    </w:rPr>
                    <w:t>（</w:t>
                  </w:r>
                  <w:r>
                    <w:rPr>
                      <w:rFonts w:hint="default" w:ascii="Times New Roman" w:hAnsi="Times New Roman" w:cs="Times New Roman"/>
                      <w:b/>
                      <w:color w:val="000000" w:themeColor="text1"/>
                      <w:sz w:val="21"/>
                      <w:szCs w:val="21"/>
                      <w:highlight w:val="none"/>
                      <w14:textFill>
                        <w14:solidFill>
                          <w14:schemeClr w14:val="tx1"/>
                        </w14:solidFill>
                      </w14:textFill>
                    </w:rPr>
                    <w:t>kg/h</w:t>
                  </w:r>
                  <w:r>
                    <w:rPr>
                      <w:rFonts w:hint="default" w:ascii="Times New Roman" w:hAnsi="Times New Roman" w:cs="Times New Roman"/>
                      <w:b/>
                      <w:color w:val="000000" w:themeColor="text1"/>
                      <w:sz w:val="21"/>
                      <w:szCs w:val="21"/>
                      <w:highlight w:val="none"/>
                      <w:lang w:eastAsia="zh-CN"/>
                      <w14:textFill>
                        <w14:solidFill>
                          <w14:schemeClr w14:val="tx1"/>
                        </w14:solidFill>
                      </w14:textFill>
                    </w:rPr>
                    <w:t>）</w:t>
                  </w:r>
                </w:p>
              </w:tc>
              <w:tc>
                <w:tcPr>
                  <w:tcW w:w="429" w:type="pct"/>
                  <w:tcBorders>
                    <w:tl2br w:val="nil"/>
                    <w:tr2bl w:val="nil"/>
                  </w:tcBorders>
                  <w:noWrap w:val="0"/>
                  <w:tcMar>
                    <w:top w:w="0" w:type="dxa"/>
                    <w:left w:w="0" w:type="dxa"/>
                    <w:bottom w:w="0" w:type="dxa"/>
                    <w:right w:w="0" w:type="dxa"/>
                  </w:tcMar>
                  <w:vAlign w:val="center"/>
                </w:tcPr>
                <w:p w14:paraId="6E012946">
                  <w:pPr>
                    <w:jc w:val="cente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产生浓度</w:t>
                  </w:r>
                  <w:r>
                    <w:rPr>
                      <w:rFonts w:hint="default" w:ascii="Times New Roman" w:hAnsi="Times New Roman" w:cs="Times New Roman"/>
                      <w:b/>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b/>
                      <w:bCs/>
                      <w:color w:val="000000" w:themeColor="text1"/>
                      <w:sz w:val="21"/>
                      <w:szCs w:val="21"/>
                      <w:highlight w:val="none"/>
                      <w14:textFill>
                        <w14:solidFill>
                          <w14:schemeClr w14:val="tx1"/>
                        </w14:solidFill>
                      </w14:textFill>
                    </w:rPr>
                    <w:t>mg/m</w:t>
                  </w:r>
                  <w:r>
                    <w:rPr>
                      <w:rFonts w:hint="default" w:ascii="Times New Roman" w:hAnsi="Times New Roman" w:cs="Times New Roman"/>
                      <w:b/>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
                      <w:color w:val="000000" w:themeColor="text1"/>
                      <w:sz w:val="21"/>
                      <w:szCs w:val="21"/>
                      <w:highlight w:val="none"/>
                      <w:lang w:val="en-US" w:eastAsia="zh-CN"/>
                      <w14:textFill>
                        <w14:solidFill>
                          <w14:schemeClr w14:val="tx1"/>
                        </w14:solidFill>
                      </w14:textFill>
                    </w:rPr>
                    <w:t>)</w:t>
                  </w:r>
                </w:p>
              </w:tc>
              <w:tc>
                <w:tcPr>
                  <w:tcW w:w="352" w:type="pct"/>
                  <w:vMerge w:val="continue"/>
                  <w:tcBorders>
                    <w:tl2br w:val="nil"/>
                    <w:tr2bl w:val="nil"/>
                  </w:tcBorders>
                  <w:noWrap w:val="0"/>
                  <w:tcMar>
                    <w:top w:w="0" w:type="dxa"/>
                    <w:left w:w="0" w:type="dxa"/>
                    <w:bottom w:w="0" w:type="dxa"/>
                    <w:right w:w="0" w:type="dxa"/>
                  </w:tcMar>
                  <w:vAlign w:val="center"/>
                </w:tcPr>
                <w:p w14:paraId="756A6C5F">
                  <w:pPr>
                    <w:jc w:val="center"/>
                    <w:rPr>
                      <w:rFonts w:hint="default" w:ascii="Times New Roman" w:hAnsi="Times New Roman" w:cs="Times New Roman"/>
                      <w:b/>
                      <w:color w:val="000000" w:themeColor="text1"/>
                      <w:sz w:val="21"/>
                      <w:szCs w:val="21"/>
                      <w:highlight w:val="none"/>
                      <w14:textFill>
                        <w14:solidFill>
                          <w14:schemeClr w14:val="tx1"/>
                        </w14:solidFill>
                      </w14:textFill>
                    </w:rPr>
                  </w:pPr>
                </w:p>
              </w:tc>
              <w:tc>
                <w:tcPr>
                  <w:tcW w:w="432" w:type="pct"/>
                  <w:tcBorders>
                    <w:tl2br w:val="nil"/>
                    <w:tr2bl w:val="nil"/>
                  </w:tcBorders>
                  <w:noWrap w:val="0"/>
                  <w:tcMar>
                    <w:top w:w="0" w:type="dxa"/>
                    <w:left w:w="0" w:type="dxa"/>
                    <w:bottom w:w="0" w:type="dxa"/>
                    <w:right w:w="0" w:type="dxa"/>
                  </w:tcMar>
                  <w:vAlign w:val="center"/>
                </w:tcPr>
                <w:p w14:paraId="20146916">
                  <w:pPr>
                    <w:jc w:val="center"/>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处理能力（m</w:t>
                  </w:r>
                  <w:r>
                    <w:rPr>
                      <w:rFonts w:hint="default" w:ascii="Times New Roman" w:hAnsi="Times New Roman" w:cs="Times New Roman"/>
                      <w:b/>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
                      <w:color w:val="000000" w:themeColor="text1"/>
                      <w:sz w:val="21"/>
                      <w:szCs w:val="21"/>
                      <w:highlight w:val="none"/>
                      <w14:textFill>
                        <w14:solidFill>
                          <w14:schemeClr w14:val="tx1"/>
                        </w14:solidFill>
                      </w14:textFill>
                    </w:rPr>
                    <w:t>/h）</w:t>
                  </w:r>
                </w:p>
              </w:tc>
              <w:tc>
                <w:tcPr>
                  <w:tcW w:w="286" w:type="pct"/>
                  <w:tcBorders>
                    <w:tl2br w:val="nil"/>
                    <w:tr2bl w:val="nil"/>
                  </w:tcBorders>
                  <w:noWrap w:val="0"/>
                  <w:tcMar>
                    <w:top w:w="0" w:type="dxa"/>
                    <w:left w:w="0" w:type="dxa"/>
                    <w:bottom w:w="0" w:type="dxa"/>
                    <w:right w:w="0" w:type="dxa"/>
                  </w:tcMar>
                  <w:vAlign w:val="center"/>
                </w:tcPr>
                <w:p w14:paraId="0133C370">
                  <w:pPr>
                    <w:jc w:val="center"/>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收集效率</w:t>
                  </w:r>
                </w:p>
              </w:tc>
              <w:tc>
                <w:tcPr>
                  <w:tcW w:w="261" w:type="pct"/>
                  <w:tcBorders>
                    <w:tl2br w:val="nil"/>
                    <w:tr2bl w:val="nil"/>
                  </w:tcBorders>
                  <w:noWrap w:val="0"/>
                  <w:tcMar>
                    <w:top w:w="0" w:type="dxa"/>
                    <w:left w:w="0" w:type="dxa"/>
                    <w:bottom w:w="0" w:type="dxa"/>
                    <w:right w:w="0" w:type="dxa"/>
                  </w:tcMar>
                  <w:vAlign w:val="center"/>
                </w:tcPr>
                <w:p w14:paraId="6197F78E">
                  <w:pPr>
                    <w:jc w:val="center"/>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去除率</w:t>
                  </w:r>
                </w:p>
              </w:tc>
              <w:tc>
                <w:tcPr>
                  <w:tcW w:w="340" w:type="pct"/>
                  <w:tcBorders>
                    <w:tl2br w:val="nil"/>
                    <w:tr2bl w:val="nil"/>
                  </w:tcBorders>
                  <w:noWrap w:val="0"/>
                  <w:tcMar>
                    <w:top w:w="0" w:type="dxa"/>
                    <w:left w:w="0" w:type="dxa"/>
                    <w:bottom w:w="0" w:type="dxa"/>
                    <w:right w:w="0" w:type="dxa"/>
                  </w:tcMar>
                  <w:vAlign w:val="center"/>
                </w:tcPr>
                <w:p w14:paraId="0A5C5465">
                  <w:pPr>
                    <w:jc w:val="center"/>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排放量（t/a）</w:t>
                  </w:r>
                </w:p>
              </w:tc>
              <w:tc>
                <w:tcPr>
                  <w:tcW w:w="432" w:type="pct"/>
                  <w:tcBorders>
                    <w:tl2br w:val="nil"/>
                    <w:tr2bl w:val="nil"/>
                  </w:tcBorders>
                  <w:noWrap w:val="0"/>
                  <w:tcMar>
                    <w:top w:w="0" w:type="dxa"/>
                    <w:left w:w="0" w:type="dxa"/>
                    <w:bottom w:w="0" w:type="dxa"/>
                    <w:right w:w="0" w:type="dxa"/>
                  </w:tcMar>
                  <w:vAlign w:val="center"/>
                </w:tcPr>
                <w:p w14:paraId="0E6ABA62">
                  <w:pPr>
                    <w:jc w:val="center"/>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排放速率（kg/h）</w:t>
                  </w:r>
                </w:p>
              </w:tc>
              <w:tc>
                <w:tcPr>
                  <w:tcW w:w="477" w:type="pct"/>
                  <w:tcBorders>
                    <w:tl2br w:val="nil"/>
                    <w:tr2bl w:val="nil"/>
                  </w:tcBorders>
                  <w:noWrap w:val="0"/>
                  <w:tcMar>
                    <w:top w:w="0" w:type="dxa"/>
                    <w:left w:w="0" w:type="dxa"/>
                    <w:bottom w:w="0" w:type="dxa"/>
                    <w:right w:w="0" w:type="dxa"/>
                  </w:tcMar>
                  <w:vAlign w:val="center"/>
                </w:tcPr>
                <w:p w14:paraId="3021BA4C">
                  <w:pPr>
                    <w:jc w:val="center"/>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排放浓度</w:t>
                  </w:r>
                </w:p>
                <w:p w14:paraId="1B7B842A">
                  <w:pPr>
                    <w:jc w:val="center"/>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w:t>
                  </w:r>
                  <w:r>
                    <w:rPr>
                      <w:rFonts w:hint="default" w:ascii="Times New Roman" w:hAnsi="Times New Roman" w:cs="Times New Roman"/>
                      <w:b/>
                      <w:bCs/>
                      <w:color w:val="000000" w:themeColor="text1"/>
                      <w:sz w:val="21"/>
                      <w:szCs w:val="21"/>
                      <w:highlight w:val="none"/>
                      <w14:textFill>
                        <w14:solidFill>
                          <w14:schemeClr w14:val="tx1"/>
                        </w14:solidFill>
                      </w14:textFill>
                    </w:rPr>
                    <w:t>mg/m</w:t>
                  </w:r>
                  <w:r>
                    <w:rPr>
                      <w:rFonts w:hint="default" w:ascii="Times New Roman" w:hAnsi="Times New Roman" w:cs="Times New Roman"/>
                      <w:b/>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
                      <w:color w:val="000000" w:themeColor="text1"/>
                      <w:sz w:val="21"/>
                      <w:szCs w:val="21"/>
                      <w:highlight w:val="none"/>
                      <w14:textFill>
                        <w14:solidFill>
                          <w14:schemeClr w14:val="tx1"/>
                        </w14:solidFill>
                      </w14:textFill>
                    </w:rPr>
                    <w:t>）</w:t>
                  </w:r>
                </w:p>
              </w:tc>
              <w:tc>
                <w:tcPr>
                  <w:tcW w:w="342" w:type="pct"/>
                  <w:vMerge w:val="continue"/>
                  <w:tcBorders>
                    <w:tl2br w:val="nil"/>
                    <w:tr2bl w:val="nil"/>
                  </w:tcBorders>
                  <w:noWrap w:val="0"/>
                  <w:tcMar>
                    <w:top w:w="0" w:type="dxa"/>
                    <w:left w:w="0" w:type="dxa"/>
                    <w:bottom w:w="0" w:type="dxa"/>
                    <w:right w:w="0" w:type="dxa"/>
                  </w:tcMar>
                  <w:vAlign w:val="center"/>
                </w:tcPr>
                <w:p w14:paraId="74BBB9E4">
                  <w:pPr>
                    <w:jc w:val="center"/>
                    <w:rPr>
                      <w:rFonts w:hint="default" w:ascii="Times New Roman" w:hAnsi="Times New Roman" w:cs="Times New Roman"/>
                      <w:b/>
                      <w:color w:val="000000" w:themeColor="text1"/>
                      <w:sz w:val="21"/>
                      <w:szCs w:val="21"/>
                      <w:highlight w:val="none"/>
                      <w14:textFill>
                        <w14:solidFill>
                          <w14:schemeClr w14:val="tx1"/>
                        </w14:solidFill>
                      </w14:textFill>
                    </w:rPr>
                  </w:pPr>
                </w:p>
              </w:tc>
            </w:tr>
            <w:tr w14:paraId="74B7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tcBorders>
                    <w:tl2br w:val="nil"/>
                    <w:tr2bl w:val="nil"/>
                  </w:tcBorders>
                  <w:noWrap w:val="0"/>
                  <w:tcMar>
                    <w:top w:w="0" w:type="dxa"/>
                    <w:left w:w="0" w:type="dxa"/>
                    <w:bottom w:w="0" w:type="dxa"/>
                    <w:right w:w="0" w:type="dxa"/>
                  </w:tcMar>
                  <w:vAlign w:val="center"/>
                </w:tcPr>
                <w:p w14:paraId="4C2C9876">
                  <w:pPr>
                    <w:pStyle w:val="109"/>
                    <w:bidi w:val="0"/>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切割粉尘</w:t>
                  </w:r>
                </w:p>
              </w:tc>
              <w:tc>
                <w:tcPr>
                  <w:tcW w:w="394" w:type="pct"/>
                  <w:tcBorders>
                    <w:tl2br w:val="nil"/>
                    <w:tr2bl w:val="nil"/>
                  </w:tcBorders>
                  <w:noWrap w:val="0"/>
                  <w:tcMar>
                    <w:top w:w="0" w:type="dxa"/>
                    <w:left w:w="0" w:type="dxa"/>
                    <w:bottom w:w="0" w:type="dxa"/>
                    <w:right w:w="0" w:type="dxa"/>
                  </w:tcMar>
                  <w:vAlign w:val="center"/>
                </w:tcPr>
                <w:p w14:paraId="739E924E">
                  <w:pPr>
                    <w:keepNext w:val="0"/>
                    <w:keepLines w:val="0"/>
                    <w:widowControl/>
                    <w:suppressLineNumbers w:val="0"/>
                    <w:jc w:val="center"/>
                    <w:textAlignment w:val="center"/>
                    <w:rPr>
                      <w:rFonts w:hint="default" w:ascii="Times New Roman" w:hAnsi="Times New Roman" w:cs="Times New Roman"/>
                      <w:bCs/>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颗粒物</w:t>
                  </w:r>
                </w:p>
              </w:tc>
              <w:tc>
                <w:tcPr>
                  <w:tcW w:w="340" w:type="pct"/>
                  <w:tcBorders>
                    <w:tl2br w:val="nil"/>
                    <w:tr2bl w:val="nil"/>
                  </w:tcBorders>
                  <w:noWrap w:val="0"/>
                  <w:tcMar>
                    <w:top w:w="0" w:type="dxa"/>
                    <w:left w:w="0" w:type="dxa"/>
                    <w:bottom w:w="0" w:type="dxa"/>
                    <w:right w:w="0" w:type="dxa"/>
                  </w:tcMar>
                  <w:vAlign w:val="center"/>
                </w:tcPr>
                <w:p w14:paraId="108EA90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0.358 </w:t>
                  </w:r>
                </w:p>
              </w:tc>
              <w:tc>
                <w:tcPr>
                  <w:tcW w:w="418" w:type="pct"/>
                  <w:tcBorders>
                    <w:tl2br w:val="nil"/>
                    <w:tr2bl w:val="nil"/>
                  </w:tcBorders>
                  <w:noWrap w:val="0"/>
                  <w:tcMar>
                    <w:top w:w="0" w:type="dxa"/>
                    <w:left w:w="0" w:type="dxa"/>
                    <w:bottom w:w="0" w:type="dxa"/>
                    <w:right w:w="0" w:type="dxa"/>
                  </w:tcMar>
                  <w:vAlign w:val="center"/>
                </w:tcPr>
                <w:p w14:paraId="730E22C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0.186 </w:t>
                  </w:r>
                </w:p>
              </w:tc>
              <w:tc>
                <w:tcPr>
                  <w:tcW w:w="429" w:type="pct"/>
                  <w:tcBorders>
                    <w:tl2br w:val="nil"/>
                    <w:tr2bl w:val="nil"/>
                  </w:tcBorders>
                  <w:noWrap w:val="0"/>
                  <w:tcMar>
                    <w:top w:w="0" w:type="dxa"/>
                    <w:left w:w="0" w:type="dxa"/>
                    <w:bottom w:w="0" w:type="dxa"/>
                    <w:right w:w="0" w:type="dxa"/>
                  </w:tcMar>
                  <w:vAlign w:val="center"/>
                </w:tcPr>
                <w:p w14:paraId="13D1AB0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352" w:type="pct"/>
                  <w:tcBorders>
                    <w:tl2br w:val="nil"/>
                    <w:tr2bl w:val="nil"/>
                  </w:tcBorders>
                  <w:noWrap w:val="0"/>
                  <w:tcMar>
                    <w:top w:w="0" w:type="dxa"/>
                    <w:left w:w="0" w:type="dxa"/>
                    <w:bottom w:w="0" w:type="dxa"/>
                    <w:right w:w="0" w:type="dxa"/>
                  </w:tcMar>
                  <w:vAlign w:val="center"/>
                </w:tcPr>
                <w:p w14:paraId="1976D1D1">
                  <w:pPr>
                    <w:keepNext w:val="0"/>
                    <w:keepLines w:val="0"/>
                    <w:widowControl/>
                    <w:suppressLineNumbers w:val="0"/>
                    <w:jc w:val="center"/>
                    <w:textAlignment w:val="center"/>
                    <w:rPr>
                      <w:rFonts w:hint="default" w:ascii="Times New Roman" w:hAnsi="Times New Roman"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无组织</w:t>
                  </w:r>
                </w:p>
              </w:tc>
              <w:tc>
                <w:tcPr>
                  <w:tcW w:w="432" w:type="pct"/>
                  <w:tcBorders>
                    <w:tl2br w:val="nil"/>
                    <w:tr2bl w:val="nil"/>
                  </w:tcBorders>
                  <w:noWrap w:val="0"/>
                  <w:tcMar>
                    <w:top w:w="0" w:type="dxa"/>
                    <w:left w:w="0" w:type="dxa"/>
                    <w:bottom w:w="0" w:type="dxa"/>
                    <w:right w:w="0" w:type="dxa"/>
                  </w:tcMar>
                  <w:vAlign w:val="center"/>
                </w:tcPr>
                <w:p w14:paraId="34DC7382">
                  <w:pPr>
                    <w:keepNext w:val="0"/>
                    <w:keepLines w:val="0"/>
                    <w:widowControl/>
                    <w:suppressLineNumbers w:val="0"/>
                    <w:jc w:val="center"/>
                    <w:textAlignment w:val="center"/>
                    <w:rPr>
                      <w:rFonts w:hint="default" w:ascii="Times New Roman" w:hAnsi="Times New Roman"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286" w:type="pct"/>
                  <w:tcBorders>
                    <w:tl2br w:val="nil"/>
                    <w:tr2bl w:val="nil"/>
                  </w:tcBorders>
                  <w:noWrap w:val="0"/>
                  <w:tcMar>
                    <w:top w:w="0" w:type="dxa"/>
                    <w:left w:w="0" w:type="dxa"/>
                    <w:bottom w:w="0" w:type="dxa"/>
                    <w:right w:w="0" w:type="dxa"/>
                  </w:tcMar>
                  <w:vAlign w:val="center"/>
                </w:tcPr>
                <w:p w14:paraId="704DC479">
                  <w:pPr>
                    <w:keepNext w:val="0"/>
                    <w:keepLines w:val="0"/>
                    <w:widowControl/>
                    <w:suppressLineNumbers w:val="0"/>
                    <w:jc w:val="center"/>
                    <w:textAlignment w:val="center"/>
                    <w:rPr>
                      <w:rFonts w:hint="default" w:ascii="Times New Roman" w:hAnsi="Times New Roman"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261" w:type="pct"/>
                  <w:tcBorders>
                    <w:tl2br w:val="nil"/>
                    <w:tr2bl w:val="nil"/>
                  </w:tcBorders>
                  <w:noWrap w:val="0"/>
                  <w:tcMar>
                    <w:top w:w="0" w:type="dxa"/>
                    <w:left w:w="0" w:type="dxa"/>
                    <w:bottom w:w="0" w:type="dxa"/>
                    <w:right w:w="0" w:type="dxa"/>
                  </w:tcMar>
                  <w:vAlign w:val="center"/>
                </w:tcPr>
                <w:p w14:paraId="352BAC29">
                  <w:pPr>
                    <w:keepNext w:val="0"/>
                    <w:keepLines w:val="0"/>
                    <w:widowControl/>
                    <w:suppressLineNumbers w:val="0"/>
                    <w:jc w:val="center"/>
                    <w:textAlignment w:val="center"/>
                    <w:rPr>
                      <w:rFonts w:hint="default" w:ascii="Times New Roman" w:hAnsi="Times New Roman"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340" w:type="pct"/>
                  <w:tcBorders>
                    <w:tl2br w:val="nil"/>
                    <w:tr2bl w:val="nil"/>
                  </w:tcBorders>
                  <w:noWrap w:val="0"/>
                  <w:tcMar>
                    <w:top w:w="0" w:type="dxa"/>
                    <w:left w:w="0" w:type="dxa"/>
                    <w:bottom w:w="0" w:type="dxa"/>
                    <w:right w:w="0" w:type="dxa"/>
                  </w:tcMar>
                  <w:vAlign w:val="center"/>
                </w:tcPr>
                <w:p w14:paraId="4DD9E2F1">
                  <w:pPr>
                    <w:keepNext w:val="0"/>
                    <w:keepLines w:val="0"/>
                    <w:widowControl/>
                    <w:suppressLineNumbers w:val="0"/>
                    <w:jc w:val="center"/>
                    <w:textAlignment w:val="center"/>
                    <w:rPr>
                      <w:rFonts w:hint="default" w:ascii="Times New Roman" w:hAnsi="Times New Roman"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0.358 </w:t>
                  </w:r>
                </w:p>
              </w:tc>
              <w:tc>
                <w:tcPr>
                  <w:tcW w:w="432" w:type="pct"/>
                  <w:tcBorders>
                    <w:tl2br w:val="nil"/>
                    <w:tr2bl w:val="nil"/>
                  </w:tcBorders>
                  <w:noWrap w:val="0"/>
                  <w:tcMar>
                    <w:top w:w="0" w:type="dxa"/>
                    <w:left w:w="0" w:type="dxa"/>
                    <w:bottom w:w="0" w:type="dxa"/>
                    <w:right w:w="0" w:type="dxa"/>
                  </w:tcMar>
                  <w:vAlign w:val="center"/>
                </w:tcPr>
                <w:p w14:paraId="7F8C81D7">
                  <w:pPr>
                    <w:keepNext w:val="0"/>
                    <w:keepLines w:val="0"/>
                    <w:widowControl/>
                    <w:suppressLineNumbers w:val="0"/>
                    <w:jc w:val="center"/>
                    <w:textAlignment w:val="center"/>
                    <w:rPr>
                      <w:rFonts w:hint="default" w:ascii="Times New Roman" w:hAnsi="Times New Roman"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0.186 </w:t>
                  </w:r>
                </w:p>
              </w:tc>
              <w:tc>
                <w:tcPr>
                  <w:tcW w:w="477" w:type="pct"/>
                  <w:tcBorders>
                    <w:tl2br w:val="nil"/>
                    <w:tr2bl w:val="nil"/>
                  </w:tcBorders>
                  <w:noWrap w:val="0"/>
                  <w:tcMar>
                    <w:top w:w="0" w:type="dxa"/>
                    <w:left w:w="0" w:type="dxa"/>
                    <w:bottom w:w="0" w:type="dxa"/>
                    <w:right w:w="0" w:type="dxa"/>
                  </w:tcMar>
                  <w:vAlign w:val="center"/>
                </w:tcPr>
                <w:p w14:paraId="60E4B525">
                  <w:pPr>
                    <w:keepNext w:val="0"/>
                    <w:keepLines w:val="0"/>
                    <w:widowControl/>
                    <w:suppressLineNumbers w:val="0"/>
                    <w:jc w:val="center"/>
                    <w:textAlignment w:val="center"/>
                    <w:rPr>
                      <w:rFonts w:hint="default" w:ascii="Times New Roman" w:hAnsi="Times New Roman" w:cs="Times New Roman"/>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342" w:type="pct"/>
                  <w:vMerge w:val="restart"/>
                  <w:tcBorders>
                    <w:tl2br w:val="nil"/>
                    <w:tr2bl w:val="nil"/>
                  </w:tcBorders>
                  <w:noWrap w:val="0"/>
                  <w:tcMar>
                    <w:top w:w="0" w:type="dxa"/>
                    <w:left w:w="0" w:type="dxa"/>
                    <w:bottom w:w="0" w:type="dxa"/>
                    <w:right w:w="0" w:type="dxa"/>
                  </w:tcMar>
                  <w:vAlign w:val="center"/>
                </w:tcPr>
                <w:p w14:paraId="4F0E3A61">
                  <w:pPr>
                    <w:widowControl w:val="0"/>
                    <w:kinsoku/>
                    <w:autoSpaceDE/>
                    <w:autoSpaceDN/>
                    <w:adjustRightInd w:val="0"/>
                    <w:snapToGrid w:val="0"/>
                    <w:spacing w:line="240" w:lineRule="auto"/>
                    <w:jc w:val="center"/>
                    <w:textAlignment w:val="auto"/>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1928</w:t>
                  </w:r>
                </w:p>
              </w:tc>
            </w:tr>
            <w:tr w14:paraId="54487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tcBorders>
                    <w:tl2br w:val="nil"/>
                    <w:tr2bl w:val="nil"/>
                  </w:tcBorders>
                  <w:noWrap w:val="0"/>
                  <w:tcMar>
                    <w:top w:w="0" w:type="dxa"/>
                    <w:left w:w="0" w:type="dxa"/>
                    <w:bottom w:w="0" w:type="dxa"/>
                    <w:right w:w="0" w:type="dxa"/>
                  </w:tcMar>
                  <w:vAlign w:val="center"/>
                </w:tcPr>
                <w:p w14:paraId="5FC07981">
                  <w:pPr>
                    <w:pStyle w:val="109"/>
                    <w:bidi w:val="0"/>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焊接烟尘</w:t>
                  </w:r>
                </w:p>
              </w:tc>
              <w:tc>
                <w:tcPr>
                  <w:tcW w:w="394" w:type="pct"/>
                  <w:tcBorders>
                    <w:tl2br w:val="nil"/>
                    <w:tr2bl w:val="nil"/>
                  </w:tcBorders>
                  <w:noWrap w:val="0"/>
                  <w:tcMar>
                    <w:top w:w="0" w:type="dxa"/>
                    <w:left w:w="0" w:type="dxa"/>
                    <w:bottom w:w="0" w:type="dxa"/>
                    <w:right w:w="0" w:type="dxa"/>
                  </w:tcMar>
                  <w:vAlign w:val="center"/>
                </w:tcPr>
                <w:p w14:paraId="24085B4D">
                  <w:pPr>
                    <w:keepNext w:val="0"/>
                    <w:keepLines w:val="0"/>
                    <w:widowControl/>
                    <w:suppressLineNumbers w:val="0"/>
                    <w:jc w:val="center"/>
                    <w:textAlignment w:val="cente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颗粒物</w:t>
                  </w:r>
                </w:p>
              </w:tc>
              <w:tc>
                <w:tcPr>
                  <w:tcW w:w="340" w:type="pct"/>
                  <w:tcBorders>
                    <w:tl2br w:val="nil"/>
                    <w:tr2bl w:val="nil"/>
                  </w:tcBorders>
                  <w:noWrap w:val="0"/>
                  <w:tcMar>
                    <w:top w:w="0" w:type="dxa"/>
                    <w:left w:w="0" w:type="dxa"/>
                    <w:bottom w:w="0" w:type="dxa"/>
                    <w:right w:w="0" w:type="dxa"/>
                  </w:tcMar>
                  <w:vAlign w:val="center"/>
                </w:tcPr>
                <w:p w14:paraId="6F82778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0.125 </w:t>
                  </w:r>
                </w:p>
              </w:tc>
              <w:tc>
                <w:tcPr>
                  <w:tcW w:w="418" w:type="pct"/>
                  <w:tcBorders>
                    <w:tl2br w:val="nil"/>
                    <w:tr2bl w:val="nil"/>
                  </w:tcBorders>
                  <w:noWrap w:val="0"/>
                  <w:tcMar>
                    <w:top w:w="0" w:type="dxa"/>
                    <w:left w:w="0" w:type="dxa"/>
                    <w:bottom w:w="0" w:type="dxa"/>
                    <w:right w:w="0" w:type="dxa"/>
                  </w:tcMar>
                  <w:vAlign w:val="center"/>
                </w:tcPr>
                <w:p w14:paraId="175A364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0.065 </w:t>
                  </w:r>
                </w:p>
              </w:tc>
              <w:tc>
                <w:tcPr>
                  <w:tcW w:w="429" w:type="pct"/>
                  <w:tcBorders>
                    <w:tl2br w:val="nil"/>
                    <w:tr2bl w:val="nil"/>
                  </w:tcBorders>
                  <w:noWrap w:val="0"/>
                  <w:tcMar>
                    <w:top w:w="0" w:type="dxa"/>
                    <w:left w:w="0" w:type="dxa"/>
                    <w:bottom w:w="0" w:type="dxa"/>
                    <w:right w:w="0" w:type="dxa"/>
                  </w:tcMar>
                  <w:vAlign w:val="center"/>
                </w:tcPr>
                <w:p w14:paraId="09035B7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352" w:type="pct"/>
                  <w:tcBorders>
                    <w:tl2br w:val="nil"/>
                    <w:tr2bl w:val="nil"/>
                  </w:tcBorders>
                  <w:noWrap w:val="0"/>
                  <w:tcMar>
                    <w:top w:w="0" w:type="dxa"/>
                    <w:left w:w="0" w:type="dxa"/>
                    <w:bottom w:w="0" w:type="dxa"/>
                    <w:right w:w="0" w:type="dxa"/>
                  </w:tcMar>
                  <w:vAlign w:val="center"/>
                </w:tcPr>
                <w:p w14:paraId="7388B23D">
                  <w:pPr>
                    <w:keepNext w:val="0"/>
                    <w:keepLines w:val="0"/>
                    <w:widowControl/>
                    <w:suppressLineNumbers w:val="0"/>
                    <w:jc w:val="center"/>
                    <w:textAlignment w:val="center"/>
                    <w:rPr>
                      <w:rFonts w:hint="default" w:ascii="Times New Roman" w:hAnsi="Times New Roman" w:cs="Times New Roman"/>
                      <w:bCs/>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无</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组织</w:t>
                  </w:r>
                </w:p>
              </w:tc>
              <w:tc>
                <w:tcPr>
                  <w:tcW w:w="432" w:type="pct"/>
                  <w:tcBorders>
                    <w:tl2br w:val="nil"/>
                    <w:tr2bl w:val="nil"/>
                  </w:tcBorders>
                  <w:noWrap w:val="0"/>
                  <w:tcMar>
                    <w:top w:w="0" w:type="dxa"/>
                    <w:left w:w="0" w:type="dxa"/>
                    <w:bottom w:w="0" w:type="dxa"/>
                    <w:right w:w="0" w:type="dxa"/>
                  </w:tcMar>
                  <w:vAlign w:val="center"/>
                </w:tcPr>
                <w:p w14:paraId="327A1F34">
                  <w:pPr>
                    <w:keepNext w:val="0"/>
                    <w:keepLines w:val="0"/>
                    <w:widowControl/>
                    <w:suppressLineNumbers w:val="0"/>
                    <w:jc w:val="center"/>
                    <w:textAlignment w:val="center"/>
                    <w:rPr>
                      <w:rFonts w:hint="default" w:ascii="Times New Roman" w:hAnsi="Times New Roman"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286" w:type="pct"/>
                  <w:tcBorders>
                    <w:tl2br w:val="nil"/>
                    <w:tr2bl w:val="nil"/>
                  </w:tcBorders>
                  <w:noWrap w:val="0"/>
                  <w:tcMar>
                    <w:top w:w="0" w:type="dxa"/>
                    <w:left w:w="0" w:type="dxa"/>
                    <w:bottom w:w="0" w:type="dxa"/>
                    <w:right w:w="0" w:type="dxa"/>
                  </w:tcMar>
                  <w:vAlign w:val="center"/>
                </w:tcPr>
                <w:p w14:paraId="06D63C07">
                  <w:pPr>
                    <w:keepNext w:val="0"/>
                    <w:keepLines w:val="0"/>
                    <w:widowControl/>
                    <w:suppressLineNumbers w:val="0"/>
                    <w:jc w:val="center"/>
                    <w:textAlignment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261" w:type="pct"/>
                  <w:tcBorders>
                    <w:tl2br w:val="nil"/>
                    <w:tr2bl w:val="nil"/>
                  </w:tcBorders>
                  <w:noWrap w:val="0"/>
                  <w:tcMar>
                    <w:top w:w="0" w:type="dxa"/>
                    <w:left w:w="0" w:type="dxa"/>
                    <w:bottom w:w="0" w:type="dxa"/>
                    <w:right w:w="0" w:type="dxa"/>
                  </w:tcMar>
                  <w:vAlign w:val="center"/>
                </w:tcPr>
                <w:p w14:paraId="1C110A15">
                  <w:pPr>
                    <w:keepNext w:val="0"/>
                    <w:keepLines w:val="0"/>
                    <w:widowControl/>
                    <w:suppressLineNumbers w:val="0"/>
                    <w:jc w:val="center"/>
                    <w:textAlignment w:val="center"/>
                    <w:rPr>
                      <w:rFonts w:hint="default" w:ascii="Times New Roman" w:hAnsi="Times New Roman"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340" w:type="pct"/>
                  <w:tcBorders>
                    <w:tl2br w:val="nil"/>
                    <w:tr2bl w:val="nil"/>
                  </w:tcBorders>
                  <w:noWrap w:val="0"/>
                  <w:tcMar>
                    <w:top w:w="0" w:type="dxa"/>
                    <w:left w:w="0" w:type="dxa"/>
                    <w:bottom w:w="0" w:type="dxa"/>
                    <w:right w:w="0" w:type="dxa"/>
                  </w:tcMar>
                  <w:vAlign w:val="center"/>
                </w:tcPr>
                <w:p w14:paraId="0C05DCFB">
                  <w:pPr>
                    <w:keepNext w:val="0"/>
                    <w:keepLines w:val="0"/>
                    <w:widowControl/>
                    <w:suppressLineNumbers w:val="0"/>
                    <w:jc w:val="center"/>
                    <w:textAlignment w:val="center"/>
                    <w:rPr>
                      <w:rFonts w:hint="default" w:ascii="Times New Roman" w:hAnsi="Times New Roman"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0.125 </w:t>
                  </w:r>
                </w:p>
              </w:tc>
              <w:tc>
                <w:tcPr>
                  <w:tcW w:w="432" w:type="pct"/>
                  <w:tcBorders>
                    <w:tl2br w:val="nil"/>
                    <w:tr2bl w:val="nil"/>
                  </w:tcBorders>
                  <w:noWrap w:val="0"/>
                  <w:tcMar>
                    <w:top w:w="0" w:type="dxa"/>
                    <w:left w:w="0" w:type="dxa"/>
                    <w:bottom w:w="0" w:type="dxa"/>
                    <w:right w:w="0" w:type="dxa"/>
                  </w:tcMar>
                  <w:vAlign w:val="center"/>
                </w:tcPr>
                <w:p w14:paraId="0D1D958A">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0.065 </w:t>
                  </w:r>
                </w:p>
              </w:tc>
              <w:tc>
                <w:tcPr>
                  <w:tcW w:w="477" w:type="pct"/>
                  <w:tcBorders>
                    <w:tl2br w:val="nil"/>
                    <w:tr2bl w:val="nil"/>
                  </w:tcBorders>
                  <w:noWrap w:val="0"/>
                  <w:tcMar>
                    <w:top w:w="0" w:type="dxa"/>
                    <w:left w:w="0" w:type="dxa"/>
                    <w:bottom w:w="0" w:type="dxa"/>
                    <w:right w:w="0" w:type="dxa"/>
                  </w:tcMar>
                  <w:vAlign w:val="center"/>
                </w:tcPr>
                <w:p w14:paraId="63FCED75">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342" w:type="pct"/>
                  <w:vMerge w:val="continue"/>
                  <w:tcBorders>
                    <w:tl2br w:val="nil"/>
                    <w:tr2bl w:val="nil"/>
                  </w:tcBorders>
                  <w:noWrap w:val="0"/>
                  <w:tcMar>
                    <w:top w:w="0" w:type="dxa"/>
                    <w:left w:w="0" w:type="dxa"/>
                    <w:bottom w:w="0" w:type="dxa"/>
                    <w:right w:w="0" w:type="dxa"/>
                  </w:tcMar>
                  <w:vAlign w:val="center"/>
                </w:tcPr>
                <w:p w14:paraId="392F0ACC">
                  <w:pPr>
                    <w:keepNext w:val="0"/>
                    <w:keepLines w:val="0"/>
                    <w:widowControl/>
                    <w:suppressLineNumbers w:val="0"/>
                    <w:jc w:val="center"/>
                    <w:textAlignment w:val="center"/>
                    <w:rPr>
                      <w:rFonts w:hint="default" w:ascii="Times New Roman" w:hAnsi="Times New Roman" w:cs="Times New Roman"/>
                      <w:bCs/>
                      <w:color w:val="000000" w:themeColor="text1"/>
                      <w:kern w:val="2"/>
                      <w:sz w:val="21"/>
                      <w:szCs w:val="21"/>
                      <w:highlight w:val="none"/>
                      <w:lang w:val="en-US" w:eastAsia="zh-CN" w:bidi="ar-SA"/>
                      <w14:textFill>
                        <w14:solidFill>
                          <w14:schemeClr w14:val="tx1"/>
                        </w14:solidFill>
                      </w14:textFill>
                    </w:rPr>
                  </w:pPr>
                </w:p>
              </w:tc>
            </w:tr>
            <w:tr w14:paraId="6F6D5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tcBorders>
                    <w:tl2br w:val="nil"/>
                    <w:tr2bl w:val="nil"/>
                  </w:tcBorders>
                  <w:noWrap w:val="0"/>
                  <w:tcMar>
                    <w:top w:w="0" w:type="dxa"/>
                    <w:left w:w="0" w:type="dxa"/>
                    <w:bottom w:w="0" w:type="dxa"/>
                    <w:right w:w="0" w:type="dxa"/>
                  </w:tcMar>
                  <w:vAlign w:val="center"/>
                </w:tcPr>
                <w:p w14:paraId="15E5C4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抛光打磨粉尘</w:t>
                  </w:r>
                </w:p>
              </w:tc>
              <w:tc>
                <w:tcPr>
                  <w:tcW w:w="394" w:type="pct"/>
                  <w:tcBorders>
                    <w:tl2br w:val="nil"/>
                    <w:tr2bl w:val="nil"/>
                  </w:tcBorders>
                  <w:noWrap w:val="0"/>
                  <w:tcMar>
                    <w:top w:w="0" w:type="dxa"/>
                    <w:left w:w="0" w:type="dxa"/>
                    <w:bottom w:w="0" w:type="dxa"/>
                    <w:right w:w="0" w:type="dxa"/>
                  </w:tcMar>
                  <w:vAlign w:val="center"/>
                </w:tcPr>
                <w:p w14:paraId="4545C0CB">
                  <w:pPr>
                    <w:keepNext w:val="0"/>
                    <w:keepLines w:val="0"/>
                    <w:widowControl/>
                    <w:suppressLineNumbers w:val="0"/>
                    <w:jc w:val="center"/>
                    <w:textAlignment w:val="cente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颗粒物</w:t>
                  </w:r>
                </w:p>
              </w:tc>
              <w:tc>
                <w:tcPr>
                  <w:tcW w:w="340" w:type="pct"/>
                  <w:tcBorders>
                    <w:tl2br w:val="nil"/>
                    <w:tr2bl w:val="nil"/>
                  </w:tcBorders>
                  <w:noWrap w:val="0"/>
                  <w:tcMar>
                    <w:top w:w="0" w:type="dxa"/>
                    <w:left w:w="0" w:type="dxa"/>
                    <w:bottom w:w="0" w:type="dxa"/>
                    <w:right w:w="0" w:type="dxa"/>
                  </w:tcMar>
                  <w:vAlign w:val="center"/>
                </w:tcPr>
                <w:p w14:paraId="0D20A76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0.468 </w:t>
                  </w:r>
                </w:p>
              </w:tc>
              <w:tc>
                <w:tcPr>
                  <w:tcW w:w="418" w:type="pct"/>
                  <w:tcBorders>
                    <w:tl2br w:val="nil"/>
                    <w:tr2bl w:val="nil"/>
                  </w:tcBorders>
                  <w:noWrap w:val="0"/>
                  <w:tcMar>
                    <w:top w:w="0" w:type="dxa"/>
                    <w:left w:w="0" w:type="dxa"/>
                    <w:bottom w:w="0" w:type="dxa"/>
                    <w:right w:w="0" w:type="dxa"/>
                  </w:tcMar>
                  <w:vAlign w:val="center"/>
                </w:tcPr>
                <w:p w14:paraId="0715A1B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0.243 </w:t>
                  </w:r>
                </w:p>
              </w:tc>
              <w:tc>
                <w:tcPr>
                  <w:tcW w:w="429" w:type="pct"/>
                  <w:tcBorders>
                    <w:tl2br w:val="nil"/>
                    <w:tr2bl w:val="nil"/>
                  </w:tcBorders>
                  <w:noWrap w:val="0"/>
                  <w:tcMar>
                    <w:top w:w="0" w:type="dxa"/>
                    <w:left w:w="0" w:type="dxa"/>
                    <w:bottom w:w="0" w:type="dxa"/>
                    <w:right w:w="0" w:type="dxa"/>
                  </w:tcMar>
                  <w:vAlign w:val="center"/>
                </w:tcPr>
                <w:p w14:paraId="48016139">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52" w:type="pct"/>
                  <w:tcBorders>
                    <w:tl2br w:val="nil"/>
                    <w:tr2bl w:val="nil"/>
                  </w:tcBorders>
                  <w:noWrap w:val="0"/>
                  <w:tcMar>
                    <w:top w:w="0" w:type="dxa"/>
                    <w:left w:w="0" w:type="dxa"/>
                    <w:bottom w:w="0" w:type="dxa"/>
                    <w:right w:w="0" w:type="dxa"/>
                  </w:tcMar>
                  <w:vAlign w:val="center"/>
                </w:tcPr>
                <w:p w14:paraId="0C86F81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无组织</w:t>
                  </w:r>
                </w:p>
              </w:tc>
              <w:tc>
                <w:tcPr>
                  <w:tcW w:w="432" w:type="pct"/>
                  <w:tcBorders>
                    <w:tl2br w:val="nil"/>
                    <w:tr2bl w:val="nil"/>
                  </w:tcBorders>
                  <w:noWrap w:val="0"/>
                  <w:tcMar>
                    <w:top w:w="0" w:type="dxa"/>
                    <w:left w:w="0" w:type="dxa"/>
                    <w:bottom w:w="0" w:type="dxa"/>
                    <w:right w:w="0" w:type="dxa"/>
                  </w:tcMar>
                  <w:vAlign w:val="center"/>
                </w:tcPr>
                <w:p w14:paraId="2181261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286" w:type="pct"/>
                  <w:tcBorders>
                    <w:tl2br w:val="nil"/>
                    <w:tr2bl w:val="nil"/>
                  </w:tcBorders>
                  <w:noWrap w:val="0"/>
                  <w:tcMar>
                    <w:top w:w="0" w:type="dxa"/>
                    <w:left w:w="0" w:type="dxa"/>
                    <w:bottom w:w="0" w:type="dxa"/>
                    <w:right w:w="0" w:type="dxa"/>
                  </w:tcMar>
                  <w:vAlign w:val="center"/>
                </w:tcPr>
                <w:p w14:paraId="2E3D504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261" w:type="pct"/>
                  <w:tcBorders>
                    <w:tl2br w:val="nil"/>
                    <w:tr2bl w:val="nil"/>
                  </w:tcBorders>
                  <w:noWrap w:val="0"/>
                  <w:tcMar>
                    <w:top w:w="0" w:type="dxa"/>
                    <w:left w:w="0" w:type="dxa"/>
                    <w:bottom w:w="0" w:type="dxa"/>
                    <w:right w:w="0" w:type="dxa"/>
                  </w:tcMar>
                  <w:vAlign w:val="center"/>
                </w:tcPr>
                <w:p w14:paraId="5E1A181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0" w:type="pct"/>
                  <w:tcBorders>
                    <w:tl2br w:val="nil"/>
                    <w:tr2bl w:val="nil"/>
                  </w:tcBorders>
                  <w:noWrap w:val="0"/>
                  <w:tcMar>
                    <w:top w:w="0" w:type="dxa"/>
                    <w:left w:w="0" w:type="dxa"/>
                    <w:bottom w:w="0" w:type="dxa"/>
                    <w:right w:w="0" w:type="dxa"/>
                  </w:tcMar>
                  <w:vAlign w:val="center"/>
                </w:tcPr>
                <w:p w14:paraId="15CD6AC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0.468 </w:t>
                  </w:r>
                </w:p>
              </w:tc>
              <w:tc>
                <w:tcPr>
                  <w:tcW w:w="432" w:type="pct"/>
                  <w:tcBorders>
                    <w:tl2br w:val="nil"/>
                    <w:tr2bl w:val="nil"/>
                  </w:tcBorders>
                  <w:noWrap w:val="0"/>
                  <w:tcMar>
                    <w:top w:w="0" w:type="dxa"/>
                    <w:left w:w="0" w:type="dxa"/>
                    <w:bottom w:w="0" w:type="dxa"/>
                    <w:right w:w="0" w:type="dxa"/>
                  </w:tcMar>
                  <w:vAlign w:val="center"/>
                </w:tcPr>
                <w:p w14:paraId="04C782F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0.243 </w:t>
                  </w:r>
                </w:p>
              </w:tc>
              <w:tc>
                <w:tcPr>
                  <w:tcW w:w="477" w:type="pct"/>
                  <w:tcBorders>
                    <w:tl2br w:val="nil"/>
                    <w:tr2bl w:val="nil"/>
                  </w:tcBorders>
                  <w:noWrap w:val="0"/>
                  <w:tcMar>
                    <w:top w:w="0" w:type="dxa"/>
                    <w:left w:w="0" w:type="dxa"/>
                    <w:bottom w:w="0" w:type="dxa"/>
                    <w:right w:w="0" w:type="dxa"/>
                  </w:tcMar>
                  <w:vAlign w:val="center"/>
                </w:tcPr>
                <w:p w14:paraId="52F6CB73">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2" w:type="pct"/>
                  <w:vMerge w:val="continue"/>
                  <w:tcBorders>
                    <w:tl2br w:val="nil"/>
                    <w:tr2bl w:val="nil"/>
                  </w:tcBorders>
                  <w:noWrap w:val="0"/>
                  <w:tcMar>
                    <w:top w:w="0" w:type="dxa"/>
                    <w:left w:w="0" w:type="dxa"/>
                    <w:bottom w:w="0" w:type="dxa"/>
                    <w:right w:w="0" w:type="dxa"/>
                  </w:tcMar>
                  <w:vAlign w:val="center"/>
                </w:tcPr>
                <w:p w14:paraId="20EBBB3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5BE0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tcBorders>
                    <w:tl2br w:val="nil"/>
                    <w:tr2bl w:val="nil"/>
                  </w:tcBorders>
                  <w:noWrap w:val="0"/>
                  <w:tcMar>
                    <w:top w:w="0" w:type="dxa"/>
                    <w:left w:w="0" w:type="dxa"/>
                    <w:bottom w:w="0" w:type="dxa"/>
                    <w:right w:w="0" w:type="dxa"/>
                  </w:tcMar>
                  <w:vAlign w:val="center"/>
                </w:tcPr>
                <w:p w14:paraId="33A41611">
                  <w:pPr>
                    <w:pStyle w:val="109"/>
                    <w:bidi w:val="0"/>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喷粉粉尘</w:t>
                  </w:r>
                </w:p>
              </w:tc>
              <w:tc>
                <w:tcPr>
                  <w:tcW w:w="394" w:type="pct"/>
                  <w:tcBorders>
                    <w:tl2br w:val="nil"/>
                    <w:tr2bl w:val="nil"/>
                  </w:tcBorders>
                  <w:noWrap w:val="0"/>
                  <w:tcMar>
                    <w:top w:w="0" w:type="dxa"/>
                    <w:left w:w="0" w:type="dxa"/>
                    <w:bottom w:w="0" w:type="dxa"/>
                    <w:right w:w="0" w:type="dxa"/>
                  </w:tcMar>
                  <w:vAlign w:val="center"/>
                </w:tcPr>
                <w:p w14:paraId="7124BA43">
                  <w:pPr>
                    <w:keepNext w:val="0"/>
                    <w:keepLines w:val="0"/>
                    <w:widowControl/>
                    <w:suppressLineNumbers w:val="0"/>
                    <w:jc w:val="center"/>
                    <w:textAlignment w:val="cente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颗粒物</w:t>
                  </w:r>
                </w:p>
              </w:tc>
              <w:tc>
                <w:tcPr>
                  <w:tcW w:w="340" w:type="pct"/>
                  <w:tcBorders>
                    <w:tl2br w:val="nil"/>
                    <w:tr2bl w:val="nil"/>
                  </w:tcBorders>
                  <w:noWrap w:val="0"/>
                  <w:tcMar>
                    <w:top w:w="0" w:type="dxa"/>
                    <w:left w:w="0" w:type="dxa"/>
                    <w:bottom w:w="0" w:type="dxa"/>
                    <w:right w:w="0" w:type="dxa"/>
                  </w:tcMar>
                  <w:vAlign w:val="center"/>
                </w:tcPr>
                <w:p w14:paraId="41F7A83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1.302 </w:t>
                  </w:r>
                </w:p>
              </w:tc>
              <w:tc>
                <w:tcPr>
                  <w:tcW w:w="418" w:type="pct"/>
                  <w:tcBorders>
                    <w:tl2br w:val="nil"/>
                    <w:tr2bl w:val="nil"/>
                  </w:tcBorders>
                  <w:noWrap w:val="0"/>
                  <w:tcMar>
                    <w:top w:w="0" w:type="dxa"/>
                    <w:left w:w="0" w:type="dxa"/>
                    <w:bottom w:w="0" w:type="dxa"/>
                    <w:right w:w="0" w:type="dxa"/>
                  </w:tcMar>
                  <w:vAlign w:val="center"/>
                </w:tcPr>
                <w:p w14:paraId="59BE7E2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0.675 </w:t>
                  </w:r>
                </w:p>
              </w:tc>
              <w:tc>
                <w:tcPr>
                  <w:tcW w:w="429" w:type="pct"/>
                  <w:tcBorders>
                    <w:tl2br w:val="nil"/>
                    <w:tr2bl w:val="nil"/>
                  </w:tcBorders>
                  <w:noWrap w:val="0"/>
                  <w:tcMar>
                    <w:top w:w="0" w:type="dxa"/>
                    <w:left w:w="0" w:type="dxa"/>
                    <w:bottom w:w="0" w:type="dxa"/>
                    <w:right w:w="0" w:type="dxa"/>
                  </w:tcMar>
                  <w:vAlign w:val="center"/>
                </w:tcPr>
                <w:p w14:paraId="520F0A3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52" w:type="pct"/>
                  <w:tcBorders>
                    <w:tl2br w:val="nil"/>
                    <w:tr2bl w:val="nil"/>
                  </w:tcBorders>
                  <w:noWrap w:val="0"/>
                  <w:tcMar>
                    <w:top w:w="0" w:type="dxa"/>
                    <w:left w:w="0" w:type="dxa"/>
                    <w:bottom w:w="0" w:type="dxa"/>
                    <w:right w:w="0" w:type="dxa"/>
                  </w:tcMar>
                  <w:vAlign w:val="center"/>
                </w:tcPr>
                <w:p w14:paraId="436B19E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无组织</w:t>
                  </w:r>
                </w:p>
              </w:tc>
              <w:tc>
                <w:tcPr>
                  <w:tcW w:w="432" w:type="pct"/>
                  <w:tcBorders>
                    <w:tl2br w:val="nil"/>
                    <w:tr2bl w:val="nil"/>
                  </w:tcBorders>
                  <w:noWrap w:val="0"/>
                  <w:tcMar>
                    <w:top w:w="0" w:type="dxa"/>
                    <w:left w:w="0" w:type="dxa"/>
                    <w:bottom w:w="0" w:type="dxa"/>
                    <w:right w:w="0" w:type="dxa"/>
                  </w:tcMar>
                  <w:vAlign w:val="center"/>
                </w:tcPr>
                <w:p w14:paraId="2DEBC0C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286" w:type="pct"/>
                  <w:tcBorders>
                    <w:tl2br w:val="nil"/>
                    <w:tr2bl w:val="nil"/>
                  </w:tcBorders>
                  <w:noWrap w:val="0"/>
                  <w:tcMar>
                    <w:top w:w="0" w:type="dxa"/>
                    <w:left w:w="0" w:type="dxa"/>
                    <w:bottom w:w="0" w:type="dxa"/>
                    <w:right w:w="0" w:type="dxa"/>
                  </w:tcMar>
                  <w:vAlign w:val="center"/>
                </w:tcPr>
                <w:p w14:paraId="01820C7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261" w:type="pct"/>
                  <w:tcBorders>
                    <w:tl2br w:val="nil"/>
                    <w:tr2bl w:val="nil"/>
                  </w:tcBorders>
                  <w:noWrap w:val="0"/>
                  <w:tcMar>
                    <w:top w:w="0" w:type="dxa"/>
                    <w:left w:w="0" w:type="dxa"/>
                    <w:bottom w:w="0" w:type="dxa"/>
                    <w:right w:w="0" w:type="dxa"/>
                  </w:tcMar>
                  <w:vAlign w:val="center"/>
                </w:tcPr>
                <w:p w14:paraId="6828ABB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0" w:type="pct"/>
                  <w:tcBorders>
                    <w:tl2br w:val="nil"/>
                    <w:tr2bl w:val="nil"/>
                  </w:tcBorders>
                  <w:noWrap w:val="0"/>
                  <w:tcMar>
                    <w:top w:w="0" w:type="dxa"/>
                    <w:left w:w="0" w:type="dxa"/>
                    <w:bottom w:w="0" w:type="dxa"/>
                    <w:right w:w="0" w:type="dxa"/>
                  </w:tcMar>
                  <w:vAlign w:val="center"/>
                </w:tcPr>
                <w:p w14:paraId="60BECA8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1.302 </w:t>
                  </w:r>
                </w:p>
              </w:tc>
              <w:tc>
                <w:tcPr>
                  <w:tcW w:w="432" w:type="pct"/>
                  <w:tcBorders>
                    <w:tl2br w:val="nil"/>
                    <w:tr2bl w:val="nil"/>
                  </w:tcBorders>
                  <w:noWrap w:val="0"/>
                  <w:tcMar>
                    <w:top w:w="0" w:type="dxa"/>
                    <w:left w:w="0" w:type="dxa"/>
                    <w:bottom w:w="0" w:type="dxa"/>
                    <w:right w:w="0" w:type="dxa"/>
                  </w:tcMar>
                  <w:vAlign w:val="center"/>
                </w:tcPr>
                <w:p w14:paraId="34B1D45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0.675 </w:t>
                  </w:r>
                </w:p>
              </w:tc>
              <w:tc>
                <w:tcPr>
                  <w:tcW w:w="477" w:type="pct"/>
                  <w:tcBorders>
                    <w:tl2br w:val="nil"/>
                    <w:tr2bl w:val="nil"/>
                  </w:tcBorders>
                  <w:noWrap w:val="0"/>
                  <w:tcMar>
                    <w:top w:w="0" w:type="dxa"/>
                    <w:left w:w="0" w:type="dxa"/>
                    <w:bottom w:w="0" w:type="dxa"/>
                    <w:right w:w="0" w:type="dxa"/>
                  </w:tcMar>
                  <w:vAlign w:val="center"/>
                </w:tcPr>
                <w:p w14:paraId="3DAB68C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2" w:type="pct"/>
                  <w:tcBorders>
                    <w:tl2br w:val="nil"/>
                    <w:tr2bl w:val="nil"/>
                  </w:tcBorders>
                  <w:noWrap w:val="0"/>
                  <w:tcMar>
                    <w:top w:w="0" w:type="dxa"/>
                    <w:left w:w="0" w:type="dxa"/>
                    <w:bottom w:w="0" w:type="dxa"/>
                    <w:right w:w="0" w:type="dxa"/>
                  </w:tcMar>
                  <w:vAlign w:val="center"/>
                </w:tcPr>
                <w:p w14:paraId="6AF5FE9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1928</w:t>
                  </w:r>
                </w:p>
              </w:tc>
            </w:tr>
            <w:tr w14:paraId="0C1A7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vMerge w:val="restart"/>
                  <w:tcBorders>
                    <w:tl2br w:val="nil"/>
                    <w:tr2bl w:val="nil"/>
                  </w:tcBorders>
                  <w:noWrap w:val="0"/>
                  <w:tcMar>
                    <w:top w:w="0" w:type="dxa"/>
                    <w:left w:w="0" w:type="dxa"/>
                    <w:bottom w:w="0" w:type="dxa"/>
                    <w:right w:w="0" w:type="dxa"/>
                  </w:tcMar>
                  <w:vAlign w:val="center"/>
                </w:tcPr>
                <w:p w14:paraId="75DF65E3">
                  <w:pPr>
                    <w:pStyle w:val="109"/>
                    <w:bidi w:val="0"/>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喷漆废气（DA001）</w:t>
                  </w:r>
                </w:p>
              </w:tc>
              <w:tc>
                <w:tcPr>
                  <w:tcW w:w="394" w:type="pct"/>
                  <w:tcBorders>
                    <w:tl2br w:val="nil"/>
                    <w:tr2bl w:val="nil"/>
                  </w:tcBorders>
                  <w:noWrap w:val="0"/>
                  <w:tcMar>
                    <w:top w:w="0" w:type="dxa"/>
                    <w:left w:w="0" w:type="dxa"/>
                    <w:bottom w:w="0" w:type="dxa"/>
                    <w:right w:w="0" w:type="dxa"/>
                  </w:tcMar>
                  <w:vAlign w:val="center"/>
                </w:tcPr>
                <w:p w14:paraId="59A3B808">
                  <w:pPr>
                    <w:keepNext w:val="0"/>
                    <w:keepLines w:val="0"/>
                    <w:widowControl/>
                    <w:suppressLineNumbers w:val="0"/>
                    <w:jc w:val="center"/>
                    <w:textAlignment w:val="cente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颗粒物</w:t>
                  </w:r>
                </w:p>
              </w:tc>
              <w:tc>
                <w:tcPr>
                  <w:tcW w:w="340" w:type="pct"/>
                  <w:tcBorders>
                    <w:tl2br w:val="nil"/>
                    <w:tr2bl w:val="nil"/>
                  </w:tcBorders>
                  <w:noWrap w:val="0"/>
                  <w:tcMar>
                    <w:top w:w="0" w:type="dxa"/>
                    <w:left w:w="0" w:type="dxa"/>
                    <w:bottom w:w="0" w:type="dxa"/>
                    <w:right w:w="0" w:type="dxa"/>
                  </w:tcMar>
                  <w:vAlign w:val="center"/>
                </w:tcPr>
                <w:p w14:paraId="0F51501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2.203 </w:t>
                  </w:r>
                </w:p>
              </w:tc>
              <w:tc>
                <w:tcPr>
                  <w:tcW w:w="418" w:type="pct"/>
                  <w:tcBorders>
                    <w:tl2br w:val="nil"/>
                    <w:tr2bl w:val="nil"/>
                  </w:tcBorders>
                  <w:noWrap w:val="0"/>
                  <w:tcMar>
                    <w:top w:w="0" w:type="dxa"/>
                    <w:left w:w="0" w:type="dxa"/>
                    <w:bottom w:w="0" w:type="dxa"/>
                    <w:right w:w="0" w:type="dxa"/>
                  </w:tcMar>
                  <w:vAlign w:val="center"/>
                </w:tcPr>
                <w:p w14:paraId="2899E16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1.143 </w:t>
                  </w:r>
                </w:p>
              </w:tc>
              <w:tc>
                <w:tcPr>
                  <w:tcW w:w="429" w:type="pct"/>
                  <w:tcBorders>
                    <w:tl2br w:val="nil"/>
                    <w:tr2bl w:val="nil"/>
                  </w:tcBorders>
                  <w:noWrap w:val="0"/>
                  <w:tcMar>
                    <w:top w:w="0" w:type="dxa"/>
                    <w:left w:w="0" w:type="dxa"/>
                    <w:bottom w:w="0" w:type="dxa"/>
                    <w:right w:w="0" w:type="dxa"/>
                  </w:tcMar>
                  <w:vAlign w:val="center"/>
                </w:tcPr>
                <w:p w14:paraId="34B726F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6.3 </w:t>
                  </w:r>
                </w:p>
              </w:tc>
              <w:tc>
                <w:tcPr>
                  <w:tcW w:w="352" w:type="pct"/>
                  <w:vMerge w:val="restart"/>
                  <w:tcBorders>
                    <w:tl2br w:val="nil"/>
                    <w:tr2bl w:val="nil"/>
                  </w:tcBorders>
                  <w:noWrap w:val="0"/>
                  <w:tcMar>
                    <w:top w:w="0" w:type="dxa"/>
                    <w:left w:w="0" w:type="dxa"/>
                    <w:bottom w:w="0" w:type="dxa"/>
                    <w:right w:w="0" w:type="dxa"/>
                  </w:tcMar>
                  <w:vAlign w:val="center"/>
                </w:tcPr>
                <w:p w14:paraId="4C8EC3C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有组织</w:t>
                  </w:r>
                </w:p>
              </w:tc>
              <w:tc>
                <w:tcPr>
                  <w:tcW w:w="432" w:type="pct"/>
                  <w:vMerge w:val="restart"/>
                  <w:tcBorders>
                    <w:tl2br w:val="nil"/>
                    <w:tr2bl w:val="nil"/>
                  </w:tcBorders>
                  <w:noWrap w:val="0"/>
                  <w:tcMar>
                    <w:top w:w="0" w:type="dxa"/>
                    <w:left w:w="0" w:type="dxa"/>
                    <w:bottom w:w="0" w:type="dxa"/>
                    <w:right w:w="0" w:type="dxa"/>
                  </w:tcMar>
                  <w:vAlign w:val="center"/>
                </w:tcPr>
                <w:p w14:paraId="7768D8E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181200</w:t>
                  </w:r>
                </w:p>
              </w:tc>
              <w:tc>
                <w:tcPr>
                  <w:tcW w:w="286" w:type="pct"/>
                  <w:tcBorders>
                    <w:tl2br w:val="nil"/>
                    <w:tr2bl w:val="nil"/>
                  </w:tcBorders>
                  <w:shd w:val="clear" w:color="auto" w:fill="auto"/>
                  <w:noWrap w:val="0"/>
                  <w:tcMar>
                    <w:top w:w="0" w:type="dxa"/>
                    <w:left w:w="0" w:type="dxa"/>
                    <w:bottom w:w="0" w:type="dxa"/>
                    <w:right w:w="0" w:type="dxa"/>
                  </w:tcMar>
                  <w:vAlign w:val="center"/>
                </w:tcPr>
                <w:p w14:paraId="7D7B52F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90%</w:t>
                  </w:r>
                </w:p>
              </w:tc>
              <w:tc>
                <w:tcPr>
                  <w:tcW w:w="261" w:type="pct"/>
                  <w:tcBorders>
                    <w:tl2br w:val="nil"/>
                    <w:tr2bl w:val="nil"/>
                  </w:tcBorders>
                  <w:shd w:val="clear" w:color="auto" w:fill="auto"/>
                  <w:noWrap w:val="0"/>
                  <w:tcMar>
                    <w:top w:w="0" w:type="dxa"/>
                    <w:left w:w="0" w:type="dxa"/>
                    <w:bottom w:w="0" w:type="dxa"/>
                    <w:right w:w="0" w:type="dxa"/>
                  </w:tcMar>
                  <w:vAlign w:val="center"/>
                </w:tcPr>
                <w:p w14:paraId="0D26798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99%</w:t>
                  </w:r>
                </w:p>
              </w:tc>
              <w:tc>
                <w:tcPr>
                  <w:tcW w:w="340" w:type="pct"/>
                  <w:tcBorders>
                    <w:tl2br w:val="nil"/>
                    <w:tr2bl w:val="nil"/>
                  </w:tcBorders>
                  <w:noWrap w:val="0"/>
                  <w:tcMar>
                    <w:top w:w="0" w:type="dxa"/>
                    <w:left w:w="0" w:type="dxa"/>
                    <w:bottom w:w="0" w:type="dxa"/>
                    <w:right w:w="0" w:type="dxa"/>
                  </w:tcMar>
                  <w:vAlign w:val="center"/>
                </w:tcPr>
                <w:p w14:paraId="6B6642A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0.022 </w:t>
                  </w:r>
                </w:p>
              </w:tc>
              <w:tc>
                <w:tcPr>
                  <w:tcW w:w="432" w:type="pct"/>
                  <w:tcBorders>
                    <w:tl2br w:val="nil"/>
                    <w:tr2bl w:val="nil"/>
                  </w:tcBorders>
                  <w:noWrap w:val="0"/>
                  <w:tcMar>
                    <w:top w:w="0" w:type="dxa"/>
                    <w:left w:w="0" w:type="dxa"/>
                    <w:bottom w:w="0" w:type="dxa"/>
                    <w:right w:w="0" w:type="dxa"/>
                  </w:tcMar>
                  <w:vAlign w:val="center"/>
                </w:tcPr>
                <w:p w14:paraId="0479A58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0.011 </w:t>
                  </w:r>
                </w:p>
              </w:tc>
              <w:tc>
                <w:tcPr>
                  <w:tcW w:w="477" w:type="pct"/>
                  <w:tcBorders>
                    <w:tl2br w:val="nil"/>
                    <w:tr2bl w:val="nil"/>
                  </w:tcBorders>
                  <w:noWrap w:val="0"/>
                  <w:tcMar>
                    <w:top w:w="0" w:type="dxa"/>
                    <w:left w:w="0" w:type="dxa"/>
                    <w:bottom w:w="0" w:type="dxa"/>
                    <w:right w:w="0" w:type="dxa"/>
                  </w:tcMar>
                  <w:vAlign w:val="center"/>
                </w:tcPr>
                <w:p w14:paraId="591FD76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 </w:t>
                  </w:r>
                </w:p>
              </w:tc>
              <w:tc>
                <w:tcPr>
                  <w:tcW w:w="342" w:type="pct"/>
                  <w:vMerge w:val="restart"/>
                  <w:tcBorders>
                    <w:tl2br w:val="nil"/>
                    <w:tr2bl w:val="nil"/>
                  </w:tcBorders>
                  <w:noWrap w:val="0"/>
                  <w:tcMar>
                    <w:top w:w="0" w:type="dxa"/>
                    <w:left w:w="0" w:type="dxa"/>
                    <w:bottom w:w="0" w:type="dxa"/>
                    <w:right w:w="0" w:type="dxa"/>
                  </w:tcMar>
                  <w:vAlign w:val="center"/>
                </w:tcPr>
                <w:p w14:paraId="450A700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1928</w:t>
                  </w:r>
                </w:p>
              </w:tc>
            </w:tr>
            <w:tr w14:paraId="5EEA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vMerge w:val="continue"/>
                  <w:tcBorders>
                    <w:tl2br w:val="nil"/>
                    <w:tr2bl w:val="nil"/>
                  </w:tcBorders>
                  <w:noWrap w:val="0"/>
                  <w:tcMar>
                    <w:top w:w="0" w:type="dxa"/>
                    <w:left w:w="0" w:type="dxa"/>
                    <w:bottom w:w="0" w:type="dxa"/>
                    <w:right w:w="0" w:type="dxa"/>
                  </w:tcMar>
                  <w:vAlign w:val="center"/>
                </w:tcPr>
                <w:p w14:paraId="6E947B38">
                  <w:pPr>
                    <w:pStyle w:val="109"/>
                    <w:bidi w:val="0"/>
                    <w:rPr>
                      <w:rFonts w:hint="default" w:ascii="Times New Roman" w:hAnsi="Times New Roman" w:cs="Times New Roman"/>
                      <w:bCs/>
                      <w:color w:val="000000" w:themeColor="text1"/>
                      <w:sz w:val="21"/>
                      <w:szCs w:val="21"/>
                      <w:highlight w:val="none"/>
                      <w14:textFill>
                        <w14:solidFill>
                          <w14:schemeClr w14:val="tx1"/>
                        </w14:solidFill>
                      </w14:textFill>
                    </w:rPr>
                  </w:pPr>
                </w:p>
              </w:tc>
              <w:tc>
                <w:tcPr>
                  <w:tcW w:w="394" w:type="pct"/>
                  <w:tcBorders>
                    <w:tl2br w:val="nil"/>
                    <w:tr2bl w:val="nil"/>
                  </w:tcBorders>
                  <w:noWrap w:val="0"/>
                  <w:tcMar>
                    <w:top w:w="0" w:type="dxa"/>
                    <w:left w:w="0" w:type="dxa"/>
                    <w:bottom w:w="0" w:type="dxa"/>
                    <w:right w:w="0" w:type="dxa"/>
                  </w:tcMar>
                  <w:vAlign w:val="center"/>
                </w:tcPr>
                <w:p w14:paraId="05786F54">
                  <w:pPr>
                    <w:keepNext w:val="0"/>
                    <w:keepLines w:val="0"/>
                    <w:widowControl/>
                    <w:suppressLineNumbers w:val="0"/>
                    <w:jc w:val="center"/>
                    <w:textAlignment w:val="cente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非甲烷总烃</w:t>
                  </w:r>
                </w:p>
              </w:tc>
              <w:tc>
                <w:tcPr>
                  <w:tcW w:w="340" w:type="pct"/>
                  <w:tcBorders>
                    <w:tl2br w:val="nil"/>
                    <w:tr2bl w:val="nil"/>
                  </w:tcBorders>
                  <w:noWrap w:val="0"/>
                  <w:tcMar>
                    <w:top w:w="0" w:type="dxa"/>
                    <w:left w:w="0" w:type="dxa"/>
                    <w:bottom w:w="0" w:type="dxa"/>
                    <w:right w:w="0" w:type="dxa"/>
                  </w:tcMar>
                  <w:vAlign w:val="center"/>
                </w:tcPr>
                <w:p w14:paraId="436EA56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3.012 </w:t>
                  </w:r>
                </w:p>
              </w:tc>
              <w:tc>
                <w:tcPr>
                  <w:tcW w:w="418" w:type="pct"/>
                  <w:tcBorders>
                    <w:tl2br w:val="nil"/>
                    <w:tr2bl w:val="nil"/>
                  </w:tcBorders>
                  <w:noWrap w:val="0"/>
                  <w:tcMar>
                    <w:top w:w="0" w:type="dxa"/>
                    <w:left w:w="0" w:type="dxa"/>
                    <w:bottom w:w="0" w:type="dxa"/>
                    <w:right w:w="0" w:type="dxa"/>
                  </w:tcMar>
                  <w:vAlign w:val="center"/>
                </w:tcPr>
                <w:p w14:paraId="7473714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1.562 </w:t>
                  </w:r>
                </w:p>
              </w:tc>
              <w:tc>
                <w:tcPr>
                  <w:tcW w:w="429" w:type="pct"/>
                  <w:tcBorders>
                    <w:tl2br w:val="nil"/>
                    <w:tr2bl w:val="nil"/>
                  </w:tcBorders>
                  <w:noWrap w:val="0"/>
                  <w:tcMar>
                    <w:top w:w="0" w:type="dxa"/>
                    <w:left w:w="0" w:type="dxa"/>
                    <w:bottom w:w="0" w:type="dxa"/>
                    <w:right w:w="0" w:type="dxa"/>
                  </w:tcMar>
                  <w:vAlign w:val="center"/>
                </w:tcPr>
                <w:p w14:paraId="33E2330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8.6 </w:t>
                  </w:r>
                </w:p>
              </w:tc>
              <w:tc>
                <w:tcPr>
                  <w:tcW w:w="352" w:type="pct"/>
                  <w:vMerge w:val="continue"/>
                  <w:tcBorders>
                    <w:tl2br w:val="nil"/>
                    <w:tr2bl w:val="nil"/>
                  </w:tcBorders>
                  <w:noWrap w:val="0"/>
                  <w:tcMar>
                    <w:top w:w="0" w:type="dxa"/>
                    <w:left w:w="0" w:type="dxa"/>
                    <w:bottom w:w="0" w:type="dxa"/>
                    <w:right w:w="0" w:type="dxa"/>
                  </w:tcMar>
                  <w:vAlign w:val="center"/>
                </w:tcPr>
                <w:p w14:paraId="25BD3C62">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432" w:type="pct"/>
                  <w:vMerge w:val="continue"/>
                  <w:tcBorders>
                    <w:tl2br w:val="nil"/>
                    <w:tr2bl w:val="nil"/>
                  </w:tcBorders>
                  <w:noWrap w:val="0"/>
                  <w:tcMar>
                    <w:top w:w="0" w:type="dxa"/>
                    <w:left w:w="0" w:type="dxa"/>
                    <w:bottom w:w="0" w:type="dxa"/>
                    <w:right w:w="0" w:type="dxa"/>
                  </w:tcMar>
                  <w:vAlign w:val="center"/>
                </w:tcPr>
                <w:p w14:paraId="3B6BC962">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286" w:type="pct"/>
                  <w:tcBorders>
                    <w:tl2br w:val="nil"/>
                    <w:tr2bl w:val="nil"/>
                  </w:tcBorders>
                  <w:shd w:val="clear" w:color="auto" w:fill="auto"/>
                  <w:noWrap w:val="0"/>
                  <w:tcMar>
                    <w:top w:w="0" w:type="dxa"/>
                    <w:left w:w="0" w:type="dxa"/>
                    <w:bottom w:w="0" w:type="dxa"/>
                    <w:right w:w="0" w:type="dxa"/>
                  </w:tcMar>
                  <w:vAlign w:val="center"/>
                </w:tcPr>
                <w:p w14:paraId="1BF0754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90%</w:t>
                  </w:r>
                </w:p>
              </w:tc>
              <w:tc>
                <w:tcPr>
                  <w:tcW w:w="261" w:type="pct"/>
                  <w:tcBorders>
                    <w:tl2br w:val="nil"/>
                    <w:tr2bl w:val="nil"/>
                  </w:tcBorders>
                  <w:shd w:val="clear" w:color="auto" w:fill="auto"/>
                  <w:noWrap w:val="0"/>
                  <w:tcMar>
                    <w:top w:w="0" w:type="dxa"/>
                    <w:left w:w="0" w:type="dxa"/>
                    <w:bottom w:w="0" w:type="dxa"/>
                    <w:right w:w="0" w:type="dxa"/>
                  </w:tcMar>
                  <w:vAlign w:val="center"/>
                </w:tcPr>
                <w:p w14:paraId="571F92A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w:t>
                  </w:r>
                </w:p>
              </w:tc>
              <w:tc>
                <w:tcPr>
                  <w:tcW w:w="340" w:type="pct"/>
                  <w:tcBorders>
                    <w:tl2br w:val="nil"/>
                    <w:tr2bl w:val="nil"/>
                  </w:tcBorders>
                  <w:noWrap w:val="0"/>
                  <w:tcMar>
                    <w:top w:w="0" w:type="dxa"/>
                    <w:left w:w="0" w:type="dxa"/>
                    <w:bottom w:w="0" w:type="dxa"/>
                    <w:right w:w="0" w:type="dxa"/>
                  </w:tcMar>
                  <w:vAlign w:val="center"/>
                </w:tcPr>
                <w:p w14:paraId="0E56E3B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0.602 </w:t>
                  </w:r>
                </w:p>
              </w:tc>
              <w:tc>
                <w:tcPr>
                  <w:tcW w:w="432" w:type="pct"/>
                  <w:tcBorders>
                    <w:tl2br w:val="nil"/>
                    <w:tr2bl w:val="nil"/>
                  </w:tcBorders>
                  <w:noWrap w:val="0"/>
                  <w:tcMar>
                    <w:top w:w="0" w:type="dxa"/>
                    <w:left w:w="0" w:type="dxa"/>
                    <w:bottom w:w="0" w:type="dxa"/>
                    <w:right w:w="0" w:type="dxa"/>
                  </w:tcMar>
                  <w:vAlign w:val="center"/>
                </w:tcPr>
                <w:p w14:paraId="1F05537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0.312 </w:t>
                  </w:r>
                </w:p>
              </w:tc>
              <w:tc>
                <w:tcPr>
                  <w:tcW w:w="477" w:type="pct"/>
                  <w:tcBorders>
                    <w:tl2br w:val="nil"/>
                    <w:tr2bl w:val="nil"/>
                  </w:tcBorders>
                  <w:noWrap w:val="0"/>
                  <w:tcMar>
                    <w:top w:w="0" w:type="dxa"/>
                    <w:left w:w="0" w:type="dxa"/>
                    <w:bottom w:w="0" w:type="dxa"/>
                    <w:right w:w="0" w:type="dxa"/>
                  </w:tcMar>
                  <w:vAlign w:val="center"/>
                </w:tcPr>
                <w:p w14:paraId="1C04867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1.7 </w:t>
                  </w:r>
                </w:p>
              </w:tc>
              <w:tc>
                <w:tcPr>
                  <w:tcW w:w="342" w:type="pct"/>
                  <w:vMerge w:val="continue"/>
                  <w:tcBorders>
                    <w:tl2br w:val="nil"/>
                    <w:tr2bl w:val="nil"/>
                  </w:tcBorders>
                  <w:noWrap w:val="0"/>
                  <w:tcMar>
                    <w:top w:w="0" w:type="dxa"/>
                    <w:left w:w="0" w:type="dxa"/>
                    <w:bottom w:w="0" w:type="dxa"/>
                    <w:right w:w="0" w:type="dxa"/>
                  </w:tcMar>
                  <w:vAlign w:val="center"/>
                </w:tcPr>
                <w:p w14:paraId="7E956A8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7CBF4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vMerge w:val="continue"/>
                  <w:tcBorders>
                    <w:tl2br w:val="nil"/>
                    <w:tr2bl w:val="nil"/>
                  </w:tcBorders>
                  <w:noWrap w:val="0"/>
                  <w:tcMar>
                    <w:top w:w="0" w:type="dxa"/>
                    <w:left w:w="0" w:type="dxa"/>
                    <w:bottom w:w="0" w:type="dxa"/>
                    <w:right w:w="0" w:type="dxa"/>
                  </w:tcMar>
                  <w:vAlign w:val="center"/>
                </w:tcPr>
                <w:p w14:paraId="04BBF791">
                  <w:pPr>
                    <w:pStyle w:val="109"/>
                    <w:bidi w:val="0"/>
                    <w:rPr>
                      <w:rFonts w:hint="default" w:ascii="Times New Roman" w:hAnsi="Times New Roman" w:cs="Times New Roman"/>
                      <w:bCs/>
                      <w:color w:val="000000" w:themeColor="text1"/>
                      <w:sz w:val="21"/>
                      <w:szCs w:val="21"/>
                      <w:highlight w:val="none"/>
                      <w14:textFill>
                        <w14:solidFill>
                          <w14:schemeClr w14:val="tx1"/>
                        </w14:solidFill>
                      </w14:textFill>
                    </w:rPr>
                  </w:pPr>
                </w:p>
              </w:tc>
              <w:tc>
                <w:tcPr>
                  <w:tcW w:w="394" w:type="pct"/>
                  <w:tcBorders>
                    <w:tl2br w:val="nil"/>
                    <w:tr2bl w:val="nil"/>
                  </w:tcBorders>
                  <w:noWrap w:val="0"/>
                  <w:tcMar>
                    <w:top w:w="0" w:type="dxa"/>
                    <w:left w:w="0" w:type="dxa"/>
                    <w:bottom w:w="0" w:type="dxa"/>
                    <w:right w:w="0" w:type="dxa"/>
                  </w:tcMar>
                  <w:vAlign w:val="center"/>
                </w:tcPr>
                <w:p w14:paraId="7112A8E5">
                  <w:pPr>
                    <w:keepNext w:val="0"/>
                    <w:keepLines w:val="0"/>
                    <w:widowControl/>
                    <w:suppressLineNumbers w:val="0"/>
                    <w:jc w:val="center"/>
                    <w:textAlignment w:val="cente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苯系物</w:t>
                  </w:r>
                </w:p>
              </w:tc>
              <w:tc>
                <w:tcPr>
                  <w:tcW w:w="340" w:type="pct"/>
                  <w:tcBorders>
                    <w:tl2br w:val="nil"/>
                    <w:tr2bl w:val="nil"/>
                  </w:tcBorders>
                  <w:noWrap w:val="0"/>
                  <w:tcMar>
                    <w:top w:w="0" w:type="dxa"/>
                    <w:left w:w="0" w:type="dxa"/>
                    <w:bottom w:w="0" w:type="dxa"/>
                    <w:right w:w="0" w:type="dxa"/>
                  </w:tcMar>
                  <w:vAlign w:val="center"/>
                </w:tcPr>
                <w:p w14:paraId="6F52D11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1.489 </w:t>
                  </w:r>
                </w:p>
              </w:tc>
              <w:tc>
                <w:tcPr>
                  <w:tcW w:w="418" w:type="pct"/>
                  <w:tcBorders>
                    <w:tl2br w:val="nil"/>
                    <w:tr2bl w:val="nil"/>
                  </w:tcBorders>
                  <w:noWrap w:val="0"/>
                  <w:tcMar>
                    <w:top w:w="0" w:type="dxa"/>
                    <w:left w:w="0" w:type="dxa"/>
                    <w:bottom w:w="0" w:type="dxa"/>
                    <w:right w:w="0" w:type="dxa"/>
                  </w:tcMar>
                  <w:vAlign w:val="center"/>
                </w:tcPr>
                <w:p w14:paraId="15A1F7C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0.772 </w:t>
                  </w:r>
                </w:p>
              </w:tc>
              <w:tc>
                <w:tcPr>
                  <w:tcW w:w="429" w:type="pct"/>
                  <w:tcBorders>
                    <w:tl2br w:val="nil"/>
                    <w:tr2bl w:val="nil"/>
                  </w:tcBorders>
                  <w:noWrap w:val="0"/>
                  <w:tcMar>
                    <w:top w:w="0" w:type="dxa"/>
                    <w:left w:w="0" w:type="dxa"/>
                    <w:bottom w:w="0" w:type="dxa"/>
                    <w:right w:w="0" w:type="dxa"/>
                  </w:tcMar>
                  <w:vAlign w:val="center"/>
                </w:tcPr>
                <w:p w14:paraId="67FE828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4.3 </w:t>
                  </w:r>
                </w:p>
              </w:tc>
              <w:tc>
                <w:tcPr>
                  <w:tcW w:w="352" w:type="pct"/>
                  <w:vMerge w:val="continue"/>
                  <w:tcBorders>
                    <w:tl2br w:val="nil"/>
                    <w:tr2bl w:val="nil"/>
                  </w:tcBorders>
                  <w:noWrap w:val="0"/>
                  <w:tcMar>
                    <w:top w:w="0" w:type="dxa"/>
                    <w:left w:w="0" w:type="dxa"/>
                    <w:bottom w:w="0" w:type="dxa"/>
                    <w:right w:w="0" w:type="dxa"/>
                  </w:tcMar>
                  <w:vAlign w:val="center"/>
                </w:tcPr>
                <w:p w14:paraId="70F8AF8E">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432" w:type="pct"/>
                  <w:vMerge w:val="continue"/>
                  <w:tcBorders>
                    <w:tl2br w:val="nil"/>
                    <w:tr2bl w:val="nil"/>
                  </w:tcBorders>
                  <w:noWrap w:val="0"/>
                  <w:tcMar>
                    <w:top w:w="0" w:type="dxa"/>
                    <w:left w:w="0" w:type="dxa"/>
                    <w:bottom w:w="0" w:type="dxa"/>
                    <w:right w:w="0" w:type="dxa"/>
                  </w:tcMar>
                  <w:vAlign w:val="center"/>
                </w:tcPr>
                <w:p w14:paraId="3806232A">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286" w:type="pct"/>
                  <w:tcBorders>
                    <w:tl2br w:val="nil"/>
                    <w:tr2bl w:val="nil"/>
                  </w:tcBorders>
                  <w:shd w:val="clear" w:color="auto" w:fill="auto"/>
                  <w:noWrap w:val="0"/>
                  <w:tcMar>
                    <w:top w:w="0" w:type="dxa"/>
                    <w:left w:w="0" w:type="dxa"/>
                    <w:bottom w:w="0" w:type="dxa"/>
                    <w:right w:w="0" w:type="dxa"/>
                  </w:tcMar>
                  <w:vAlign w:val="center"/>
                </w:tcPr>
                <w:p w14:paraId="5753120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90%</w:t>
                  </w:r>
                </w:p>
              </w:tc>
              <w:tc>
                <w:tcPr>
                  <w:tcW w:w="261" w:type="pct"/>
                  <w:tcBorders>
                    <w:tl2br w:val="nil"/>
                    <w:tr2bl w:val="nil"/>
                  </w:tcBorders>
                  <w:shd w:val="clear" w:color="auto" w:fill="auto"/>
                  <w:noWrap w:val="0"/>
                  <w:tcMar>
                    <w:top w:w="0" w:type="dxa"/>
                    <w:left w:w="0" w:type="dxa"/>
                    <w:bottom w:w="0" w:type="dxa"/>
                    <w:right w:w="0" w:type="dxa"/>
                  </w:tcMar>
                  <w:vAlign w:val="center"/>
                </w:tcPr>
                <w:p w14:paraId="04A0074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w:t>
                  </w:r>
                </w:p>
              </w:tc>
              <w:tc>
                <w:tcPr>
                  <w:tcW w:w="340" w:type="pct"/>
                  <w:tcBorders>
                    <w:tl2br w:val="nil"/>
                    <w:tr2bl w:val="nil"/>
                  </w:tcBorders>
                  <w:noWrap w:val="0"/>
                  <w:tcMar>
                    <w:top w:w="0" w:type="dxa"/>
                    <w:left w:w="0" w:type="dxa"/>
                    <w:bottom w:w="0" w:type="dxa"/>
                    <w:right w:w="0" w:type="dxa"/>
                  </w:tcMar>
                  <w:vAlign w:val="center"/>
                </w:tcPr>
                <w:p w14:paraId="5FEFE41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0.298 </w:t>
                  </w:r>
                </w:p>
              </w:tc>
              <w:tc>
                <w:tcPr>
                  <w:tcW w:w="432" w:type="pct"/>
                  <w:tcBorders>
                    <w:tl2br w:val="nil"/>
                    <w:tr2bl w:val="nil"/>
                  </w:tcBorders>
                  <w:noWrap w:val="0"/>
                  <w:tcMar>
                    <w:top w:w="0" w:type="dxa"/>
                    <w:left w:w="0" w:type="dxa"/>
                    <w:bottom w:w="0" w:type="dxa"/>
                    <w:right w:w="0" w:type="dxa"/>
                  </w:tcMar>
                  <w:vAlign w:val="center"/>
                </w:tcPr>
                <w:p w14:paraId="09CABF2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0.154 </w:t>
                  </w:r>
                </w:p>
              </w:tc>
              <w:tc>
                <w:tcPr>
                  <w:tcW w:w="477" w:type="pct"/>
                  <w:tcBorders>
                    <w:tl2br w:val="nil"/>
                    <w:tr2bl w:val="nil"/>
                  </w:tcBorders>
                  <w:noWrap w:val="0"/>
                  <w:tcMar>
                    <w:top w:w="0" w:type="dxa"/>
                    <w:left w:w="0" w:type="dxa"/>
                    <w:bottom w:w="0" w:type="dxa"/>
                    <w:right w:w="0" w:type="dxa"/>
                  </w:tcMar>
                  <w:vAlign w:val="center"/>
                </w:tcPr>
                <w:p w14:paraId="6931682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0.9 </w:t>
                  </w:r>
                </w:p>
              </w:tc>
              <w:tc>
                <w:tcPr>
                  <w:tcW w:w="342" w:type="pct"/>
                  <w:vMerge w:val="continue"/>
                  <w:tcBorders>
                    <w:tl2br w:val="nil"/>
                    <w:tr2bl w:val="nil"/>
                  </w:tcBorders>
                  <w:noWrap w:val="0"/>
                  <w:tcMar>
                    <w:top w:w="0" w:type="dxa"/>
                    <w:left w:w="0" w:type="dxa"/>
                    <w:bottom w:w="0" w:type="dxa"/>
                    <w:right w:w="0" w:type="dxa"/>
                  </w:tcMar>
                  <w:vAlign w:val="center"/>
                </w:tcPr>
                <w:p w14:paraId="5D0F8DD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69BF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vMerge w:val="continue"/>
                  <w:tcBorders>
                    <w:tl2br w:val="nil"/>
                    <w:tr2bl w:val="nil"/>
                  </w:tcBorders>
                  <w:noWrap w:val="0"/>
                  <w:tcMar>
                    <w:top w:w="0" w:type="dxa"/>
                    <w:left w:w="0" w:type="dxa"/>
                    <w:bottom w:w="0" w:type="dxa"/>
                    <w:right w:w="0" w:type="dxa"/>
                  </w:tcMar>
                  <w:vAlign w:val="center"/>
                </w:tcPr>
                <w:p w14:paraId="5852B505">
                  <w:pPr>
                    <w:pStyle w:val="109"/>
                    <w:bidi w:val="0"/>
                    <w:rPr>
                      <w:rFonts w:hint="default" w:ascii="Times New Roman" w:hAnsi="Times New Roman" w:cs="Times New Roman"/>
                      <w:bCs/>
                      <w:color w:val="000000" w:themeColor="text1"/>
                      <w:sz w:val="21"/>
                      <w:szCs w:val="21"/>
                      <w:highlight w:val="none"/>
                      <w14:textFill>
                        <w14:solidFill>
                          <w14:schemeClr w14:val="tx1"/>
                        </w14:solidFill>
                      </w14:textFill>
                    </w:rPr>
                  </w:pPr>
                </w:p>
              </w:tc>
              <w:tc>
                <w:tcPr>
                  <w:tcW w:w="394" w:type="pct"/>
                  <w:tcBorders>
                    <w:tl2br w:val="nil"/>
                    <w:tr2bl w:val="nil"/>
                  </w:tcBorders>
                  <w:noWrap w:val="0"/>
                  <w:tcMar>
                    <w:top w:w="0" w:type="dxa"/>
                    <w:left w:w="0" w:type="dxa"/>
                    <w:bottom w:w="0" w:type="dxa"/>
                    <w:right w:w="0" w:type="dxa"/>
                  </w:tcMar>
                  <w:vAlign w:val="center"/>
                </w:tcPr>
                <w:p w14:paraId="09D87456">
                  <w:pPr>
                    <w:keepNext w:val="0"/>
                    <w:keepLines w:val="0"/>
                    <w:widowControl/>
                    <w:suppressLineNumbers w:val="0"/>
                    <w:jc w:val="center"/>
                    <w:textAlignment w:val="cente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臭气浓度</w:t>
                  </w:r>
                </w:p>
              </w:tc>
              <w:tc>
                <w:tcPr>
                  <w:tcW w:w="340" w:type="pct"/>
                  <w:tcBorders>
                    <w:tl2br w:val="nil"/>
                    <w:tr2bl w:val="nil"/>
                  </w:tcBorders>
                  <w:noWrap w:val="0"/>
                  <w:tcMar>
                    <w:top w:w="0" w:type="dxa"/>
                    <w:left w:w="0" w:type="dxa"/>
                    <w:bottom w:w="0" w:type="dxa"/>
                    <w:right w:w="0" w:type="dxa"/>
                  </w:tcMar>
                  <w:vAlign w:val="center"/>
                </w:tcPr>
                <w:p w14:paraId="5002495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18" w:type="pct"/>
                  <w:tcBorders>
                    <w:tl2br w:val="nil"/>
                    <w:tr2bl w:val="nil"/>
                  </w:tcBorders>
                  <w:noWrap w:val="0"/>
                  <w:tcMar>
                    <w:top w:w="0" w:type="dxa"/>
                    <w:left w:w="0" w:type="dxa"/>
                    <w:bottom w:w="0" w:type="dxa"/>
                    <w:right w:w="0" w:type="dxa"/>
                  </w:tcMar>
                  <w:vAlign w:val="center"/>
                </w:tcPr>
                <w:p w14:paraId="7AA52C1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29" w:type="pct"/>
                  <w:tcBorders>
                    <w:tl2br w:val="nil"/>
                    <w:tr2bl w:val="nil"/>
                  </w:tcBorders>
                  <w:noWrap w:val="0"/>
                  <w:tcMar>
                    <w:top w:w="0" w:type="dxa"/>
                    <w:left w:w="0" w:type="dxa"/>
                    <w:bottom w:w="0" w:type="dxa"/>
                    <w:right w:w="0" w:type="dxa"/>
                  </w:tcMar>
                  <w:vAlign w:val="center"/>
                </w:tcPr>
                <w:p w14:paraId="701D2C6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52" w:type="pct"/>
                  <w:vMerge w:val="continue"/>
                  <w:tcBorders>
                    <w:tl2br w:val="nil"/>
                    <w:tr2bl w:val="nil"/>
                  </w:tcBorders>
                  <w:noWrap w:val="0"/>
                  <w:tcMar>
                    <w:top w:w="0" w:type="dxa"/>
                    <w:left w:w="0" w:type="dxa"/>
                    <w:bottom w:w="0" w:type="dxa"/>
                    <w:right w:w="0" w:type="dxa"/>
                  </w:tcMar>
                  <w:vAlign w:val="center"/>
                </w:tcPr>
                <w:p w14:paraId="546FCF4F">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432" w:type="pct"/>
                  <w:vMerge w:val="continue"/>
                  <w:tcBorders>
                    <w:tl2br w:val="nil"/>
                    <w:tr2bl w:val="nil"/>
                  </w:tcBorders>
                  <w:noWrap w:val="0"/>
                  <w:tcMar>
                    <w:top w:w="0" w:type="dxa"/>
                    <w:left w:w="0" w:type="dxa"/>
                    <w:bottom w:w="0" w:type="dxa"/>
                    <w:right w:w="0" w:type="dxa"/>
                  </w:tcMar>
                  <w:vAlign w:val="center"/>
                </w:tcPr>
                <w:p w14:paraId="1AC16480">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286" w:type="pct"/>
                  <w:tcBorders>
                    <w:tl2br w:val="nil"/>
                    <w:tr2bl w:val="nil"/>
                  </w:tcBorders>
                  <w:shd w:val="clear" w:color="auto" w:fill="auto"/>
                  <w:noWrap w:val="0"/>
                  <w:tcMar>
                    <w:top w:w="0" w:type="dxa"/>
                    <w:left w:w="0" w:type="dxa"/>
                    <w:bottom w:w="0" w:type="dxa"/>
                    <w:right w:w="0" w:type="dxa"/>
                  </w:tcMar>
                  <w:vAlign w:val="center"/>
                </w:tcPr>
                <w:p w14:paraId="4CA3E16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261" w:type="pct"/>
                  <w:tcBorders>
                    <w:tl2br w:val="nil"/>
                    <w:tr2bl w:val="nil"/>
                  </w:tcBorders>
                  <w:shd w:val="clear" w:color="auto" w:fill="auto"/>
                  <w:noWrap w:val="0"/>
                  <w:tcMar>
                    <w:top w:w="0" w:type="dxa"/>
                    <w:left w:w="0" w:type="dxa"/>
                    <w:bottom w:w="0" w:type="dxa"/>
                    <w:right w:w="0" w:type="dxa"/>
                  </w:tcMar>
                  <w:vAlign w:val="center"/>
                </w:tcPr>
                <w:p w14:paraId="6910968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0" w:type="pct"/>
                  <w:tcBorders>
                    <w:tl2br w:val="nil"/>
                    <w:tr2bl w:val="nil"/>
                  </w:tcBorders>
                  <w:noWrap w:val="0"/>
                  <w:tcMar>
                    <w:top w:w="0" w:type="dxa"/>
                    <w:left w:w="0" w:type="dxa"/>
                    <w:bottom w:w="0" w:type="dxa"/>
                    <w:right w:w="0" w:type="dxa"/>
                  </w:tcMar>
                  <w:vAlign w:val="center"/>
                </w:tcPr>
                <w:p w14:paraId="3C020CF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32" w:type="pct"/>
                  <w:tcBorders>
                    <w:tl2br w:val="nil"/>
                    <w:tr2bl w:val="nil"/>
                  </w:tcBorders>
                  <w:noWrap w:val="0"/>
                  <w:tcMar>
                    <w:top w:w="0" w:type="dxa"/>
                    <w:left w:w="0" w:type="dxa"/>
                    <w:bottom w:w="0" w:type="dxa"/>
                    <w:right w:w="0" w:type="dxa"/>
                  </w:tcMar>
                  <w:vAlign w:val="center"/>
                </w:tcPr>
                <w:p w14:paraId="68B8A13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77" w:type="pct"/>
                  <w:tcBorders>
                    <w:tl2br w:val="nil"/>
                    <w:tr2bl w:val="nil"/>
                  </w:tcBorders>
                  <w:noWrap w:val="0"/>
                  <w:tcMar>
                    <w:top w:w="0" w:type="dxa"/>
                    <w:left w:w="0" w:type="dxa"/>
                    <w:bottom w:w="0" w:type="dxa"/>
                    <w:right w:w="0" w:type="dxa"/>
                  </w:tcMar>
                  <w:vAlign w:val="center"/>
                </w:tcPr>
                <w:p w14:paraId="3A717A6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2" w:type="pct"/>
                  <w:vMerge w:val="continue"/>
                  <w:tcBorders>
                    <w:tl2br w:val="nil"/>
                    <w:tr2bl w:val="nil"/>
                  </w:tcBorders>
                  <w:noWrap w:val="0"/>
                  <w:tcMar>
                    <w:top w:w="0" w:type="dxa"/>
                    <w:left w:w="0" w:type="dxa"/>
                    <w:bottom w:w="0" w:type="dxa"/>
                    <w:right w:w="0" w:type="dxa"/>
                  </w:tcMar>
                  <w:vAlign w:val="center"/>
                </w:tcPr>
                <w:p w14:paraId="0E80E4F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40599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vMerge w:val="continue"/>
                  <w:tcBorders>
                    <w:tl2br w:val="nil"/>
                    <w:tr2bl w:val="nil"/>
                  </w:tcBorders>
                  <w:noWrap w:val="0"/>
                  <w:tcMar>
                    <w:top w:w="0" w:type="dxa"/>
                    <w:left w:w="0" w:type="dxa"/>
                    <w:bottom w:w="0" w:type="dxa"/>
                    <w:right w:w="0" w:type="dxa"/>
                  </w:tcMar>
                  <w:vAlign w:val="center"/>
                </w:tcPr>
                <w:p w14:paraId="40184B22">
                  <w:pPr>
                    <w:pStyle w:val="109"/>
                    <w:bidi w:val="0"/>
                    <w:rPr>
                      <w:rFonts w:hint="default" w:ascii="Times New Roman" w:hAnsi="Times New Roman" w:cs="Times New Roman"/>
                      <w:bCs/>
                      <w:color w:val="000000" w:themeColor="text1"/>
                      <w:sz w:val="21"/>
                      <w:szCs w:val="21"/>
                      <w:highlight w:val="none"/>
                      <w14:textFill>
                        <w14:solidFill>
                          <w14:schemeClr w14:val="tx1"/>
                        </w14:solidFill>
                      </w14:textFill>
                    </w:rPr>
                  </w:pPr>
                </w:p>
              </w:tc>
              <w:tc>
                <w:tcPr>
                  <w:tcW w:w="394" w:type="pct"/>
                  <w:tcBorders>
                    <w:tl2br w:val="nil"/>
                    <w:tr2bl w:val="nil"/>
                  </w:tcBorders>
                  <w:shd w:val="clear" w:color="auto" w:fill="auto"/>
                  <w:noWrap w:val="0"/>
                  <w:tcMar>
                    <w:top w:w="0" w:type="dxa"/>
                    <w:left w:w="0" w:type="dxa"/>
                    <w:bottom w:w="0" w:type="dxa"/>
                    <w:right w:w="0" w:type="dxa"/>
                  </w:tcMar>
                  <w:vAlign w:val="center"/>
                </w:tcPr>
                <w:p w14:paraId="6B292EDB">
                  <w:pPr>
                    <w:keepNext w:val="0"/>
                    <w:keepLines w:val="0"/>
                    <w:widowControl/>
                    <w:suppressLineNumbers w:val="0"/>
                    <w:jc w:val="center"/>
                    <w:textAlignment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颗粒物</w:t>
                  </w:r>
                </w:p>
              </w:tc>
              <w:tc>
                <w:tcPr>
                  <w:tcW w:w="340" w:type="pct"/>
                  <w:tcBorders>
                    <w:tl2br w:val="nil"/>
                    <w:tr2bl w:val="nil"/>
                  </w:tcBorders>
                  <w:noWrap w:val="0"/>
                  <w:tcMar>
                    <w:top w:w="0" w:type="dxa"/>
                    <w:left w:w="0" w:type="dxa"/>
                    <w:bottom w:w="0" w:type="dxa"/>
                    <w:right w:w="0" w:type="dxa"/>
                  </w:tcMar>
                  <w:vAlign w:val="center"/>
                </w:tcPr>
                <w:p w14:paraId="70AA6DF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0.024 </w:t>
                  </w:r>
                </w:p>
              </w:tc>
              <w:tc>
                <w:tcPr>
                  <w:tcW w:w="418" w:type="pct"/>
                  <w:tcBorders>
                    <w:tl2br w:val="nil"/>
                    <w:tr2bl w:val="nil"/>
                  </w:tcBorders>
                  <w:noWrap w:val="0"/>
                  <w:tcMar>
                    <w:top w:w="0" w:type="dxa"/>
                    <w:left w:w="0" w:type="dxa"/>
                    <w:bottom w:w="0" w:type="dxa"/>
                    <w:right w:w="0" w:type="dxa"/>
                  </w:tcMar>
                  <w:vAlign w:val="center"/>
                </w:tcPr>
                <w:p w14:paraId="0A83A85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0.013 </w:t>
                  </w:r>
                </w:p>
              </w:tc>
              <w:tc>
                <w:tcPr>
                  <w:tcW w:w="429" w:type="pct"/>
                  <w:tcBorders>
                    <w:tl2br w:val="nil"/>
                    <w:tr2bl w:val="nil"/>
                  </w:tcBorders>
                  <w:noWrap w:val="0"/>
                  <w:tcMar>
                    <w:top w:w="0" w:type="dxa"/>
                    <w:left w:w="0" w:type="dxa"/>
                    <w:bottom w:w="0" w:type="dxa"/>
                    <w:right w:w="0" w:type="dxa"/>
                  </w:tcMar>
                  <w:vAlign w:val="center"/>
                </w:tcPr>
                <w:p w14:paraId="5FE7BE6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52" w:type="pct"/>
                  <w:vMerge w:val="restart"/>
                  <w:tcBorders>
                    <w:tl2br w:val="nil"/>
                    <w:tr2bl w:val="nil"/>
                  </w:tcBorders>
                  <w:noWrap w:val="0"/>
                  <w:tcMar>
                    <w:top w:w="0" w:type="dxa"/>
                    <w:left w:w="0" w:type="dxa"/>
                    <w:bottom w:w="0" w:type="dxa"/>
                    <w:right w:w="0" w:type="dxa"/>
                  </w:tcMar>
                  <w:vAlign w:val="center"/>
                </w:tcPr>
                <w:p w14:paraId="410D460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无组织</w:t>
                  </w:r>
                </w:p>
              </w:tc>
              <w:tc>
                <w:tcPr>
                  <w:tcW w:w="432" w:type="pct"/>
                  <w:tcBorders>
                    <w:tl2br w:val="nil"/>
                    <w:tr2bl w:val="nil"/>
                  </w:tcBorders>
                  <w:noWrap w:val="0"/>
                  <w:tcMar>
                    <w:top w:w="0" w:type="dxa"/>
                    <w:left w:w="0" w:type="dxa"/>
                    <w:bottom w:w="0" w:type="dxa"/>
                    <w:right w:w="0" w:type="dxa"/>
                  </w:tcMar>
                  <w:vAlign w:val="center"/>
                </w:tcPr>
                <w:p w14:paraId="50C9A61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286" w:type="pct"/>
                  <w:tcBorders>
                    <w:tl2br w:val="nil"/>
                    <w:tr2bl w:val="nil"/>
                  </w:tcBorders>
                  <w:noWrap w:val="0"/>
                  <w:tcMar>
                    <w:top w:w="0" w:type="dxa"/>
                    <w:left w:w="0" w:type="dxa"/>
                    <w:bottom w:w="0" w:type="dxa"/>
                    <w:right w:w="0" w:type="dxa"/>
                  </w:tcMar>
                  <w:vAlign w:val="center"/>
                </w:tcPr>
                <w:p w14:paraId="38D31D2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261" w:type="pct"/>
                  <w:tcBorders>
                    <w:tl2br w:val="nil"/>
                    <w:tr2bl w:val="nil"/>
                  </w:tcBorders>
                  <w:noWrap w:val="0"/>
                  <w:tcMar>
                    <w:top w:w="0" w:type="dxa"/>
                    <w:left w:w="0" w:type="dxa"/>
                    <w:bottom w:w="0" w:type="dxa"/>
                    <w:right w:w="0" w:type="dxa"/>
                  </w:tcMar>
                  <w:vAlign w:val="center"/>
                </w:tcPr>
                <w:p w14:paraId="2FD6995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0" w:type="pct"/>
                  <w:tcBorders>
                    <w:tl2br w:val="nil"/>
                    <w:tr2bl w:val="nil"/>
                  </w:tcBorders>
                  <w:noWrap w:val="0"/>
                  <w:tcMar>
                    <w:top w:w="0" w:type="dxa"/>
                    <w:left w:w="0" w:type="dxa"/>
                    <w:bottom w:w="0" w:type="dxa"/>
                    <w:right w:w="0" w:type="dxa"/>
                  </w:tcMar>
                  <w:vAlign w:val="center"/>
                </w:tcPr>
                <w:p w14:paraId="21B83F6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0.024 </w:t>
                  </w:r>
                </w:p>
              </w:tc>
              <w:tc>
                <w:tcPr>
                  <w:tcW w:w="432" w:type="pct"/>
                  <w:tcBorders>
                    <w:tl2br w:val="nil"/>
                    <w:tr2bl w:val="nil"/>
                  </w:tcBorders>
                  <w:noWrap w:val="0"/>
                  <w:tcMar>
                    <w:top w:w="0" w:type="dxa"/>
                    <w:left w:w="0" w:type="dxa"/>
                    <w:bottom w:w="0" w:type="dxa"/>
                    <w:right w:w="0" w:type="dxa"/>
                  </w:tcMar>
                  <w:vAlign w:val="center"/>
                </w:tcPr>
                <w:p w14:paraId="38769FD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0.013 </w:t>
                  </w:r>
                </w:p>
              </w:tc>
              <w:tc>
                <w:tcPr>
                  <w:tcW w:w="477" w:type="pct"/>
                  <w:tcBorders>
                    <w:tl2br w:val="nil"/>
                    <w:tr2bl w:val="nil"/>
                  </w:tcBorders>
                  <w:noWrap w:val="0"/>
                  <w:tcMar>
                    <w:top w:w="0" w:type="dxa"/>
                    <w:left w:w="0" w:type="dxa"/>
                    <w:bottom w:w="0" w:type="dxa"/>
                    <w:right w:w="0" w:type="dxa"/>
                  </w:tcMar>
                  <w:vAlign w:val="center"/>
                </w:tcPr>
                <w:p w14:paraId="210E365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2" w:type="pct"/>
                  <w:vMerge w:val="continue"/>
                  <w:tcBorders>
                    <w:tl2br w:val="nil"/>
                    <w:tr2bl w:val="nil"/>
                  </w:tcBorders>
                  <w:noWrap w:val="0"/>
                  <w:tcMar>
                    <w:top w:w="0" w:type="dxa"/>
                    <w:left w:w="0" w:type="dxa"/>
                    <w:bottom w:w="0" w:type="dxa"/>
                    <w:right w:w="0" w:type="dxa"/>
                  </w:tcMar>
                  <w:vAlign w:val="center"/>
                </w:tcPr>
                <w:p w14:paraId="44198E6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224EE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vMerge w:val="continue"/>
                  <w:tcBorders>
                    <w:tl2br w:val="nil"/>
                    <w:tr2bl w:val="nil"/>
                  </w:tcBorders>
                  <w:noWrap w:val="0"/>
                  <w:tcMar>
                    <w:top w:w="0" w:type="dxa"/>
                    <w:left w:w="0" w:type="dxa"/>
                    <w:bottom w:w="0" w:type="dxa"/>
                    <w:right w:w="0" w:type="dxa"/>
                  </w:tcMar>
                  <w:vAlign w:val="center"/>
                </w:tcPr>
                <w:p w14:paraId="4537CA8F">
                  <w:pPr>
                    <w:pStyle w:val="109"/>
                    <w:bidi w:val="0"/>
                    <w:rPr>
                      <w:rFonts w:hint="default" w:ascii="Times New Roman" w:hAnsi="Times New Roman" w:cs="Times New Roman"/>
                      <w:bCs/>
                      <w:color w:val="000000" w:themeColor="text1"/>
                      <w:sz w:val="21"/>
                      <w:szCs w:val="21"/>
                      <w:highlight w:val="none"/>
                      <w14:textFill>
                        <w14:solidFill>
                          <w14:schemeClr w14:val="tx1"/>
                        </w14:solidFill>
                      </w14:textFill>
                    </w:rPr>
                  </w:pPr>
                </w:p>
              </w:tc>
              <w:tc>
                <w:tcPr>
                  <w:tcW w:w="394" w:type="pct"/>
                  <w:tcBorders>
                    <w:tl2br w:val="nil"/>
                    <w:tr2bl w:val="nil"/>
                  </w:tcBorders>
                  <w:shd w:val="clear" w:color="auto" w:fill="auto"/>
                  <w:noWrap w:val="0"/>
                  <w:tcMar>
                    <w:top w:w="0" w:type="dxa"/>
                    <w:left w:w="0" w:type="dxa"/>
                    <w:bottom w:w="0" w:type="dxa"/>
                    <w:right w:w="0" w:type="dxa"/>
                  </w:tcMar>
                  <w:vAlign w:val="center"/>
                </w:tcPr>
                <w:p w14:paraId="30832A3A">
                  <w:pPr>
                    <w:keepNext w:val="0"/>
                    <w:keepLines w:val="0"/>
                    <w:widowControl/>
                    <w:suppressLineNumbers w:val="0"/>
                    <w:jc w:val="center"/>
                    <w:textAlignment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非甲烷总烃</w:t>
                  </w:r>
                </w:p>
              </w:tc>
              <w:tc>
                <w:tcPr>
                  <w:tcW w:w="340" w:type="pct"/>
                  <w:tcBorders>
                    <w:tl2br w:val="nil"/>
                    <w:tr2bl w:val="nil"/>
                  </w:tcBorders>
                  <w:noWrap w:val="0"/>
                  <w:tcMar>
                    <w:top w:w="0" w:type="dxa"/>
                    <w:left w:w="0" w:type="dxa"/>
                    <w:bottom w:w="0" w:type="dxa"/>
                    <w:right w:w="0" w:type="dxa"/>
                  </w:tcMar>
                  <w:vAlign w:val="center"/>
                </w:tcPr>
                <w:p w14:paraId="0F3A243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0.335 </w:t>
                  </w:r>
                </w:p>
              </w:tc>
              <w:tc>
                <w:tcPr>
                  <w:tcW w:w="418" w:type="pct"/>
                  <w:tcBorders>
                    <w:tl2br w:val="nil"/>
                    <w:tr2bl w:val="nil"/>
                  </w:tcBorders>
                  <w:noWrap w:val="0"/>
                  <w:tcMar>
                    <w:top w:w="0" w:type="dxa"/>
                    <w:left w:w="0" w:type="dxa"/>
                    <w:bottom w:w="0" w:type="dxa"/>
                    <w:right w:w="0" w:type="dxa"/>
                  </w:tcMar>
                  <w:vAlign w:val="center"/>
                </w:tcPr>
                <w:p w14:paraId="122E123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0.174 </w:t>
                  </w:r>
                </w:p>
              </w:tc>
              <w:tc>
                <w:tcPr>
                  <w:tcW w:w="429" w:type="pct"/>
                  <w:tcBorders>
                    <w:tl2br w:val="nil"/>
                    <w:tr2bl w:val="nil"/>
                  </w:tcBorders>
                  <w:noWrap w:val="0"/>
                  <w:tcMar>
                    <w:top w:w="0" w:type="dxa"/>
                    <w:left w:w="0" w:type="dxa"/>
                    <w:bottom w:w="0" w:type="dxa"/>
                    <w:right w:w="0" w:type="dxa"/>
                  </w:tcMar>
                  <w:vAlign w:val="center"/>
                </w:tcPr>
                <w:p w14:paraId="225DC48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52" w:type="pct"/>
                  <w:vMerge w:val="continue"/>
                  <w:tcBorders>
                    <w:tl2br w:val="nil"/>
                    <w:tr2bl w:val="nil"/>
                  </w:tcBorders>
                  <w:noWrap w:val="0"/>
                  <w:tcMar>
                    <w:top w:w="0" w:type="dxa"/>
                    <w:left w:w="0" w:type="dxa"/>
                    <w:bottom w:w="0" w:type="dxa"/>
                    <w:right w:w="0" w:type="dxa"/>
                  </w:tcMar>
                  <w:vAlign w:val="center"/>
                </w:tcPr>
                <w:p w14:paraId="5D528056">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432" w:type="pct"/>
                  <w:tcBorders>
                    <w:tl2br w:val="nil"/>
                    <w:tr2bl w:val="nil"/>
                  </w:tcBorders>
                  <w:noWrap w:val="0"/>
                  <w:tcMar>
                    <w:top w:w="0" w:type="dxa"/>
                    <w:left w:w="0" w:type="dxa"/>
                    <w:bottom w:w="0" w:type="dxa"/>
                    <w:right w:w="0" w:type="dxa"/>
                  </w:tcMar>
                  <w:vAlign w:val="center"/>
                </w:tcPr>
                <w:p w14:paraId="32A0E46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286" w:type="pct"/>
                  <w:tcBorders>
                    <w:tl2br w:val="nil"/>
                    <w:tr2bl w:val="nil"/>
                  </w:tcBorders>
                  <w:noWrap w:val="0"/>
                  <w:tcMar>
                    <w:top w:w="0" w:type="dxa"/>
                    <w:left w:w="0" w:type="dxa"/>
                    <w:bottom w:w="0" w:type="dxa"/>
                    <w:right w:w="0" w:type="dxa"/>
                  </w:tcMar>
                  <w:vAlign w:val="center"/>
                </w:tcPr>
                <w:p w14:paraId="3BC3333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261" w:type="pct"/>
                  <w:tcBorders>
                    <w:tl2br w:val="nil"/>
                    <w:tr2bl w:val="nil"/>
                  </w:tcBorders>
                  <w:noWrap w:val="0"/>
                  <w:tcMar>
                    <w:top w:w="0" w:type="dxa"/>
                    <w:left w:w="0" w:type="dxa"/>
                    <w:bottom w:w="0" w:type="dxa"/>
                    <w:right w:w="0" w:type="dxa"/>
                  </w:tcMar>
                  <w:vAlign w:val="center"/>
                </w:tcPr>
                <w:p w14:paraId="65E734C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0" w:type="pct"/>
                  <w:tcBorders>
                    <w:tl2br w:val="nil"/>
                    <w:tr2bl w:val="nil"/>
                  </w:tcBorders>
                  <w:noWrap w:val="0"/>
                  <w:tcMar>
                    <w:top w:w="0" w:type="dxa"/>
                    <w:left w:w="0" w:type="dxa"/>
                    <w:bottom w:w="0" w:type="dxa"/>
                    <w:right w:w="0" w:type="dxa"/>
                  </w:tcMar>
                  <w:vAlign w:val="center"/>
                </w:tcPr>
                <w:p w14:paraId="29B0CB8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0.335 </w:t>
                  </w:r>
                </w:p>
              </w:tc>
              <w:tc>
                <w:tcPr>
                  <w:tcW w:w="432" w:type="pct"/>
                  <w:tcBorders>
                    <w:tl2br w:val="nil"/>
                    <w:tr2bl w:val="nil"/>
                  </w:tcBorders>
                  <w:noWrap w:val="0"/>
                  <w:tcMar>
                    <w:top w:w="0" w:type="dxa"/>
                    <w:left w:w="0" w:type="dxa"/>
                    <w:bottom w:w="0" w:type="dxa"/>
                    <w:right w:w="0" w:type="dxa"/>
                  </w:tcMar>
                  <w:vAlign w:val="center"/>
                </w:tcPr>
                <w:p w14:paraId="6564FD9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0.174 </w:t>
                  </w:r>
                </w:p>
              </w:tc>
              <w:tc>
                <w:tcPr>
                  <w:tcW w:w="477" w:type="pct"/>
                  <w:tcBorders>
                    <w:tl2br w:val="nil"/>
                    <w:tr2bl w:val="nil"/>
                  </w:tcBorders>
                  <w:noWrap w:val="0"/>
                  <w:tcMar>
                    <w:top w:w="0" w:type="dxa"/>
                    <w:left w:w="0" w:type="dxa"/>
                    <w:bottom w:w="0" w:type="dxa"/>
                    <w:right w:w="0" w:type="dxa"/>
                  </w:tcMar>
                  <w:vAlign w:val="center"/>
                </w:tcPr>
                <w:p w14:paraId="1DD2341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2" w:type="pct"/>
                  <w:vMerge w:val="continue"/>
                  <w:tcBorders>
                    <w:tl2br w:val="nil"/>
                    <w:tr2bl w:val="nil"/>
                  </w:tcBorders>
                  <w:noWrap w:val="0"/>
                  <w:tcMar>
                    <w:top w:w="0" w:type="dxa"/>
                    <w:left w:w="0" w:type="dxa"/>
                    <w:bottom w:w="0" w:type="dxa"/>
                    <w:right w:w="0" w:type="dxa"/>
                  </w:tcMar>
                  <w:vAlign w:val="center"/>
                </w:tcPr>
                <w:p w14:paraId="53023E3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1D28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vMerge w:val="continue"/>
                  <w:tcBorders>
                    <w:tl2br w:val="nil"/>
                    <w:tr2bl w:val="nil"/>
                  </w:tcBorders>
                  <w:noWrap w:val="0"/>
                  <w:tcMar>
                    <w:top w:w="0" w:type="dxa"/>
                    <w:left w:w="0" w:type="dxa"/>
                    <w:bottom w:w="0" w:type="dxa"/>
                    <w:right w:w="0" w:type="dxa"/>
                  </w:tcMar>
                  <w:vAlign w:val="center"/>
                </w:tcPr>
                <w:p w14:paraId="2B1C40DB">
                  <w:pPr>
                    <w:pStyle w:val="109"/>
                    <w:bidi w:val="0"/>
                    <w:rPr>
                      <w:rFonts w:hint="default" w:ascii="Times New Roman" w:hAnsi="Times New Roman" w:cs="Times New Roman"/>
                      <w:bCs/>
                      <w:color w:val="000000" w:themeColor="text1"/>
                      <w:sz w:val="21"/>
                      <w:szCs w:val="21"/>
                      <w:highlight w:val="none"/>
                      <w14:textFill>
                        <w14:solidFill>
                          <w14:schemeClr w14:val="tx1"/>
                        </w14:solidFill>
                      </w14:textFill>
                    </w:rPr>
                  </w:pPr>
                </w:p>
              </w:tc>
              <w:tc>
                <w:tcPr>
                  <w:tcW w:w="394" w:type="pct"/>
                  <w:tcBorders>
                    <w:tl2br w:val="nil"/>
                    <w:tr2bl w:val="nil"/>
                  </w:tcBorders>
                  <w:shd w:val="clear" w:color="auto" w:fill="auto"/>
                  <w:noWrap w:val="0"/>
                  <w:tcMar>
                    <w:top w:w="0" w:type="dxa"/>
                    <w:left w:w="0" w:type="dxa"/>
                    <w:bottom w:w="0" w:type="dxa"/>
                    <w:right w:w="0" w:type="dxa"/>
                  </w:tcMar>
                  <w:vAlign w:val="center"/>
                </w:tcPr>
                <w:p w14:paraId="64710AA1">
                  <w:pPr>
                    <w:keepNext w:val="0"/>
                    <w:keepLines w:val="0"/>
                    <w:widowControl/>
                    <w:suppressLineNumbers w:val="0"/>
                    <w:jc w:val="center"/>
                    <w:textAlignment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苯系物</w:t>
                  </w:r>
                </w:p>
              </w:tc>
              <w:tc>
                <w:tcPr>
                  <w:tcW w:w="340" w:type="pct"/>
                  <w:tcBorders>
                    <w:tl2br w:val="nil"/>
                    <w:tr2bl w:val="nil"/>
                  </w:tcBorders>
                  <w:noWrap w:val="0"/>
                  <w:tcMar>
                    <w:top w:w="0" w:type="dxa"/>
                    <w:left w:w="0" w:type="dxa"/>
                    <w:bottom w:w="0" w:type="dxa"/>
                    <w:right w:w="0" w:type="dxa"/>
                  </w:tcMar>
                  <w:vAlign w:val="center"/>
                </w:tcPr>
                <w:p w14:paraId="6755AB6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0.165 </w:t>
                  </w:r>
                </w:p>
              </w:tc>
              <w:tc>
                <w:tcPr>
                  <w:tcW w:w="418" w:type="pct"/>
                  <w:tcBorders>
                    <w:tl2br w:val="nil"/>
                    <w:tr2bl w:val="nil"/>
                  </w:tcBorders>
                  <w:noWrap w:val="0"/>
                  <w:tcMar>
                    <w:top w:w="0" w:type="dxa"/>
                    <w:left w:w="0" w:type="dxa"/>
                    <w:bottom w:w="0" w:type="dxa"/>
                    <w:right w:w="0" w:type="dxa"/>
                  </w:tcMar>
                  <w:vAlign w:val="center"/>
                </w:tcPr>
                <w:p w14:paraId="4C503EA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0.086 </w:t>
                  </w:r>
                </w:p>
              </w:tc>
              <w:tc>
                <w:tcPr>
                  <w:tcW w:w="429" w:type="pct"/>
                  <w:tcBorders>
                    <w:tl2br w:val="nil"/>
                    <w:tr2bl w:val="nil"/>
                  </w:tcBorders>
                  <w:noWrap w:val="0"/>
                  <w:tcMar>
                    <w:top w:w="0" w:type="dxa"/>
                    <w:left w:w="0" w:type="dxa"/>
                    <w:bottom w:w="0" w:type="dxa"/>
                    <w:right w:w="0" w:type="dxa"/>
                  </w:tcMar>
                  <w:vAlign w:val="center"/>
                </w:tcPr>
                <w:p w14:paraId="7B50358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52" w:type="pct"/>
                  <w:vMerge w:val="continue"/>
                  <w:tcBorders>
                    <w:tl2br w:val="nil"/>
                    <w:tr2bl w:val="nil"/>
                  </w:tcBorders>
                  <w:noWrap w:val="0"/>
                  <w:tcMar>
                    <w:top w:w="0" w:type="dxa"/>
                    <w:left w:w="0" w:type="dxa"/>
                    <w:bottom w:w="0" w:type="dxa"/>
                    <w:right w:w="0" w:type="dxa"/>
                  </w:tcMar>
                  <w:vAlign w:val="center"/>
                </w:tcPr>
                <w:p w14:paraId="6056F0D2">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432" w:type="pct"/>
                  <w:tcBorders>
                    <w:tl2br w:val="nil"/>
                    <w:tr2bl w:val="nil"/>
                  </w:tcBorders>
                  <w:noWrap w:val="0"/>
                  <w:tcMar>
                    <w:top w:w="0" w:type="dxa"/>
                    <w:left w:w="0" w:type="dxa"/>
                    <w:bottom w:w="0" w:type="dxa"/>
                    <w:right w:w="0" w:type="dxa"/>
                  </w:tcMar>
                  <w:vAlign w:val="center"/>
                </w:tcPr>
                <w:p w14:paraId="47BBA15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286" w:type="pct"/>
                  <w:tcBorders>
                    <w:tl2br w:val="nil"/>
                    <w:tr2bl w:val="nil"/>
                  </w:tcBorders>
                  <w:noWrap w:val="0"/>
                  <w:tcMar>
                    <w:top w:w="0" w:type="dxa"/>
                    <w:left w:w="0" w:type="dxa"/>
                    <w:bottom w:w="0" w:type="dxa"/>
                    <w:right w:w="0" w:type="dxa"/>
                  </w:tcMar>
                  <w:vAlign w:val="center"/>
                </w:tcPr>
                <w:p w14:paraId="468FAF8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261" w:type="pct"/>
                  <w:tcBorders>
                    <w:tl2br w:val="nil"/>
                    <w:tr2bl w:val="nil"/>
                  </w:tcBorders>
                  <w:noWrap w:val="0"/>
                  <w:tcMar>
                    <w:top w:w="0" w:type="dxa"/>
                    <w:left w:w="0" w:type="dxa"/>
                    <w:bottom w:w="0" w:type="dxa"/>
                    <w:right w:w="0" w:type="dxa"/>
                  </w:tcMar>
                  <w:vAlign w:val="center"/>
                </w:tcPr>
                <w:p w14:paraId="0429EB0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0" w:type="pct"/>
                  <w:tcBorders>
                    <w:tl2br w:val="nil"/>
                    <w:tr2bl w:val="nil"/>
                  </w:tcBorders>
                  <w:noWrap w:val="0"/>
                  <w:tcMar>
                    <w:top w:w="0" w:type="dxa"/>
                    <w:left w:w="0" w:type="dxa"/>
                    <w:bottom w:w="0" w:type="dxa"/>
                    <w:right w:w="0" w:type="dxa"/>
                  </w:tcMar>
                  <w:vAlign w:val="center"/>
                </w:tcPr>
                <w:p w14:paraId="2E69806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0.165 </w:t>
                  </w:r>
                </w:p>
              </w:tc>
              <w:tc>
                <w:tcPr>
                  <w:tcW w:w="432" w:type="pct"/>
                  <w:tcBorders>
                    <w:tl2br w:val="nil"/>
                    <w:tr2bl w:val="nil"/>
                  </w:tcBorders>
                  <w:noWrap w:val="0"/>
                  <w:tcMar>
                    <w:top w:w="0" w:type="dxa"/>
                    <w:left w:w="0" w:type="dxa"/>
                    <w:bottom w:w="0" w:type="dxa"/>
                    <w:right w:w="0" w:type="dxa"/>
                  </w:tcMar>
                  <w:vAlign w:val="center"/>
                </w:tcPr>
                <w:p w14:paraId="03A69A9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0.086 </w:t>
                  </w:r>
                </w:p>
              </w:tc>
              <w:tc>
                <w:tcPr>
                  <w:tcW w:w="477" w:type="pct"/>
                  <w:tcBorders>
                    <w:tl2br w:val="nil"/>
                    <w:tr2bl w:val="nil"/>
                  </w:tcBorders>
                  <w:noWrap w:val="0"/>
                  <w:tcMar>
                    <w:top w:w="0" w:type="dxa"/>
                    <w:left w:w="0" w:type="dxa"/>
                    <w:bottom w:w="0" w:type="dxa"/>
                    <w:right w:w="0" w:type="dxa"/>
                  </w:tcMar>
                  <w:vAlign w:val="center"/>
                </w:tcPr>
                <w:p w14:paraId="5267171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2" w:type="pct"/>
                  <w:vMerge w:val="continue"/>
                  <w:tcBorders>
                    <w:tl2br w:val="nil"/>
                    <w:tr2bl w:val="nil"/>
                  </w:tcBorders>
                  <w:noWrap w:val="0"/>
                  <w:tcMar>
                    <w:top w:w="0" w:type="dxa"/>
                    <w:left w:w="0" w:type="dxa"/>
                    <w:bottom w:w="0" w:type="dxa"/>
                    <w:right w:w="0" w:type="dxa"/>
                  </w:tcMar>
                  <w:vAlign w:val="center"/>
                </w:tcPr>
                <w:p w14:paraId="34E51D4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0399B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vMerge w:val="continue"/>
                  <w:tcBorders>
                    <w:tl2br w:val="nil"/>
                    <w:tr2bl w:val="nil"/>
                  </w:tcBorders>
                  <w:noWrap w:val="0"/>
                  <w:tcMar>
                    <w:top w:w="0" w:type="dxa"/>
                    <w:left w:w="0" w:type="dxa"/>
                    <w:bottom w:w="0" w:type="dxa"/>
                    <w:right w:w="0" w:type="dxa"/>
                  </w:tcMar>
                  <w:vAlign w:val="center"/>
                </w:tcPr>
                <w:p w14:paraId="4D81BC97">
                  <w:pPr>
                    <w:pStyle w:val="109"/>
                    <w:bidi w:val="0"/>
                    <w:rPr>
                      <w:rFonts w:hint="default" w:ascii="Times New Roman" w:hAnsi="Times New Roman" w:cs="Times New Roman"/>
                      <w:bCs/>
                      <w:color w:val="000000" w:themeColor="text1"/>
                      <w:sz w:val="21"/>
                      <w:szCs w:val="21"/>
                      <w:highlight w:val="none"/>
                      <w14:textFill>
                        <w14:solidFill>
                          <w14:schemeClr w14:val="tx1"/>
                        </w14:solidFill>
                      </w14:textFill>
                    </w:rPr>
                  </w:pPr>
                </w:p>
              </w:tc>
              <w:tc>
                <w:tcPr>
                  <w:tcW w:w="394" w:type="pct"/>
                  <w:tcBorders>
                    <w:tl2br w:val="nil"/>
                    <w:tr2bl w:val="nil"/>
                  </w:tcBorders>
                  <w:shd w:val="clear" w:color="auto" w:fill="auto"/>
                  <w:noWrap w:val="0"/>
                  <w:tcMar>
                    <w:top w:w="0" w:type="dxa"/>
                    <w:left w:w="0" w:type="dxa"/>
                    <w:bottom w:w="0" w:type="dxa"/>
                    <w:right w:w="0" w:type="dxa"/>
                  </w:tcMar>
                  <w:vAlign w:val="center"/>
                </w:tcPr>
                <w:p w14:paraId="7714C8CF">
                  <w:pPr>
                    <w:keepNext w:val="0"/>
                    <w:keepLines w:val="0"/>
                    <w:widowControl/>
                    <w:suppressLineNumbers w:val="0"/>
                    <w:jc w:val="center"/>
                    <w:textAlignment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臭气浓度</w:t>
                  </w:r>
                </w:p>
              </w:tc>
              <w:tc>
                <w:tcPr>
                  <w:tcW w:w="340" w:type="pct"/>
                  <w:tcBorders>
                    <w:tl2br w:val="nil"/>
                    <w:tr2bl w:val="nil"/>
                  </w:tcBorders>
                  <w:noWrap w:val="0"/>
                  <w:tcMar>
                    <w:top w:w="0" w:type="dxa"/>
                    <w:left w:w="0" w:type="dxa"/>
                    <w:bottom w:w="0" w:type="dxa"/>
                    <w:right w:w="0" w:type="dxa"/>
                  </w:tcMar>
                  <w:vAlign w:val="center"/>
                </w:tcPr>
                <w:p w14:paraId="47224E1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18" w:type="pct"/>
                  <w:tcBorders>
                    <w:tl2br w:val="nil"/>
                    <w:tr2bl w:val="nil"/>
                  </w:tcBorders>
                  <w:noWrap w:val="0"/>
                  <w:tcMar>
                    <w:top w:w="0" w:type="dxa"/>
                    <w:left w:w="0" w:type="dxa"/>
                    <w:bottom w:w="0" w:type="dxa"/>
                    <w:right w:w="0" w:type="dxa"/>
                  </w:tcMar>
                  <w:vAlign w:val="center"/>
                </w:tcPr>
                <w:p w14:paraId="7ECF887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29" w:type="pct"/>
                  <w:tcBorders>
                    <w:tl2br w:val="nil"/>
                    <w:tr2bl w:val="nil"/>
                  </w:tcBorders>
                  <w:noWrap w:val="0"/>
                  <w:tcMar>
                    <w:top w:w="0" w:type="dxa"/>
                    <w:left w:w="0" w:type="dxa"/>
                    <w:bottom w:w="0" w:type="dxa"/>
                    <w:right w:w="0" w:type="dxa"/>
                  </w:tcMar>
                  <w:vAlign w:val="center"/>
                </w:tcPr>
                <w:p w14:paraId="36201BC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52" w:type="pct"/>
                  <w:vMerge w:val="continue"/>
                  <w:tcBorders>
                    <w:tl2br w:val="nil"/>
                    <w:tr2bl w:val="nil"/>
                  </w:tcBorders>
                  <w:noWrap w:val="0"/>
                  <w:tcMar>
                    <w:top w:w="0" w:type="dxa"/>
                    <w:left w:w="0" w:type="dxa"/>
                    <w:bottom w:w="0" w:type="dxa"/>
                    <w:right w:w="0" w:type="dxa"/>
                  </w:tcMar>
                  <w:vAlign w:val="center"/>
                </w:tcPr>
                <w:p w14:paraId="3DA40ECC">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432" w:type="pct"/>
                  <w:tcBorders>
                    <w:tl2br w:val="nil"/>
                    <w:tr2bl w:val="nil"/>
                  </w:tcBorders>
                  <w:noWrap w:val="0"/>
                  <w:tcMar>
                    <w:top w:w="0" w:type="dxa"/>
                    <w:left w:w="0" w:type="dxa"/>
                    <w:bottom w:w="0" w:type="dxa"/>
                    <w:right w:w="0" w:type="dxa"/>
                  </w:tcMar>
                  <w:vAlign w:val="center"/>
                </w:tcPr>
                <w:p w14:paraId="65DF3FB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286" w:type="pct"/>
                  <w:tcBorders>
                    <w:tl2br w:val="nil"/>
                    <w:tr2bl w:val="nil"/>
                  </w:tcBorders>
                  <w:noWrap w:val="0"/>
                  <w:tcMar>
                    <w:top w:w="0" w:type="dxa"/>
                    <w:left w:w="0" w:type="dxa"/>
                    <w:bottom w:w="0" w:type="dxa"/>
                    <w:right w:w="0" w:type="dxa"/>
                  </w:tcMar>
                  <w:vAlign w:val="center"/>
                </w:tcPr>
                <w:p w14:paraId="55DCD20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261" w:type="pct"/>
                  <w:tcBorders>
                    <w:tl2br w:val="nil"/>
                    <w:tr2bl w:val="nil"/>
                  </w:tcBorders>
                  <w:noWrap w:val="0"/>
                  <w:tcMar>
                    <w:top w:w="0" w:type="dxa"/>
                    <w:left w:w="0" w:type="dxa"/>
                    <w:bottom w:w="0" w:type="dxa"/>
                    <w:right w:w="0" w:type="dxa"/>
                  </w:tcMar>
                  <w:vAlign w:val="center"/>
                </w:tcPr>
                <w:p w14:paraId="0EA7808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0" w:type="pct"/>
                  <w:tcBorders>
                    <w:tl2br w:val="nil"/>
                    <w:tr2bl w:val="nil"/>
                  </w:tcBorders>
                  <w:noWrap w:val="0"/>
                  <w:tcMar>
                    <w:top w:w="0" w:type="dxa"/>
                    <w:left w:w="0" w:type="dxa"/>
                    <w:bottom w:w="0" w:type="dxa"/>
                    <w:right w:w="0" w:type="dxa"/>
                  </w:tcMar>
                  <w:vAlign w:val="center"/>
                </w:tcPr>
                <w:p w14:paraId="65DCAFE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32" w:type="pct"/>
                  <w:tcBorders>
                    <w:tl2br w:val="nil"/>
                    <w:tr2bl w:val="nil"/>
                  </w:tcBorders>
                  <w:noWrap w:val="0"/>
                  <w:tcMar>
                    <w:top w:w="0" w:type="dxa"/>
                    <w:left w:w="0" w:type="dxa"/>
                    <w:bottom w:w="0" w:type="dxa"/>
                    <w:right w:w="0" w:type="dxa"/>
                  </w:tcMar>
                  <w:vAlign w:val="center"/>
                </w:tcPr>
                <w:p w14:paraId="314CB9B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77" w:type="pct"/>
                  <w:tcBorders>
                    <w:tl2br w:val="nil"/>
                    <w:tr2bl w:val="nil"/>
                  </w:tcBorders>
                  <w:noWrap w:val="0"/>
                  <w:tcMar>
                    <w:top w:w="0" w:type="dxa"/>
                    <w:left w:w="0" w:type="dxa"/>
                    <w:bottom w:w="0" w:type="dxa"/>
                    <w:right w:w="0" w:type="dxa"/>
                  </w:tcMar>
                  <w:vAlign w:val="center"/>
                </w:tcPr>
                <w:p w14:paraId="3A0E5D5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2" w:type="pct"/>
                  <w:vMerge w:val="continue"/>
                  <w:tcBorders>
                    <w:tl2br w:val="nil"/>
                    <w:tr2bl w:val="nil"/>
                  </w:tcBorders>
                  <w:noWrap w:val="0"/>
                  <w:tcMar>
                    <w:top w:w="0" w:type="dxa"/>
                    <w:left w:w="0" w:type="dxa"/>
                    <w:bottom w:w="0" w:type="dxa"/>
                    <w:right w:w="0" w:type="dxa"/>
                  </w:tcMar>
                  <w:vAlign w:val="center"/>
                </w:tcPr>
                <w:p w14:paraId="78AE483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4B258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vMerge w:val="restart"/>
                  <w:tcBorders>
                    <w:tl2br w:val="nil"/>
                    <w:tr2bl w:val="nil"/>
                  </w:tcBorders>
                  <w:noWrap w:val="0"/>
                  <w:tcMar>
                    <w:top w:w="0" w:type="dxa"/>
                    <w:left w:w="0" w:type="dxa"/>
                    <w:bottom w:w="0" w:type="dxa"/>
                    <w:right w:w="0" w:type="dxa"/>
                  </w:tcMar>
                  <w:vAlign w:val="center"/>
                </w:tcPr>
                <w:p w14:paraId="5DAA45DE">
                  <w:pPr>
                    <w:pStyle w:val="109"/>
                    <w:bidi w:val="0"/>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固化废气（DA002）</w:t>
                  </w:r>
                </w:p>
              </w:tc>
              <w:tc>
                <w:tcPr>
                  <w:tcW w:w="394" w:type="pct"/>
                  <w:tcBorders>
                    <w:tl2br w:val="nil"/>
                    <w:tr2bl w:val="nil"/>
                  </w:tcBorders>
                  <w:noWrap w:val="0"/>
                  <w:tcMar>
                    <w:top w:w="0" w:type="dxa"/>
                    <w:left w:w="0" w:type="dxa"/>
                    <w:bottom w:w="0" w:type="dxa"/>
                    <w:right w:w="0" w:type="dxa"/>
                  </w:tcMar>
                  <w:vAlign w:val="center"/>
                </w:tcPr>
                <w:p w14:paraId="5C522D96">
                  <w:pPr>
                    <w:keepNext w:val="0"/>
                    <w:keepLines w:val="0"/>
                    <w:widowControl/>
                    <w:suppressLineNumbers w:val="0"/>
                    <w:jc w:val="center"/>
                    <w:textAlignment w:val="cente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非甲烷总烃</w:t>
                  </w:r>
                </w:p>
              </w:tc>
              <w:tc>
                <w:tcPr>
                  <w:tcW w:w="340" w:type="pct"/>
                  <w:tcBorders>
                    <w:tl2br w:val="nil"/>
                    <w:tr2bl w:val="nil"/>
                  </w:tcBorders>
                  <w:noWrap w:val="0"/>
                  <w:tcMar>
                    <w:top w:w="0" w:type="dxa"/>
                    <w:left w:w="0" w:type="dxa"/>
                    <w:bottom w:w="0" w:type="dxa"/>
                    <w:right w:w="0" w:type="dxa"/>
                  </w:tcMar>
                  <w:vAlign w:val="center"/>
                </w:tcPr>
                <w:p w14:paraId="4ADEB88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0.337 </w:t>
                  </w:r>
                </w:p>
              </w:tc>
              <w:tc>
                <w:tcPr>
                  <w:tcW w:w="418" w:type="pct"/>
                  <w:tcBorders>
                    <w:tl2br w:val="nil"/>
                    <w:tr2bl w:val="nil"/>
                  </w:tcBorders>
                  <w:noWrap w:val="0"/>
                  <w:tcMar>
                    <w:top w:w="0" w:type="dxa"/>
                    <w:left w:w="0" w:type="dxa"/>
                    <w:bottom w:w="0" w:type="dxa"/>
                    <w:right w:w="0" w:type="dxa"/>
                  </w:tcMar>
                  <w:vAlign w:val="center"/>
                </w:tcPr>
                <w:p w14:paraId="3A1E141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0.175 </w:t>
                  </w:r>
                </w:p>
              </w:tc>
              <w:tc>
                <w:tcPr>
                  <w:tcW w:w="429" w:type="pct"/>
                  <w:tcBorders>
                    <w:tl2br w:val="nil"/>
                    <w:tr2bl w:val="nil"/>
                  </w:tcBorders>
                  <w:noWrap w:val="0"/>
                  <w:tcMar>
                    <w:top w:w="0" w:type="dxa"/>
                    <w:left w:w="0" w:type="dxa"/>
                    <w:bottom w:w="0" w:type="dxa"/>
                    <w:right w:w="0" w:type="dxa"/>
                  </w:tcMar>
                  <w:vAlign w:val="center"/>
                </w:tcPr>
                <w:p w14:paraId="24CA1AD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4.4 </w:t>
                  </w:r>
                </w:p>
              </w:tc>
              <w:tc>
                <w:tcPr>
                  <w:tcW w:w="352" w:type="pct"/>
                  <w:vMerge w:val="restart"/>
                  <w:tcBorders>
                    <w:tl2br w:val="nil"/>
                    <w:tr2bl w:val="nil"/>
                  </w:tcBorders>
                  <w:noWrap w:val="0"/>
                  <w:tcMar>
                    <w:top w:w="0" w:type="dxa"/>
                    <w:left w:w="0" w:type="dxa"/>
                    <w:bottom w:w="0" w:type="dxa"/>
                    <w:right w:w="0" w:type="dxa"/>
                  </w:tcMar>
                  <w:vAlign w:val="center"/>
                </w:tcPr>
                <w:p w14:paraId="5332129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有组织</w:t>
                  </w:r>
                </w:p>
              </w:tc>
              <w:tc>
                <w:tcPr>
                  <w:tcW w:w="432" w:type="pct"/>
                  <w:vMerge w:val="restart"/>
                  <w:tcBorders>
                    <w:tl2br w:val="nil"/>
                    <w:tr2bl w:val="nil"/>
                  </w:tcBorders>
                  <w:noWrap w:val="0"/>
                  <w:tcMar>
                    <w:top w:w="0" w:type="dxa"/>
                    <w:left w:w="0" w:type="dxa"/>
                    <w:bottom w:w="0" w:type="dxa"/>
                    <w:right w:w="0" w:type="dxa"/>
                  </w:tcMar>
                  <w:vAlign w:val="center"/>
                </w:tcPr>
                <w:p w14:paraId="2178965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40000</w:t>
                  </w:r>
                </w:p>
              </w:tc>
              <w:tc>
                <w:tcPr>
                  <w:tcW w:w="286" w:type="pct"/>
                  <w:tcBorders>
                    <w:tl2br w:val="nil"/>
                    <w:tr2bl w:val="nil"/>
                  </w:tcBorders>
                  <w:noWrap w:val="0"/>
                  <w:tcMar>
                    <w:top w:w="0" w:type="dxa"/>
                    <w:left w:w="0" w:type="dxa"/>
                    <w:bottom w:w="0" w:type="dxa"/>
                    <w:right w:w="0" w:type="dxa"/>
                  </w:tcMar>
                  <w:vAlign w:val="center"/>
                </w:tcPr>
                <w:p w14:paraId="7DBCFD6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95%</w:t>
                  </w:r>
                </w:p>
              </w:tc>
              <w:tc>
                <w:tcPr>
                  <w:tcW w:w="261" w:type="pct"/>
                  <w:tcBorders>
                    <w:tl2br w:val="nil"/>
                    <w:tr2bl w:val="nil"/>
                  </w:tcBorders>
                  <w:noWrap w:val="0"/>
                  <w:tcMar>
                    <w:top w:w="0" w:type="dxa"/>
                    <w:left w:w="0" w:type="dxa"/>
                    <w:bottom w:w="0" w:type="dxa"/>
                    <w:right w:w="0" w:type="dxa"/>
                  </w:tcMar>
                  <w:vAlign w:val="center"/>
                </w:tcPr>
                <w:p w14:paraId="68D566B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w:t>
                  </w:r>
                </w:p>
              </w:tc>
              <w:tc>
                <w:tcPr>
                  <w:tcW w:w="340" w:type="pct"/>
                  <w:tcBorders>
                    <w:tl2br w:val="nil"/>
                    <w:tr2bl w:val="nil"/>
                  </w:tcBorders>
                  <w:noWrap w:val="0"/>
                  <w:tcMar>
                    <w:top w:w="0" w:type="dxa"/>
                    <w:left w:w="0" w:type="dxa"/>
                    <w:bottom w:w="0" w:type="dxa"/>
                    <w:right w:w="0" w:type="dxa"/>
                  </w:tcMar>
                  <w:vAlign w:val="center"/>
                </w:tcPr>
                <w:p w14:paraId="32E807F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0.067 </w:t>
                  </w:r>
                </w:p>
              </w:tc>
              <w:tc>
                <w:tcPr>
                  <w:tcW w:w="432" w:type="pct"/>
                  <w:tcBorders>
                    <w:tl2br w:val="nil"/>
                    <w:tr2bl w:val="nil"/>
                  </w:tcBorders>
                  <w:noWrap w:val="0"/>
                  <w:tcMar>
                    <w:top w:w="0" w:type="dxa"/>
                    <w:left w:w="0" w:type="dxa"/>
                    <w:bottom w:w="0" w:type="dxa"/>
                    <w:right w:w="0" w:type="dxa"/>
                  </w:tcMar>
                  <w:vAlign w:val="center"/>
                </w:tcPr>
                <w:p w14:paraId="37228B7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0.035 </w:t>
                  </w:r>
                </w:p>
              </w:tc>
              <w:tc>
                <w:tcPr>
                  <w:tcW w:w="477" w:type="pct"/>
                  <w:tcBorders>
                    <w:tl2br w:val="nil"/>
                    <w:tr2bl w:val="nil"/>
                  </w:tcBorders>
                  <w:noWrap w:val="0"/>
                  <w:tcMar>
                    <w:top w:w="0" w:type="dxa"/>
                    <w:left w:w="0" w:type="dxa"/>
                    <w:bottom w:w="0" w:type="dxa"/>
                    <w:right w:w="0" w:type="dxa"/>
                  </w:tcMar>
                  <w:vAlign w:val="center"/>
                </w:tcPr>
                <w:p w14:paraId="1DDE120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0.874 </w:t>
                  </w:r>
                </w:p>
              </w:tc>
              <w:tc>
                <w:tcPr>
                  <w:tcW w:w="342" w:type="pct"/>
                  <w:vMerge w:val="restart"/>
                  <w:tcBorders>
                    <w:tl2br w:val="nil"/>
                    <w:tr2bl w:val="nil"/>
                  </w:tcBorders>
                  <w:noWrap w:val="0"/>
                  <w:tcMar>
                    <w:top w:w="0" w:type="dxa"/>
                    <w:left w:w="0" w:type="dxa"/>
                    <w:bottom w:w="0" w:type="dxa"/>
                    <w:right w:w="0" w:type="dxa"/>
                  </w:tcMar>
                  <w:vAlign w:val="center"/>
                </w:tcPr>
                <w:p w14:paraId="4AA5E23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1928</w:t>
                  </w:r>
                </w:p>
              </w:tc>
            </w:tr>
            <w:tr w14:paraId="2845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vMerge w:val="continue"/>
                  <w:tcBorders>
                    <w:tl2br w:val="nil"/>
                    <w:tr2bl w:val="nil"/>
                  </w:tcBorders>
                  <w:noWrap w:val="0"/>
                  <w:tcMar>
                    <w:top w:w="0" w:type="dxa"/>
                    <w:left w:w="0" w:type="dxa"/>
                    <w:bottom w:w="0" w:type="dxa"/>
                    <w:right w:w="0" w:type="dxa"/>
                  </w:tcMar>
                  <w:vAlign w:val="center"/>
                </w:tcPr>
                <w:p w14:paraId="3343B195">
                  <w:pPr>
                    <w:pStyle w:val="109"/>
                    <w:bidi w:val="0"/>
                    <w:rPr>
                      <w:rFonts w:hint="default" w:ascii="Times New Roman" w:hAnsi="Times New Roman" w:cs="Times New Roman"/>
                      <w:bCs/>
                      <w:color w:val="000000" w:themeColor="text1"/>
                      <w:sz w:val="21"/>
                      <w:szCs w:val="21"/>
                      <w:highlight w:val="none"/>
                      <w14:textFill>
                        <w14:solidFill>
                          <w14:schemeClr w14:val="tx1"/>
                        </w14:solidFill>
                      </w14:textFill>
                    </w:rPr>
                  </w:pPr>
                </w:p>
              </w:tc>
              <w:tc>
                <w:tcPr>
                  <w:tcW w:w="394" w:type="pct"/>
                  <w:tcBorders>
                    <w:tl2br w:val="nil"/>
                    <w:tr2bl w:val="nil"/>
                  </w:tcBorders>
                  <w:noWrap w:val="0"/>
                  <w:tcMar>
                    <w:top w:w="0" w:type="dxa"/>
                    <w:left w:w="0" w:type="dxa"/>
                    <w:bottom w:w="0" w:type="dxa"/>
                    <w:right w:w="0" w:type="dxa"/>
                  </w:tcMar>
                  <w:vAlign w:val="center"/>
                </w:tcPr>
                <w:p w14:paraId="34E7496F">
                  <w:pPr>
                    <w:keepNext w:val="0"/>
                    <w:keepLines w:val="0"/>
                    <w:widowControl/>
                    <w:suppressLineNumbers w:val="0"/>
                    <w:jc w:val="center"/>
                    <w:textAlignment w:val="cente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苯系物</w:t>
                  </w:r>
                </w:p>
              </w:tc>
              <w:tc>
                <w:tcPr>
                  <w:tcW w:w="340" w:type="pct"/>
                  <w:tcBorders>
                    <w:tl2br w:val="nil"/>
                    <w:tr2bl w:val="nil"/>
                  </w:tcBorders>
                  <w:noWrap w:val="0"/>
                  <w:tcMar>
                    <w:top w:w="0" w:type="dxa"/>
                    <w:left w:w="0" w:type="dxa"/>
                    <w:bottom w:w="0" w:type="dxa"/>
                    <w:right w:w="0" w:type="dxa"/>
                  </w:tcMar>
                  <w:vAlign w:val="center"/>
                </w:tcPr>
                <w:p w14:paraId="1979FDC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0.079 </w:t>
                  </w:r>
                </w:p>
              </w:tc>
              <w:tc>
                <w:tcPr>
                  <w:tcW w:w="418" w:type="pct"/>
                  <w:tcBorders>
                    <w:tl2br w:val="nil"/>
                    <w:tr2bl w:val="nil"/>
                  </w:tcBorders>
                  <w:noWrap w:val="0"/>
                  <w:tcMar>
                    <w:top w:w="0" w:type="dxa"/>
                    <w:left w:w="0" w:type="dxa"/>
                    <w:bottom w:w="0" w:type="dxa"/>
                    <w:right w:w="0" w:type="dxa"/>
                  </w:tcMar>
                  <w:vAlign w:val="center"/>
                </w:tcPr>
                <w:p w14:paraId="3940F59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0.041 </w:t>
                  </w:r>
                </w:p>
              </w:tc>
              <w:tc>
                <w:tcPr>
                  <w:tcW w:w="429" w:type="pct"/>
                  <w:tcBorders>
                    <w:tl2br w:val="nil"/>
                    <w:tr2bl w:val="nil"/>
                  </w:tcBorders>
                  <w:noWrap w:val="0"/>
                  <w:tcMar>
                    <w:top w:w="0" w:type="dxa"/>
                    <w:left w:w="0" w:type="dxa"/>
                    <w:bottom w:w="0" w:type="dxa"/>
                    <w:right w:w="0" w:type="dxa"/>
                  </w:tcMar>
                  <w:vAlign w:val="center"/>
                </w:tcPr>
                <w:p w14:paraId="28C68FB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1.0 </w:t>
                  </w:r>
                </w:p>
              </w:tc>
              <w:tc>
                <w:tcPr>
                  <w:tcW w:w="352" w:type="pct"/>
                  <w:vMerge w:val="continue"/>
                  <w:tcBorders>
                    <w:tl2br w:val="nil"/>
                    <w:tr2bl w:val="nil"/>
                  </w:tcBorders>
                  <w:noWrap w:val="0"/>
                  <w:tcMar>
                    <w:top w:w="0" w:type="dxa"/>
                    <w:left w:w="0" w:type="dxa"/>
                    <w:bottom w:w="0" w:type="dxa"/>
                    <w:right w:w="0" w:type="dxa"/>
                  </w:tcMar>
                  <w:vAlign w:val="center"/>
                </w:tcPr>
                <w:p w14:paraId="750D7241">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432" w:type="pct"/>
                  <w:vMerge w:val="continue"/>
                  <w:tcBorders>
                    <w:tl2br w:val="nil"/>
                    <w:tr2bl w:val="nil"/>
                  </w:tcBorders>
                  <w:noWrap w:val="0"/>
                  <w:tcMar>
                    <w:top w:w="0" w:type="dxa"/>
                    <w:left w:w="0" w:type="dxa"/>
                    <w:bottom w:w="0" w:type="dxa"/>
                    <w:right w:w="0" w:type="dxa"/>
                  </w:tcMar>
                  <w:vAlign w:val="center"/>
                </w:tcPr>
                <w:p w14:paraId="2004682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286" w:type="pct"/>
                  <w:tcBorders>
                    <w:tl2br w:val="nil"/>
                    <w:tr2bl w:val="nil"/>
                  </w:tcBorders>
                  <w:noWrap w:val="0"/>
                  <w:tcMar>
                    <w:top w:w="0" w:type="dxa"/>
                    <w:left w:w="0" w:type="dxa"/>
                    <w:bottom w:w="0" w:type="dxa"/>
                    <w:right w:w="0" w:type="dxa"/>
                  </w:tcMar>
                  <w:vAlign w:val="center"/>
                </w:tcPr>
                <w:p w14:paraId="5DC921A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95%</w:t>
                  </w:r>
                </w:p>
              </w:tc>
              <w:tc>
                <w:tcPr>
                  <w:tcW w:w="261" w:type="pct"/>
                  <w:tcBorders>
                    <w:tl2br w:val="nil"/>
                    <w:tr2bl w:val="nil"/>
                  </w:tcBorders>
                  <w:noWrap w:val="0"/>
                  <w:tcMar>
                    <w:top w:w="0" w:type="dxa"/>
                    <w:left w:w="0" w:type="dxa"/>
                    <w:bottom w:w="0" w:type="dxa"/>
                    <w:right w:w="0" w:type="dxa"/>
                  </w:tcMar>
                  <w:vAlign w:val="center"/>
                </w:tcPr>
                <w:p w14:paraId="7A740EF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w:t>
                  </w:r>
                </w:p>
              </w:tc>
              <w:tc>
                <w:tcPr>
                  <w:tcW w:w="340" w:type="pct"/>
                  <w:tcBorders>
                    <w:tl2br w:val="nil"/>
                    <w:tr2bl w:val="nil"/>
                  </w:tcBorders>
                  <w:noWrap w:val="0"/>
                  <w:tcMar>
                    <w:top w:w="0" w:type="dxa"/>
                    <w:left w:w="0" w:type="dxa"/>
                    <w:bottom w:w="0" w:type="dxa"/>
                    <w:right w:w="0" w:type="dxa"/>
                  </w:tcMar>
                  <w:vAlign w:val="center"/>
                </w:tcPr>
                <w:p w14:paraId="2728B34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0.016 </w:t>
                  </w:r>
                </w:p>
              </w:tc>
              <w:tc>
                <w:tcPr>
                  <w:tcW w:w="432" w:type="pct"/>
                  <w:tcBorders>
                    <w:tl2br w:val="nil"/>
                    <w:tr2bl w:val="nil"/>
                  </w:tcBorders>
                  <w:noWrap w:val="0"/>
                  <w:tcMar>
                    <w:top w:w="0" w:type="dxa"/>
                    <w:left w:w="0" w:type="dxa"/>
                    <w:bottom w:w="0" w:type="dxa"/>
                    <w:right w:w="0" w:type="dxa"/>
                  </w:tcMar>
                  <w:vAlign w:val="center"/>
                </w:tcPr>
                <w:p w14:paraId="12C1ED2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0.008 </w:t>
                  </w:r>
                </w:p>
              </w:tc>
              <w:tc>
                <w:tcPr>
                  <w:tcW w:w="477" w:type="pct"/>
                  <w:tcBorders>
                    <w:tl2br w:val="nil"/>
                    <w:tr2bl w:val="nil"/>
                  </w:tcBorders>
                  <w:noWrap w:val="0"/>
                  <w:tcMar>
                    <w:top w:w="0" w:type="dxa"/>
                    <w:left w:w="0" w:type="dxa"/>
                    <w:bottom w:w="0" w:type="dxa"/>
                    <w:right w:w="0" w:type="dxa"/>
                  </w:tcMar>
                  <w:vAlign w:val="center"/>
                </w:tcPr>
                <w:p w14:paraId="34CBF3F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0.204 </w:t>
                  </w:r>
                </w:p>
              </w:tc>
              <w:tc>
                <w:tcPr>
                  <w:tcW w:w="342" w:type="pct"/>
                  <w:vMerge w:val="continue"/>
                  <w:tcBorders>
                    <w:tl2br w:val="nil"/>
                    <w:tr2bl w:val="nil"/>
                  </w:tcBorders>
                  <w:noWrap w:val="0"/>
                  <w:tcMar>
                    <w:top w:w="0" w:type="dxa"/>
                    <w:left w:w="0" w:type="dxa"/>
                    <w:bottom w:w="0" w:type="dxa"/>
                    <w:right w:w="0" w:type="dxa"/>
                  </w:tcMar>
                  <w:vAlign w:val="center"/>
                </w:tcPr>
                <w:p w14:paraId="25C4E60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1A919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vMerge w:val="continue"/>
                  <w:tcBorders>
                    <w:tl2br w:val="nil"/>
                    <w:tr2bl w:val="nil"/>
                  </w:tcBorders>
                  <w:noWrap w:val="0"/>
                  <w:tcMar>
                    <w:top w:w="0" w:type="dxa"/>
                    <w:left w:w="0" w:type="dxa"/>
                    <w:bottom w:w="0" w:type="dxa"/>
                    <w:right w:w="0" w:type="dxa"/>
                  </w:tcMar>
                  <w:vAlign w:val="center"/>
                </w:tcPr>
                <w:p w14:paraId="3B72046A">
                  <w:pPr>
                    <w:pStyle w:val="109"/>
                    <w:bidi w:val="0"/>
                    <w:rPr>
                      <w:rFonts w:hint="default" w:ascii="Times New Roman" w:hAnsi="Times New Roman" w:cs="Times New Roman"/>
                      <w:bCs/>
                      <w:color w:val="000000" w:themeColor="text1"/>
                      <w:sz w:val="21"/>
                      <w:szCs w:val="21"/>
                      <w:highlight w:val="none"/>
                      <w14:textFill>
                        <w14:solidFill>
                          <w14:schemeClr w14:val="tx1"/>
                        </w14:solidFill>
                      </w14:textFill>
                    </w:rPr>
                  </w:pPr>
                </w:p>
              </w:tc>
              <w:tc>
                <w:tcPr>
                  <w:tcW w:w="394" w:type="pct"/>
                  <w:tcBorders>
                    <w:tl2br w:val="nil"/>
                    <w:tr2bl w:val="nil"/>
                  </w:tcBorders>
                  <w:noWrap w:val="0"/>
                  <w:tcMar>
                    <w:top w:w="0" w:type="dxa"/>
                    <w:left w:w="0" w:type="dxa"/>
                    <w:bottom w:w="0" w:type="dxa"/>
                    <w:right w:w="0" w:type="dxa"/>
                  </w:tcMar>
                  <w:vAlign w:val="center"/>
                </w:tcPr>
                <w:p w14:paraId="49133CB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臭气浓度</w:t>
                  </w:r>
                </w:p>
              </w:tc>
              <w:tc>
                <w:tcPr>
                  <w:tcW w:w="340" w:type="pct"/>
                  <w:tcBorders>
                    <w:tl2br w:val="nil"/>
                    <w:tr2bl w:val="nil"/>
                  </w:tcBorders>
                  <w:noWrap w:val="0"/>
                  <w:tcMar>
                    <w:top w:w="0" w:type="dxa"/>
                    <w:left w:w="0" w:type="dxa"/>
                    <w:bottom w:w="0" w:type="dxa"/>
                    <w:right w:w="0" w:type="dxa"/>
                  </w:tcMar>
                  <w:vAlign w:val="center"/>
                </w:tcPr>
                <w:p w14:paraId="42EFD3C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18" w:type="pct"/>
                  <w:tcBorders>
                    <w:tl2br w:val="nil"/>
                    <w:tr2bl w:val="nil"/>
                  </w:tcBorders>
                  <w:noWrap w:val="0"/>
                  <w:tcMar>
                    <w:top w:w="0" w:type="dxa"/>
                    <w:left w:w="0" w:type="dxa"/>
                    <w:bottom w:w="0" w:type="dxa"/>
                    <w:right w:w="0" w:type="dxa"/>
                  </w:tcMar>
                  <w:vAlign w:val="center"/>
                </w:tcPr>
                <w:p w14:paraId="0D13B13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29" w:type="pct"/>
                  <w:tcBorders>
                    <w:tl2br w:val="nil"/>
                    <w:tr2bl w:val="nil"/>
                  </w:tcBorders>
                  <w:noWrap w:val="0"/>
                  <w:tcMar>
                    <w:top w:w="0" w:type="dxa"/>
                    <w:left w:w="0" w:type="dxa"/>
                    <w:bottom w:w="0" w:type="dxa"/>
                    <w:right w:w="0" w:type="dxa"/>
                  </w:tcMar>
                  <w:vAlign w:val="center"/>
                </w:tcPr>
                <w:p w14:paraId="56203C4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52" w:type="pct"/>
                  <w:vMerge w:val="continue"/>
                  <w:tcBorders>
                    <w:tl2br w:val="nil"/>
                    <w:tr2bl w:val="nil"/>
                  </w:tcBorders>
                  <w:noWrap w:val="0"/>
                  <w:tcMar>
                    <w:top w:w="0" w:type="dxa"/>
                    <w:left w:w="0" w:type="dxa"/>
                    <w:bottom w:w="0" w:type="dxa"/>
                    <w:right w:w="0" w:type="dxa"/>
                  </w:tcMar>
                  <w:vAlign w:val="center"/>
                </w:tcPr>
                <w:p w14:paraId="140F1723">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432" w:type="pct"/>
                  <w:vMerge w:val="continue"/>
                  <w:tcBorders>
                    <w:tl2br w:val="nil"/>
                    <w:tr2bl w:val="nil"/>
                  </w:tcBorders>
                  <w:noWrap w:val="0"/>
                  <w:tcMar>
                    <w:top w:w="0" w:type="dxa"/>
                    <w:left w:w="0" w:type="dxa"/>
                    <w:bottom w:w="0" w:type="dxa"/>
                    <w:right w:w="0" w:type="dxa"/>
                  </w:tcMar>
                  <w:vAlign w:val="center"/>
                </w:tcPr>
                <w:p w14:paraId="21DBF94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286" w:type="pct"/>
                  <w:tcBorders>
                    <w:tl2br w:val="nil"/>
                    <w:tr2bl w:val="nil"/>
                  </w:tcBorders>
                  <w:shd w:val="clear" w:color="auto" w:fill="auto"/>
                  <w:noWrap w:val="0"/>
                  <w:tcMar>
                    <w:top w:w="0" w:type="dxa"/>
                    <w:left w:w="0" w:type="dxa"/>
                    <w:bottom w:w="0" w:type="dxa"/>
                    <w:right w:w="0" w:type="dxa"/>
                  </w:tcMar>
                  <w:vAlign w:val="center"/>
                </w:tcPr>
                <w:p w14:paraId="2A3DDA1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261" w:type="pct"/>
                  <w:tcBorders>
                    <w:tl2br w:val="nil"/>
                    <w:tr2bl w:val="nil"/>
                  </w:tcBorders>
                  <w:shd w:val="clear" w:color="auto" w:fill="auto"/>
                  <w:noWrap w:val="0"/>
                  <w:tcMar>
                    <w:top w:w="0" w:type="dxa"/>
                    <w:left w:w="0" w:type="dxa"/>
                    <w:bottom w:w="0" w:type="dxa"/>
                    <w:right w:w="0" w:type="dxa"/>
                  </w:tcMar>
                  <w:vAlign w:val="center"/>
                </w:tcPr>
                <w:p w14:paraId="4CBBB91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0" w:type="pct"/>
                  <w:tcBorders>
                    <w:tl2br w:val="nil"/>
                    <w:tr2bl w:val="nil"/>
                  </w:tcBorders>
                  <w:shd w:val="clear" w:color="auto" w:fill="auto"/>
                  <w:noWrap w:val="0"/>
                  <w:tcMar>
                    <w:top w:w="0" w:type="dxa"/>
                    <w:left w:w="0" w:type="dxa"/>
                    <w:bottom w:w="0" w:type="dxa"/>
                    <w:right w:w="0" w:type="dxa"/>
                  </w:tcMar>
                  <w:vAlign w:val="center"/>
                </w:tcPr>
                <w:p w14:paraId="6B09DBC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32" w:type="pct"/>
                  <w:tcBorders>
                    <w:tl2br w:val="nil"/>
                    <w:tr2bl w:val="nil"/>
                  </w:tcBorders>
                  <w:shd w:val="clear" w:color="auto" w:fill="auto"/>
                  <w:noWrap w:val="0"/>
                  <w:tcMar>
                    <w:top w:w="0" w:type="dxa"/>
                    <w:left w:w="0" w:type="dxa"/>
                    <w:bottom w:w="0" w:type="dxa"/>
                    <w:right w:w="0" w:type="dxa"/>
                  </w:tcMar>
                  <w:vAlign w:val="center"/>
                </w:tcPr>
                <w:p w14:paraId="7D5CB05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77" w:type="pct"/>
                  <w:tcBorders>
                    <w:tl2br w:val="nil"/>
                    <w:tr2bl w:val="nil"/>
                  </w:tcBorders>
                  <w:shd w:val="clear" w:color="auto" w:fill="auto"/>
                  <w:noWrap w:val="0"/>
                  <w:tcMar>
                    <w:top w:w="0" w:type="dxa"/>
                    <w:left w:w="0" w:type="dxa"/>
                    <w:bottom w:w="0" w:type="dxa"/>
                    <w:right w:w="0" w:type="dxa"/>
                  </w:tcMar>
                  <w:vAlign w:val="center"/>
                </w:tcPr>
                <w:p w14:paraId="7A083DD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2" w:type="pct"/>
                  <w:vMerge w:val="continue"/>
                  <w:tcBorders>
                    <w:tl2br w:val="nil"/>
                    <w:tr2bl w:val="nil"/>
                  </w:tcBorders>
                  <w:noWrap w:val="0"/>
                  <w:tcMar>
                    <w:top w:w="0" w:type="dxa"/>
                    <w:left w:w="0" w:type="dxa"/>
                    <w:bottom w:w="0" w:type="dxa"/>
                    <w:right w:w="0" w:type="dxa"/>
                  </w:tcMar>
                  <w:vAlign w:val="center"/>
                </w:tcPr>
                <w:p w14:paraId="01AB564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736C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vMerge w:val="continue"/>
                  <w:tcBorders>
                    <w:tl2br w:val="nil"/>
                    <w:tr2bl w:val="nil"/>
                  </w:tcBorders>
                  <w:noWrap w:val="0"/>
                  <w:tcMar>
                    <w:top w:w="0" w:type="dxa"/>
                    <w:left w:w="0" w:type="dxa"/>
                    <w:bottom w:w="0" w:type="dxa"/>
                    <w:right w:w="0" w:type="dxa"/>
                  </w:tcMar>
                  <w:vAlign w:val="center"/>
                </w:tcPr>
                <w:p w14:paraId="18BC6584">
                  <w:pPr>
                    <w:pStyle w:val="109"/>
                    <w:bidi w:val="0"/>
                    <w:rPr>
                      <w:rFonts w:hint="default" w:ascii="Times New Roman" w:hAnsi="Times New Roman" w:cs="Times New Roman"/>
                      <w:bCs/>
                      <w:color w:val="000000" w:themeColor="text1"/>
                      <w:sz w:val="21"/>
                      <w:szCs w:val="21"/>
                      <w:highlight w:val="none"/>
                      <w14:textFill>
                        <w14:solidFill>
                          <w14:schemeClr w14:val="tx1"/>
                        </w14:solidFill>
                      </w14:textFill>
                    </w:rPr>
                  </w:pPr>
                </w:p>
              </w:tc>
              <w:tc>
                <w:tcPr>
                  <w:tcW w:w="394" w:type="pct"/>
                  <w:tcBorders>
                    <w:tl2br w:val="nil"/>
                    <w:tr2bl w:val="nil"/>
                  </w:tcBorders>
                  <w:shd w:val="clear" w:color="auto" w:fill="auto"/>
                  <w:noWrap w:val="0"/>
                  <w:tcMar>
                    <w:top w:w="0" w:type="dxa"/>
                    <w:left w:w="0" w:type="dxa"/>
                    <w:bottom w:w="0" w:type="dxa"/>
                    <w:right w:w="0" w:type="dxa"/>
                  </w:tcMar>
                  <w:vAlign w:val="center"/>
                </w:tcPr>
                <w:p w14:paraId="5FF1D693">
                  <w:pPr>
                    <w:keepNext w:val="0"/>
                    <w:keepLines w:val="0"/>
                    <w:widowControl/>
                    <w:suppressLineNumbers w:val="0"/>
                    <w:jc w:val="center"/>
                    <w:textAlignment w:val="center"/>
                    <w:rPr>
                      <w:rFonts w:hint="default" w:ascii="Times New Roman" w:hAnsi="Times New Roman"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SO</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2</w:t>
                  </w:r>
                </w:p>
              </w:tc>
              <w:tc>
                <w:tcPr>
                  <w:tcW w:w="340" w:type="pct"/>
                  <w:tcBorders>
                    <w:tl2br w:val="nil"/>
                    <w:tr2bl w:val="nil"/>
                  </w:tcBorders>
                  <w:noWrap w:val="0"/>
                  <w:tcMar>
                    <w:top w:w="0" w:type="dxa"/>
                    <w:left w:w="0" w:type="dxa"/>
                    <w:bottom w:w="0" w:type="dxa"/>
                    <w:right w:w="0" w:type="dxa"/>
                  </w:tcMar>
                  <w:vAlign w:val="center"/>
                </w:tcPr>
                <w:p w14:paraId="02D5BCA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0.036 </w:t>
                  </w:r>
                </w:p>
              </w:tc>
              <w:tc>
                <w:tcPr>
                  <w:tcW w:w="418" w:type="pct"/>
                  <w:tcBorders>
                    <w:tl2br w:val="nil"/>
                    <w:tr2bl w:val="nil"/>
                  </w:tcBorders>
                  <w:noWrap w:val="0"/>
                  <w:tcMar>
                    <w:top w:w="0" w:type="dxa"/>
                    <w:left w:w="0" w:type="dxa"/>
                    <w:bottom w:w="0" w:type="dxa"/>
                    <w:right w:w="0" w:type="dxa"/>
                  </w:tcMar>
                  <w:vAlign w:val="center"/>
                </w:tcPr>
                <w:p w14:paraId="01A969A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0.019 </w:t>
                  </w:r>
                </w:p>
              </w:tc>
              <w:tc>
                <w:tcPr>
                  <w:tcW w:w="429" w:type="pct"/>
                  <w:tcBorders>
                    <w:tl2br w:val="nil"/>
                    <w:tr2bl w:val="nil"/>
                  </w:tcBorders>
                  <w:noWrap w:val="0"/>
                  <w:tcMar>
                    <w:top w:w="0" w:type="dxa"/>
                    <w:left w:w="0" w:type="dxa"/>
                    <w:bottom w:w="0" w:type="dxa"/>
                    <w:right w:w="0" w:type="dxa"/>
                  </w:tcMar>
                  <w:vAlign w:val="center"/>
                </w:tcPr>
                <w:p w14:paraId="5E63AB0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0.5 </w:t>
                  </w:r>
                </w:p>
              </w:tc>
              <w:tc>
                <w:tcPr>
                  <w:tcW w:w="352" w:type="pct"/>
                  <w:vMerge w:val="continue"/>
                  <w:tcBorders>
                    <w:tl2br w:val="nil"/>
                    <w:tr2bl w:val="nil"/>
                  </w:tcBorders>
                  <w:noWrap w:val="0"/>
                  <w:tcMar>
                    <w:top w:w="0" w:type="dxa"/>
                    <w:left w:w="0" w:type="dxa"/>
                    <w:bottom w:w="0" w:type="dxa"/>
                    <w:right w:w="0" w:type="dxa"/>
                  </w:tcMar>
                  <w:vAlign w:val="center"/>
                </w:tcPr>
                <w:p w14:paraId="635F3588">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432" w:type="pct"/>
                  <w:vMerge w:val="continue"/>
                  <w:tcBorders>
                    <w:tl2br w:val="nil"/>
                    <w:tr2bl w:val="nil"/>
                  </w:tcBorders>
                  <w:noWrap w:val="0"/>
                  <w:tcMar>
                    <w:top w:w="0" w:type="dxa"/>
                    <w:left w:w="0" w:type="dxa"/>
                    <w:bottom w:w="0" w:type="dxa"/>
                    <w:right w:w="0" w:type="dxa"/>
                  </w:tcMar>
                  <w:vAlign w:val="center"/>
                </w:tcPr>
                <w:p w14:paraId="5F6E1EC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286" w:type="pct"/>
                  <w:tcBorders>
                    <w:tl2br w:val="nil"/>
                    <w:tr2bl w:val="nil"/>
                  </w:tcBorders>
                  <w:noWrap w:val="0"/>
                  <w:tcMar>
                    <w:top w:w="0" w:type="dxa"/>
                    <w:left w:w="0" w:type="dxa"/>
                    <w:bottom w:w="0" w:type="dxa"/>
                    <w:right w:w="0" w:type="dxa"/>
                  </w:tcMar>
                  <w:vAlign w:val="center"/>
                </w:tcPr>
                <w:p w14:paraId="24A13C7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w:t>
                  </w:r>
                </w:p>
              </w:tc>
              <w:tc>
                <w:tcPr>
                  <w:tcW w:w="261" w:type="pct"/>
                  <w:tcBorders>
                    <w:tl2br w:val="nil"/>
                    <w:tr2bl w:val="nil"/>
                  </w:tcBorders>
                  <w:noWrap w:val="0"/>
                  <w:tcMar>
                    <w:top w:w="0" w:type="dxa"/>
                    <w:left w:w="0" w:type="dxa"/>
                    <w:bottom w:w="0" w:type="dxa"/>
                    <w:right w:w="0" w:type="dxa"/>
                  </w:tcMar>
                  <w:vAlign w:val="center"/>
                </w:tcPr>
                <w:p w14:paraId="31FB253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0" w:type="pct"/>
                  <w:tcBorders>
                    <w:tl2br w:val="nil"/>
                    <w:tr2bl w:val="nil"/>
                  </w:tcBorders>
                  <w:noWrap w:val="0"/>
                  <w:tcMar>
                    <w:top w:w="0" w:type="dxa"/>
                    <w:left w:w="0" w:type="dxa"/>
                    <w:bottom w:w="0" w:type="dxa"/>
                    <w:right w:w="0" w:type="dxa"/>
                  </w:tcMar>
                  <w:vAlign w:val="center"/>
                </w:tcPr>
                <w:p w14:paraId="2FD7DE9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0.036 </w:t>
                  </w:r>
                </w:p>
              </w:tc>
              <w:tc>
                <w:tcPr>
                  <w:tcW w:w="432" w:type="pct"/>
                  <w:tcBorders>
                    <w:tl2br w:val="nil"/>
                    <w:tr2bl w:val="nil"/>
                  </w:tcBorders>
                  <w:noWrap w:val="0"/>
                  <w:tcMar>
                    <w:top w:w="0" w:type="dxa"/>
                    <w:left w:w="0" w:type="dxa"/>
                    <w:bottom w:w="0" w:type="dxa"/>
                    <w:right w:w="0" w:type="dxa"/>
                  </w:tcMar>
                  <w:vAlign w:val="center"/>
                </w:tcPr>
                <w:p w14:paraId="6DDF135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0.019 </w:t>
                  </w:r>
                </w:p>
              </w:tc>
              <w:tc>
                <w:tcPr>
                  <w:tcW w:w="477" w:type="pct"/>
                  <w:tcBorders>
                    <w:tl2br w:val="nil"/>
                    <w:tr2bl w:val="nil"/>
                  </w:tcBorders>
                  <w:noWrap w:val="0"/>
                  <w:tcMar>
                    <w:top w:w="0" w:type="dxa"/>
                    <w:left w:w="0" w:type="dxa"/>
                    <w:bottom w:w="0" w:type="dxa"/>
                    <w:right w:w="0" w:type="dxa"/>
                  </w:tcMar>
                  <w:vAlign w:val="center"/>
                </w:tcPr>
                <w:p w14:paraId="6ADF0E7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0.5 </w:t>
                  </w:r>
                </w:p>
              </w:tc>
              <w:tc>
                <w:tcPr>
                  <w:tcW w:w="342" w:type="pct"/>
                  <w:vMerge w:val="continue"/>
                  <w:tcBorders>
                    <w:tl2br w:val="nil"/>
                    <w:tr2bl w:val="nil"/>
                  </w:tcBorders>
                  <w:noWrap w:val="0"/>
                  <w:tcMar>
                    <w:top w:w="0" w:type="dxa"/>
                    <w:left w:w="0" w:type="dxa"/>
                    <w:bottom w:w="0" w:type="dxa"/>
                    <w:right w:w="0" w:type="dxa"/>
                  </w:tcMar>
                  <w:vAlign w:val="center"/>
                </w:tcPr>
                <w:p w14:paraId="179A1AA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777F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vMerge w:val="continue"/>
                  <w:tcBorders>
                    <w:tl2br w:val="nil"/>
                    <w:tr2bl w:val="nil"/>
                  </w:tcBorders>
                  <w:noWrap w:val="0"/>
                  <w:tcMar>
                    <w:top w:w="0" w:type="dxa"/>
                    <w:left w:w="0" w:type="dxa"/>
                    <w:bottom w:w="0" w:type="dxa"/>
                    <w:right w:w="0" w:type="dxa"/>
                  </w:tcMar>
                  <w:vAlign w:val="center"/>
                </w:tcPr>
                <w:p w14:paraId="4A78F14F">
                  <w:pPr>
                    <w:pStyle w:val="109"/>
                    <w:bidi w:val="0"/>
                    <w:rPr>
                      <w:rFonts w:hint="default" w:ascii="Times New Roman" w:hAnsi="Times New Roman" w:cs="Times New Roman"/>
                      <w:bCs/>
                      <w:color w:val="000000" w:themeColor="text1"/>
                      <w:sz w:val="21"/>
                      <w:szCs w:val="21"/>
                      <w:highlight w:val="none"/>
                      <w14:textFill>
                        <w14:solidFill>
                          <w14:schemeClr w14:val="tx1"/>
                        </w14:solidFill>
                      </w14:textFill>
                    </w:rPr>
                  </w:pPr>
                </w:p>
              </w:tc>
              <w:tc>
                <w:tcPr>
                  <w:tcW w:w="394" w:type="pct"/>
                  <w:tcBorders>
                    <w:tl2br w:val="nil"/>
                    <w:tr2bl w:val="nil"/>
                  </w:tcBorders>
                  <w:shd w:val="clear" w:color="auto" w:fill="auto"/>
                  <w:noWrap w:val="0"/>
                  <w:tcMar>
                    <w:top w:w="0" w:type="dxa"/>
                    <w:left w:w="0" w:type="dxa"/>
                    <w:bottom w:w="0" w:type="dxa"/>
                    <w:right w:w="0" w:type="dxa"/>
                  </w:tcMar>
                  <w:vAlign w:val="center"/>
                </w:tcPr>
                <w:p w14:paraId="7C62894E">
                  <w:pPr>
                    <w:keepNext w:val="0"/>
                    <w:keepLines w:val="0"/>
                    <w:widowControl/>
                    <w:suppressLineNumbers w:val="0"/>
                    <w:jc w:val="center"/>
                    <w:textAlignment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NO</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X</w:t>
                  </w:r>
                </w:p>
              </w:tc>
              <w:tc>
                <w:tcPr>
                  <w:tcW w:w="340" w:type="pct"/>
                  <w:tcBorders>
                    <w:tl2br w:val="nil"/>
                    <w:tr2bl w:val="nil"/>
                  </w:tcBorders>
                  <w:noWrap w:val="0"/>
                  <w:tcMar>
                    <w:top w:w="0" w:type="dxa"/>
                    <w:left w:w="0" w:type="dxa"/>
                    <w:bottom w:w="0" w:type="dxa"/>
                    <w:right w:w="0" w:type="dxa"/>
                  </w:tcMar>
                  <w:vAlign w:val="center"/>
                </w:tcPr>
                <w:p w14:paraId="42AB358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0.341 </w:t>
                  </w:r>
                </w:p>
              </w:tc>
              <w:tc>
                <w:tcPr>
                  <w:tcW w:w="418" w:type="pct"/>
                  <w:tcBorders>
                    <w:tl2br w:val="nil"/>
                    <w:tr2bl w:val="nil"/>
                  </w:tcBorders>
                  <w:noWrap w:val="0"/>
                  <w:tcMar>
                    <w:top w:w="0" w:type="dxa"/>
                    <w:left w:w="0" w:type="dxa"/>
                    <w:bottom w:w="0" w:type="dxa"/>
                    <w:right w:w="0" w:type="dxa"/>
                  </w:tcMar>
                  <w:vAlign w:val="center"/>
                </w:tcPr>
                <w:p w14:paraId="1BABF97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0.177 </w:t>
                  </w:r>
                </w:p>
              </w:tc>
              <w:tc>
                <w:tcPr>
                  <w:tcW w:w="429" w:type="pct"/>
                  <w:tcBorders>
                    <w:tl2br w:val="nil"/>
                    <w:tr2bl w:val="nil"/>
                  </w:tcBorders>
                  <w:noWrap w:val="0"/>
                  <w:tcMar>
                    <w:top w:w="0" w:type="dxa"/>
                    <w:left w:w="0" w:type="dxa"/>
                    <w:bottom w:w="0" w:type="dxa"/>
                    <w:right w:w="0" w:type="dxa"/>
                  </w:tcMar>
                  <w:vAlign w:val="center"/>
                </w:tcPr>
                <w:p w14:paraId="2EEC042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4.4 </w:t>
                  </w:r>
                </w:p>
              </w:tc>
              <w:tc>
                <w:tcPr>
                  <w:tcW w:w="352" w:type="pct"/>
                  <w:vMerge w:val="continue"/>
                  <w:tcBorders>
                    <w:tl2br w:val="nil"/>
                    <w:tr2bl w:val="nil"/>
                  </w:tcBorders>
                  <w:noWrap w:val="0"/>
                  <w:tcMar>
                    <w:top w:w="0" w:type="dxa"/>
                    <w:left w:w="0" w:type="dxa"/>
                    <w:bottom w:w="0" w:type="dxa"/>
                    <w:right w:w="0" w:type="dxa"/>
                  </w:tcMar>
                  <w:vAlign w:val="center"/>
                </w:tcPr>
                <w:p w14:paraId="7013FEC4">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432" w:type="pct"/>
                  <w:vMerge w:val="continue"/>
                  <w:tcBorders>
                    <w:tl2br w:val="nil"/>
                    <w:tr2bl w:val="nil"/>
                  </w:tcBorders>
                  <w:noWrap w:val="0"/>
                  <w:tcMar>
                    <w:top w:w="0" w:type="dxa"/>
                    <w:left w:w="0" w:type="dxa"/>
                    <w:bottom w:w="0" w:type="dxa"/>
                    <w:right w:w="0" w:type="dxa"/>
                  </w:tcMar>
                  <w:vAlign w:val="center"/>
                </w:tcPr>
                <w:p w14:paraId="776D9B9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286" w:type="pct"/>
                  <w:tcBorders>
                    <w:tl2br w:val="nil"/>
                    <w:tr2bl w:val="nil"/>
                  </w:tcBorders>
                  <w:noWrap w:val="0"/>
                  <w:tcMar>
                    <w:top w:w="0" w:type="dxa"/>
                    <w:left w:w="0" w:type="dxa"/>
                    <w:bottom w:w="0" w:type="dxa"/>
                    <w:right w:w="0" w:type="dxa"/>
                  </w:tcMar>
                  <w:vAlign w:val="center"/>
                </w:tcPr>
                <w:p w14:paraId="756C0CF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w:t>
                  </w:r>
                </w:p>
              </w:tc>
              <w:tc>
                <w:tcPr>
                  <w:tcW w:w="261" w:type="pct"/>
                  <w:tcBorders>
                    <w:tl2br w:val="nil"/>
                    <w:tr2bl w:val="nil"/>
                  </w:tcBorders>
                  <w:noWrap w:val="0"/>
                  <w:tcMar>
                    <w:top w:w="0" w:type="dxa"/>
                    <w:left w:w="0" w:type="dxa"/>
                    <w:bottom w:w="0" w:type="dxa"/>
                    <w:right w:w="0" w:type="dxa"/>
                  </w:tcMar>
                  <w:vAlign w:val="center"/>
                </w:tcPr>
                <w:p w14:paraId="110EF16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0" w:type="pct"/>
                  <w:tcBorders>
                    <w:tl2br w:val="nil"/>
                    <w:tr2bl w:val="nil"/>
                  </w:tcBorders>
                  <w:noWrap w:val="0"/>
                  <w:tcMar>
                    <w:top w:w="0" w:type="dxa"/>
                    <w:left w:w="0" w:type="dxa"/>
                    <w:bottom w:w="0" w:type="dxa"/>
                    <w:right w:w="0" w:type="dxa"/>
                  </w:tcMar>
                  <w:vAlign w:val="center"/>
                </w:tcPr>
                <w:p w14:paraId="3E6DC03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0.341 </w:t>
                  </w:r>
                </w:p>
              </w:tc>
              <w:tc>
                <w:tcPr>
                  <w:tcW w:w="432" w:type="pct"/>
                  <w:tcBorders>
                    <w:tl2br w:val="nil"/>
                    <w:tr2bl w:val="nil"/>
                  </w:tcBorders>
                  <w:noWrap w:val="0"/>
                  <w:tcMar>
                    <w:top w:w="0" w:type="dxa"/>
                    <w:left w:w="0" w:type="dxa"/>
                    <w:bottom w:w="0" w:type="dxa"/>
                    <w:right w:w="0" w:type="dxa"/>
                  </w:tcMar>
                  <w:vAlign w:val="center"/>
                </w:tcPr>
                <w:p w14:paraId="1EAF8E1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0.177 </w:t>
                  </w:r>
                </w:p>
              </w:tc>
              <w:tc>
                <w:tcPr>
                  <w:tcW w:w="477" w:type="pct"/>
                  <w:tcBorders>
                    <w:tl2br w:val="nil"/>
                    <w:tr2bl w:val="nil"/>
                  </w:tcBorders>
                  <w:noWrap w:val="0"/>
                  <w:tcMar>
                    <w:top w:w="0" w:type="dxa"/>
                    <w:left w:w="0" w:type="dxa"/>
                    <w:bottom w:w="0" w:type="dxa"/>
                    <w:right w:w="0" w:type="dxa"/>
                  </w:tcMar>
                  <w:vAlign w:val="center"/>
                </w:tcPr>
                <w:p w14:paraId="0CD53B6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4.4 </w:t>
                  </w:r>
                </w:p>
              </w:tc>
              <w:tc>
                <w:tcPr>
                  <w:tcW w:w="342" w:type="pct"/>
                  <w:vMerge w:val="continue"/>
                  <w:tcBorders>
                    <w:tl2br w:val="nil"/>
                    <w:tr2bl w:val="nil"/>
                  </w:tcBorders>
                  <w:noWrap w:val="0"/>
                  <w:tcMar>
                    <w:top w:w="0" w:type="dxa"/>
                    <w:left w:w="0" w:type="dxa"/>
                    <w:bottom w:w="0" w:type="dxa"/>
                    <w:right w:w="0" w:type="dxa"/>
                  </w:tcMar>
                  <w:vAlign w:val="center"/>
                </w:tcPr>
                <w:p w14:paraId="73A5497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2A32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vMerge w:val="continue"/>
                  <w:tcBorders>
                    <w:tl2br w:val="nil"/>
                    <w:tr2bl w:val="nil"/>
                  </w:tcBorders>
                  <w:noWrap w:val="0"/>
                  <w:tcMar>
                    <w:top w:w="0" w:type="dxa"/>
                    <w:left w:w="0" w:type="dxa"/>
                    <w:bottom w:w="0" w:type="dxa"/>
                    <w:right w:w="0" w:type="dxa"/>
                  </w:tcMar>
                  <w:vAlign w:val="center"/>
                </w:tcPr>
                <w:p w14:paraId="7F06BB1E">
                  <w:pPr>
                    <w:pStyle w:val="109"/>
                    <w:bidi w:val="0"/>
                    <w:rPr>
                      <w:rFonts w:hint="default" w:ascii="Times New Roman" w:hAnsi="Times New Roman" w:cs="Times New Roman"/>
                      <w:bCs/>
                      <w:color w:val="000000" w:themeColor="text1"/>
                      <w:sz w:val="21"/>
                      <w:szCs w:val="21"/>
                      <w:highlight w:val="none"/>
                      <w14:textFill>
                        <w14:solidFill>
                          <w14:schemeClr w14:val="tx1"/>
                        </w14:solidFill>
                      </w14:textFill>
                    </w:rPr>
                  </w:pPr>
                </w:p>
              </w:tc>
              <w:tc>
                <w:tcPr>
                  <w:tcW w:w="394" w:type="pct"/>
                  <w:tcBorders>
                    <w:tl2br w:val="nil"/>
                    <w:tr2bl w:val="nil"/>
                  </w:tcBorders>
                  <w:noWrap w:val="0"/>
                  <w:tcMar>
                    <w:top w:w="0" w:type="dxa"/>
                    <w:left w:w="0" w:type="dxa"/>
                    <w:bottom w:w="0" w:type="dxa"/>
                    <w:right w:w="0" w:type="dxa"/>
                  </w:tcMar>
                  <w:vAlign w:val="center"/>
                </w:tcPr>
                <w:p w14:paraId="33AC6F5F">
                  <w:pPr>
                    <w:keepNext w:val="0"/>
                    <w:keepLines w:val="0"/>
                    <w:widowControl/>
                    <w:suppressLineNumbers w:val="0"/>
                    <w:jc w:val="center"/>
                    <w:textAlignment w:val="cente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颗粒物</w:t>
                  </w:r>
                </w:p>
              </w:tc>
              <w:tc>
                <w:tcPr>
                  <w:tcW w:w="340" w:type="pct"/>
                  <w:tcBorders>
                    <w:tl2br w:val="nil"/>
                    <w:tr2bl w:val="nil"/>
                  </w:tcBorders>
                  <w:noWrap w:val="0"/>
                  <w:tcMar>
                    <w:top w:w="0" w:type="dxa"/>
                    <w:left w:w="0" w:type="dxa"/>
                    <w:bottom w:w="0" w:type="dxa"/>
                    <w:right w:w="0" w:type="dxa"/>
                  </w:tcMar>
                  <w:vAlign w:val="center"/>
                </w:tcPr>
                <w:p w14:paraId="444AC8B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0.052 </w:t>
                  </w:r>
                </w:p>
              </w:tc>
              <w:tc>
                <w:tcPr>
                  <w:tcW w:w="418" w:type="pct"/>
                  <w:tcBorders>
                    <w:tl2br w:val="nil"/>
                    <w:tr2bl w:val="nil"/>
                  </w:tcBorders>
                  <w:noWrap w:val="0"/>
                  <w:tcMar>
                    <w:top w:w="0" w:type="dxa"/>
                    <w:left w:w="0" w:type="dxa"/>
                    <w:bottom w:w="0" w:type="dxa"/>
                    <w:right w:w="0" w:type="dxa"/>
                  </w:tcMar>
                  <w:vAlign w:val="center"/>
                </w:tcPr>
                <w:p w14:paraId="566900A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0.027 </w:t>
                  </w:r>
                </w:p>
              </w:tc>
              <w:tc>
                <w:tcPr>
                  <w:tcW w:w="429" w:type="pct"/>
                  <w:tcBorders>
                    <w:tl2br w:val="nil"/>
                    <w:tr2bl w:val="nil"/>
                  </w:tcBorders>
                  <w:noWrap w:val="0"/>
                  <w:tcMar>
                    <w:top w:w="0" w:type="dxa"/>
                    <w:left w:w="0" w:type="dxa"/>
                    <w:bottom w:w="0" w:type="dxa"/>
                    <w:right w:w="0" w:type="dxa"/>
                  </w:tcMar>
                  <w:vAlign w:val="center"/>
                </w:tcPr>
                <w:p w14:paraId="70EBCC3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0.7 </w:t>
                  </w:r>
                </w:p>
              </w:tc>
              <w:tc>
                <w:tcPr>
                  <w:tcW w:w="352" w:type="pct"/>
                  <w:vMerge w:val="continue"/>
                  <w:tcBorders>
                    <w:tl2br w:val="nil"/>
                    <w:tr2bl w:val="nil"/>
                  </w:tcBorders>
                  <w:noWrap w:val="0"/>
                  <w:tcMar>
                    <w:top w:w="0" w:type="dxa"/>
                    <w:left w:w="0" w:type="dxa"/>
                    <w:bottom w:w="0" w:type="dxa"/>
                    <w:right w:w="0" w:type="dxa"/>
                  </w:tcMar>
                  <w:vAlign w:val="center"/>
                </w:tcPr>
                <w:p w14:paraId="3E0F9046">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432" w:type="pct"/>
                  <w:vMerge w:val="continue"/>
                  <w:tcBorders>
                    <w:tl2br w:val="nil"/>
                    <w:tr2bl w:val="nil"/>
                  </w:tcBorders>
                  <w:noWrap w:val="0"/>
                  <w:tcMar>
                    <w:top w:w="0" w:type="dxa"/>
                    <w:left w:w="0" w:type="dxa"/>
                    <w:bottom w:w="0" w:type="dxa"/>
                    <w:right w:w="0" w:type="dxa"/>
                  </w:tcMar>
                  <w:vAlign w:val="center"/>
                </w:tcPr>
                <w:p w14:paraId="3ECD73C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286" w:type="pct"/>
                  <w:tcBorders>
                    <w:tl2br w:val="nil"/>
                    <w:tr2bl w:val="nil"/>
                  </w:tcBorders>
                  <w:noWrap w:val="0"/>
                  <w:tcMar>
                    <w:top w:w="0" w:type="dxa"/>
                    <w:left w:w="0" w:type="dxa"/>
                    <w:bottom w:w="0" w:type="dxa"/>
                    <w:right w:w="0" w:type="dxa"/>
                  </w:tcMar>
                  <w:vAlign w:val="center"/>
                </w:tcPr>
                <w:p w14:paraId="58F3E0B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w:t>
                  </w:r>
                </w:p>
              </w:tc>
              <w:tc>
                <w:tcPr>
                  <w:tcW w:w="261" w:type="pct"/>
                  <w:tcBorders>
                    <w:tl2br w:val="nil"/>
                    <w:tr2bl w:val="nil"/>
                  </w:tcBorders>
                  <w:noWrap w:val="0"/>
                  <w:tcMar>
                    <w:top w:w="0" w:type="dxa"/>
                    <w:left w:w="0" w:type="dxa"/>
                    <w:bottom w:w="0" w:type="dxa"/>
                    <w:right w:w="0" w:type="dxa"/>
                  </w:tcMar>
                  <w:vAlign w:val="center"/>
                </w:tcPr>
                <w:p w14:paraId="14E3045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0" w:type="pct"/>
                  <w:tcBorders>
                    <w:tl2br w:val="nil"/>
                    <w:tr2bl w:val="nil"/>
                  </w:tcBorders>
                  <w:noWrap w:val="0"/>
                  <w:tcMar>
                    <w:top w:w="0" w:type="dxa"/>
                    <w:left w:w="0" w:type="dxa"/>
                    <w:bottom w:w="0" w:type="dxa"/>
                    <w:right w:w="0" w:type="dxa"/>
                  </w:tcMar>
                  <w:vAlign w:val="center"/>
                </w:tcPr>
                <w:p w14:paraId="0189987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0.052 </w:t>
                  </w:r>
                </w:p>
              </w:tc>
              <w:tc>
                <w:tcPr>
                  <w:tcW w:w="432" w:type="pct"/>
                  <w:tcBorders>
                    <w:tl2br w:val="nil"/>
                    <w:tr2bl w:val="nil"/>
                  </w:tcBorders>
                  <w:noWrap w:val="0"/>
                  <w:tcMar>
                    <w:top w:w="0" w:type="dxa"/>
                    <w:left w:w="0" w:type="dxa"/>
                    <w:bottom w:w="0" w:type="dxa"/>
                    <w:right w:w="0" w:type="dxa"/>
                  </w:tcMar>
                  <w:vAlign w:val="center"/>
                </w:tcPr>
                <w:p w14:paraId="254B419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0.027 </w:t>
                  </w:r>
                </w:p>
              </w:tc>
              <w:tc>
                <w:tcPr>
                  <w:tcW w:w="477" w:type="pct"/>
                  <w:tcBorders>
                    <w:tl2br w:val="nil"/>
                    <w:tr2bl w:val="nil"/>
                  </w:tcBorders>
                  <w:noWrap w:val="0"/>
                  <w:tcMar>
                    <w:top w:w="0" w:type="dxa"/>
                    <w:left w:w="0" w:type="dxa"/>
                    <w:bottom w:w="0" w:type="dxa"/>
                    <w:right w:w="0" w:type="dxa"/>
                  </w:tcMar>
                  <w:vAlign w:val="center"/>
                </w:tcPr>
                <w:p w14:paraId="10EC65E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0.7 </w:t>
                  </w:r>
                </w:p>
              </w:tc>
              <w:tc>
                <w:tcPr>
                  <w:tcW w:w="342" w:type="pct"/>
                  <w:vMerge w:val="continue"/>
                  <w:tcBorders>
                    <w:tl2br w:val="nil"/>
                    <w:tr2bl w:val="nil"/>
                  </w:tcBorders>
                  <w:noWrap w:val="0"/>
                  <w:tcMar>
                    <w:top w:w="0" w:type="dxa"/>
                    <w:left w:w="0" w:type="dxa"/>
                    <w:bottom w:w="0" w:type="dxa"/>
                    <w:right w:w="0" w:type="dxa"/>
                  </w:tcMar>
                  <w:vAlign w:val="center"/>
                </w:tcPr>
                <w:p w14:paraId="2A624F4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15792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4" w:type="pct"/>
                  <w:vMerge w:val="continue"/>
                  <w:tcBorders>
                    <w:tl2br w:val="nil"/>
                    <w:tr2bl w:val="nil"/>
                  </w:tcBorders>
                  <w:noWrap w:val="0"/>
                  <w:tcMar>
                    <w:top w:w="0" w:type="dxa"/>
                    <w:left w:w="0" w:type="dxa"/>
                    <w:bottom w:w="0" w:type="dxa"/>
                    <w:right w:w="0" w:type="dxa"/>
                  </w:tcMar>
                  <w:vAlign w:val="center"/>
                </w:tcPr>
                <w:p w14:paraId="1473C5FA">
                  <w:pPr>
                    <w:pStyle w:val="109"/>
                    <w:bidi w:val="0"/>
                    <w:rPr>
                      <w:rFonts w:hint="default" w:ascii="Times New Roman" w:hAnsi="Times New Roman" w:cs="Times New Roman"/>
                      <w:bCs/>
                      <w:color w:val="000000" w:themeColor="text1"/>
                      <w:sz w:val="21"/>
                      <w:szCs w:val="21"/>
                      <w:highlight w:val="none"/>
                      <w14:textFill>
                        <w14:solidFill>
                          <w14:schemeClr w14:val="tx1"/>
                        </w14:solidFill>
                      </w14:textFill>
                    </w:rPr>
                  </w:pPr>
                </w:p>
              </w:tc>
              <w:tc>
                <w:tcPr>
                  <w:tcW w:w="394" w:type="pct"/>
                  <w:tcBorders>
                    <w:tl2br w:val="nil"/>
                    <w:tr2bl w:val="nil"/>
                  </w:tcBorders>
                  <w:shd w:val="clear" w:color="auto" w:fill="auto"/>
                  <w:noWrap w:val="0"/>
                  <w:tcMar>
                    <w:top w:w="0" w:type="dxa"/>
                    <w:left w:w="0" w:type="dxa"/>
                    <w:bottom w:w="0" w:type="dxa"/>
                    <w:right w:w="0" w:type="dxa"/>
                  </w:tcMar>
                  <w:vAlign w:val="center"/>
                </w:tcPr>
                <w:p w14:paraId="53FAD01D">
                  <w:pPr>
                    <w:keepNext w:val="0"/>
                    <w:keepLines w:val="0"/>
                    <w:widowControl/>
                    <w:suppressLineNumbers w:val="0"/>
                    <w:jc w:val="center"/>
                    <w:textAlignment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非甲烷总烃</w:t>
                  </w:r>
                </w:p>
              </w:tc>
              <w:tc>
                <w:tcPr>
                  <w:tcW w:w="340" w:type="pct"/>
                  <w:tcBorders>
                    <w:tl2br w:val="nil"/>
                    <w:tr2bl w:val="nil"/>
                  </w:tcBorders>
                  <w:noWrap w:val="0"/>
                  <w:tcMar>
                    <w:top w:w="0" w:type="dxa"/>
                    <w:left w:w="0" w:type="dxa"/>
                    <w:bottom w:w="0" w:type="dxa"/>
                    <w:right w:w="0" w:type="dxa"/>
                  </w:tcMar>
                  <w:vAlign w:val="center"/>
                </w:tcPr>
                <w:p w14:paraId="2DBDCA1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0.018 </w:t>
                  </w:r>
                </w:p>
              </w:tc>
              <w:tc>
                <w:tcPr>
                  <w:tcW w:w="418" w:type="pct"/>
                  <w:tcBorders>
                    <w:tl2br w:val="nil"/>
                    <w:tr2bl w:val="nil"/>
                  </w:tcBorders>
                  <w:noWrap w:val="0"/>
                  <w:tcMar>
                    <w:top w:w="0" w:type="dxa"/>
                    <w:left w:w="0" w:type="dxa"/>
                    <w:bottom w:w="0" w:type="dxa"/>
                    <w:right w:w="0" w:type="dxa"/>
                  </w:tcMar>
                  <w:vAlign w:val="center"/>
                </w:tcPr>
                <w:p w14:paraId="48E9FC9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0.009 </w:t>
                  </w:r>
                </w:p>
              </w:tc>
              <w:tc>
                <w:tcPr>
                  <w:tcW w:w="429" w:type="pct"/>
                  <w:tcBorders>
                    <w:tl2br w:val="nil"/>
                    <w:tr2bl w:val="nil"/>
                  </w:tcBorders>
                  <w:noWrap w:val="0"/>
                  <w:tcMar>
                    <w:top w:w="0" w:type="dxa"/>
                    <w:left w:w="0" w:type="dxa"/>
                    <w:bottom w:w="0" w:type="dxa"/>
                    <w:right w:w="0" w:type="dxa"/>
                  </w:tcMar>
                  <w:vAlign w:val="center"/>
                </w:tcPr>
                <w:p w14:paraId="0581828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52" w:type="pct"/>
                  <w:vMerge w:val="restart"/>
                  <w:tcBorders>
                    <w:tl2br w:val="nil"/>
                    <w:tr2bl w:val="nil"/>
                  </w:tcBorders>
                  <w:noWrap w:val="0"/>
                  <w:tcMar>
                    <w:top w:w="0" w:type="dxa"/>
                    <w:left w:w="0" w:type="dxa"/>
                    <w:bottom w:w="0" w:type="dxa"/>
                    <w:right w:w="0" w:type="dxa"/>
                  </w:tcMar>
                  <w:vAlign w:val="center"/>
                </w:tcPr>
                <w:p w14:paraId="7E27EBC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无组织</w:t>
                  </w:r>
                </w:p>
              </w:tc>
              <w:tc>
                <w:tcPr>
                  <w:tcW w:w="432" w:type="pct"/>
                  <w:tcBorders>
                    <w:tl2br w:val="nil"/>
                    <w:tr2bl w:val="nil"/>
                  </w:tcBorders>
                  <w:noWrap w:val="0"/>
                  <w:tcMar>
                    <w:top w:w="0" w:type="dxa"/>
                    <w:left w:w="0" w:type="dxa"/>
                    <w:bottom w:w="0" w:type="dxa"/>
                    <w:right w:w="0" w:type="dxa"/>
                  </w:tcMar>
                  <w:vAlign w:val="center"/>
                </w:tcPr>
                <w:p w14:paraId="40E210B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286" w:type="pct"/>
                  <w:tcBorders>
                    <w:tl2br w:val="nil"/>
                    <w:tr2bl w:val="nil"/>
                  </w:tcBorders>
                  <w:noWrap w:val="0"/>
                  <w:tcMar>
                    <w:top w:w="0" w:type="dxa"/>
                    <w:left w:w="0" w:type="dxa"/>
                    <w:bottom w:w="0" w:type="dxa"/>
                    <w:right w:w="0" w:type="dxa"/>
                  </w:tcMar>
                  <w:vAlign w:val="center"/>
                </w:tcPr>
                <w:p w14:paraId="426469D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261" w:type="pct"/>
                  <w:tcBorders>
                    <w:tl2br w:val="nil"/>
                    <w:tr2bl w:val="nil"/>
                  </w:tcBorders>
                  <w:noWrap w:val="0"/>
                  <w:tcMar>
                    <w:top w:w="0" w:type="dxa"/>
                    <w:left w:w="0" w:type="dxa"/>
                    <w:bottom w:w="0" w:type="dxa"/>
                    <w:right w:w="0" w:type="dxa"/>
                  </w:tcMar>
                  <w:vAlign w:val="center"/>
                </w:tcPr>
                <w:p w14:paraId="34B3487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0" w:type="pct"/>
                  <w:tcBorders>
                    <w:tl2br w:val="nil"/>
                    <w:tr2bl w:val="nil"/>
                  </w:tcBorders>
                  <w:noWrap w:val="0"/>
                  <w:tcMar>
                    <w:top w:w="0" w:type="dxa"/>
                    <w:left w:w="0" w:type="dxa"/>
                    <w:bottom w:w="0" w:type="dxa"/>
                    <w:right w:w="0" w:type="dxa"/>
                  </w:tcMar>
                  <w:vAlign w:val="center"/>
                </w:tcPr>
                <w:p w14:paraId="1E40AF5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0.018 </w:t>
                  </w:r>
                </w:p>
              </w:tc>
              <w:tc>
                <w:tcPr>
                  <w:tcW w:w="432" w:type="pct"/>
                  <w:tcBorders>
                    <w:tl2br w:val="nil"/>
                    <w:tr2bl w:val="nil"/>
                  </w:tcBorders>
                  <w:noWrap w:val="0"/>
                  <w:tcMar>
                    <w:top w:w="0" w:type="dxa"/>
                    <w:left w:w="0" w:type="dxa"/>
                    <w:bottom w:w="0" w:type="dxa"/>
                    <w:right w:w="0" w:type="dxa"/>
                  </w:tcMar>
                  <w:vAlign w:val="center"/>
                </w:tcPr>
                <w:p w14:paraId="509D4A9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0.009 </w:t>
                  </w:r>
                </w:p>
              </w:tc>
              <w:tc>
                <w:tcPr>
                  <w:tcW w:w="477" w:type="pct"/>
                  <w:tcBorders>
                    <w:tl2br w:val="nil"/>
                    <w:tr2bl w:val="nil"/>
                  </w:tcBorders>
                  <w:noWrap w:val="0"/>
                  <w:tcMar>
                    <w:top w:w="0" w:type="dxa"/>
                    <w:left w:w="0" w:type="dxa"/>
                    <w:bottom w:w="0" w:type="dxa"/>
                    <w:right w:w="0" w:type="dxa"/>
                  </w:tcMar>
                  <w:vAlign w:val="center"/>
                </w:tcPr>
                <w:p w14:paraId="0C0A497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2" w:type="pct"/>
                  <w:vMerge w:val="continue"/>
                  <w:tcBorders>
                    <w:tl2br w:val="nil"/>
                    <w:tr2bl w:val="nil"/>
                  </w:tcBorders>
                  <w:noWrap w:val="0"/>
                  <w:tcMar>
                    <w:top w:w="0" w:type="dxa"/>
                    <w:left w:w="0" w:type="dxa"/>
                    <w:bottom w:w="0" w:type="dxa"/>
                    <w:right w:w="0" w:type="dxa"/>
                  </w:tcMar>
                  <w:vAlign w:val="center"/>
                </w:tcPr>
                <w:p w14:paraId="5A11921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068E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vMerge w:val="continue"/>
                  <w:tcBorders>
                    <w:tl2br w:val="nil"/>
                    <w:tr2bl w:val="nil"/>
                  </w:tcBorders>
                  <w:noWrap w:val="0"/>
                  <w:tcMar>
                    <w:top w:w="0" w:type="dxa"/>
                    <w:left w:w="0" w:type="dxa"/>
                    <w:bottom w:w="0" w:type="dxa"/>
                    <w:right w:w="0" w:type="dxa"/>
                  </w:tcMar>
                  <w:vAlign w:val="center"/>
                </w:tcPr>
                <w:p w14:paraId="03844130">
                  <w:pPr>
                    <w:pStyle w:val="109"/>
                    <w:bidi w:val="0"/>
                    <w:rPr>
                      <w:rFonts w:hint="default" w:ascii="Times New Roman" w:hAnsi="Times New Roman" w:cs="Times New Roman"/>
                      <w:bCs/>
                      <w:color w:val="000000" w:themeColor="text1"/>
                      <w:sz w:val="21"/>
                      <w:szCs w:val="21"/>
                      <w:highlight w:val="none"/>
                      <w14:textFill>
                        <w14:solidFill>
                          <w14:schemeClr w14:val="tx1"/>
                        </w14:solidFill>
                      </w14:textFill>
                    </w:rPr>
                  </w:pPr>
                </w:p>
              </w:tc>
              <w:tc>
                <w:tcPr>
                  <w:tcW w:w="394" w:type="pct"/>
                  <w:tcBorders>
                    <w:tl2br w:val="nil"/>
                    <w:tr2bl w:val="nil"/>
                  </w:tcBorders>
                  <w:shd w:val="clear" w:color="auto" w:fill="auto"/>
                  <w:noWrap w:val="0"/>
                  <w:tcMar>
                    <w:top w:w="0" w:type="dxa"/>
                    <w:left w:w="0" w:type="dxa"/>
                    <w:bottom w:w="0" w:type="dxa"/>
                    <w:right w:w="0" w:type="dxa"/>
                  </w:tcMar>
                  <w:vAlign w:val="center"/>
                </w:tcPr>
                <w:p w14:paraId="79FA61D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苯系物</w:t>
                  </w:r>
                </w:p>
              </w:tc>
              <w:tc>
                <w:tcPr>
                  <w:tcW w:w="340" w:type="pct"/>
                  <w:tcBorders>
                    <w:tl2br w:val="nil"/>
                    <w:tr2bl w:val="nil"/>
                  </w:tcBorders>
                  <w:noWrap w:val="0"/>
                  <w:tcMar>
                    <w:top w:w="0" w:type="dxa"/>
                    <w:left w:w="0" w:type="dxa"/>
                    <w:bottom w:w="0" w:type="dxa"/>
                    <w:right w:w="0" w:type="dxa"/>
                  </w:tcMar>
                  <w:vAlign w:val="center"/>
                </w:tcPr>
                <w:p w14:paraId="759BE37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0.004 </w:t>
                  </w:r>
                </w:p>
              </w:tc>
              <w:tc>
                <w:tcPr>
                  <w:tcW w:w="418" w:type="pct"/>
                  <w:tcBorders>
                    <w:tl2br w:val="nil"/>
                    <w:tr2bl w:val="nil"/>
                  </w:tcBorders>
                  <w:noWrap w:val="0"/>
                  <w:tcMar>
                    <w:top w:w="0" w:type="dxa"/>
                    <w:left w:w="0" w:type="dxa"/>
                    <w:bottom w:w="0" w:type="dxa"/>
                    <w:right w:w="0" w:type="dxa"/>
                  </w:tcMar>
                  <w:vAlign w:val="center"/>
                </w:tcPr>
                <w:p w14:paraId="6CFE0CB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0.002 </w:t>
                  </w:r>
                </w:p>
              </w:tc>
              <w:tc>
                <w:tcPr>
                  <w:tcW w:w="429" w:type="pct"/>
                  <w:tcBorders>
                    <w:tl2br w:val="nil"/>
                    <w:tr2bl w:val="nil"/>
                  </w:tcBorders>
                  <w:noWrap w:val="0"/>
                  <w:tcMar>
                    <w:top w:w="0" w:type="dxa"/>
                    <w:left w:w="0" w:type="dxa"/>
                    <w:bottom w:w="0" w:type="dxa"/>
                    <w:right w:w="0" w:type="dxa"/>
                  </w:tcMar>
                  <w:vAlign w:val="center"/>
                </w:tcPr>
                <w:p w14:paraId="0E6652D6">
                  <w:pPr>
                    <w:jc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c>
                <w:tcPr>
                  <w:tcW w:w="352" w:type="pct"/>
                  <w:vMerge w:val="continue"/>
                  <w:tcBorders>
                    <w:tl2br w:val="nil"/>
                    <w:tr2bl w:val="nil"/>
                  </w:tcBorders>
                  <w:noWrap w:val="0"/>
                  <w:tcMar>
                    <w:top w:w="0" w:type="dxa"/>
                    <w:left w:w="0" w:type="dxa"/>
                    <w:bottom w:w="0" w:type="dxa"/>
                    <w:right w:w="0" w:type="dxa"/>
                  </w:tcMar>
                  <w:vAlign w:val="center"/>
                </w:tcPr>
                <w:p w14:paraId="6C0B852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p>
              </w:tc>
              <w:tc>
                <w:tcPr>
                  <w:tcW w:w="432" w:type="pct"/>
                  <w:tcBorders>
                    <w:tl2br w:val="nil"/>
                    <w:tr2bl w:val="nil"/>
                  </w:tcBorders>
                  <w:noWrap w:val="0"/>
                  <w:tcMar>
                    <w:top w:w="0" w:type="dxa"/>
                    <w:left w:w="0" w:type="dxa"/>
                    <w:bottom w:w="0" w:type="dxa"/>
                    <w:right w:w="0" w:type="dxa"/>
                  </w:tcMar>
                  <w:vAlign w:val="center"/>
                </w:tcPr>
                <w:p w14:paraId="428B1D8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286" w:type="pct"/>
                  <w:tcBorders>
                    <w:tl2br w:val="nil"/>
                    <w:tr2bl w:val="nil"/>
                  </w:tcBorders>
                  <w:noWrap w:val="0"/>
                  <w:tcMar>
                    <w:top w:w="0" w:type="dxa"/>
                    <w:left w:w="0" w:type="dxa"/>
                    <w:bottom w:w="0" w:type="dxa"/>
                    <w:right w:w="0" w:type="dxa"/>
                  </w:tcMar>
                  <w:vAlign w:val="center"/>
                </w:tcPr>
                <w:p w14:paraId="4F8105A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261" w:type="pct"/>
                  <w:tcBorders>
                    <w:tl2br w:val="nil"/>
                    <w:tr2bl w:val="nil"/>
                  </w:tcBorders>
                  <w:noWrap w:val="0"/>
                  <w:tcMar>
                    <w:top w:w="0" w:type="dxa"/>
                    <w:left w:w="0" w:type="dxa"/>
                    <w:bottom w:w="0" w:type="dxa"/>
                    <w:right w:w="0" w:type="dxa"/>
                  </w:tcMar>
                  <w:vAlign w:val="center"/>
                </w:tcPr>
                <w:p w14:paraId="7427CDC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0" w:type="pct"/>
                  <w:tcBorders>
                    <w:tl2br w:val="nil"/>
                    <w:tr2bl w:val="nil"/>
                  </w:tcBorders>
                  <w:noWrap w:val="0"/>
                  <w:tcMar>
                    <w:top w:w="0" w:type="dxa"/>
                    <w:left w:w="0" w:type="dxa"/>
                    <w:bottom w:w="0" w:type="dxa"/>
                    <w:right w:w="0" w:type="dxa"/>
                  </w:tcMar>
                  <w:vAlign w:val="center"/>
                </w:tcPr>
                <w:p w14:paraId="2C20AD2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0.004 </w:t>
                  </w:r>
                </w:p>
              </w:tc>
              <w:tc>
                <w:tcPr>
                  <w:tcW w:w="432" w:type="pct"/>
                  <w:tcBorders>
                    <w:tl2br w:val="nil"/>
                    <w:tr2bl w:val="nil"/>
                  </w:tcBorders>
                  <w:noWrap w:val="0"/>
                  <w:tcMar>
                    <w:top w:w="0" w:type="dxa"/>
                    <w:left w:w="0" w:type="dxa"/>
                    <w:bottom w:w="0" w:type="dxa"/>
                    <w:right w:w="0" w:type="dxa"/>
                  </w:tcMar>
                  <w:vAlign w:val="center"/>
                </w:tcPr>
                <w:p w14:paraId="6A0933E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0.002 </w:t>
                  </w:r>
                </w:p>
              </w:tc>
              <w:tc>
                <w:tcPr>
                  <w:tcW w:w="477" w:type="pct"/>
                  <w:tcBorders>
                    <w:tl2br w:val="nil"/>
                    <w:tr2bl w:val="nil"/>
                  </w:tcBorders>
                  <w:noWrap w:val="0"/>
                  <w:tcMar>
                    <w:top w:w="0" w:type="dxa"/>
                    <w:left w:w="0" w:type="dxa"/>
                    <w:bottom w:w="0" w:type="dxa"/>
                    <w:right w:w="0" w:type="dxa"/>
                  </w:tcMar>
                  <w:vAlign w:val="center"/>
                </w:tcPr>
                <w:p w14:paraId="3215EDB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2" w:type="pct"/>
                  <w:vMerge w:val="continue"/>
                  <w:tcBorders>
                    <w:tl2br w:val="nil"/>
                    <w:tr2bl w:val="nil"/>
                  </w:tcBorders>
                  <w:noWrap w:val="0"/>
                  <w:tcMar>
                    <w:top w:w="0" w:type="dxa"/>
                    <w:left w:w="0" w:type="dxa"/>
                    <w:bottom w:w="0" w:type="dxa"/>
                    <w:right w:w="0" w:type="dxa"/>
                  </w:tcMar>
                  <w:vAlign w:val="center"/>
                </w:tcPr>
                <w:p w14:paraId="56B4042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6699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vMerge w:val="continue"/>
                  <w:tcBorders>
                    <w:tl2br w:val="nil"/>
                    <w:tr2bl w:val="nil"/>
                  </w:tcBorders>
                  <w:noWrap w:val="0"/>
                  <w:tcMar>
                    <w:top w:w="0" w:type="dxa"/>
                    <w:left w:w="0" w:type="dxa"/>
                    <w:bottom w:w="0" w:type="dxa"/>
                    <w:right w:w="0" w:type="dxa"/>
                  </w:tcMar>
                  <w:vAlign w:val="center"/>
                </w:tcPr>
                <w:p w14:paraId="532EEC65">
                  <w:pPr>
                    <w:pStyle w:val="109"/>
                    <w:bidi w:val="0"/>
                    <w:rPr>
                      <w:rFonts w:hint="default" w:ascii="Times New Roman" w:hAnsi="Times New Roman" w:cs="Times New Roman"/>
                      <w:bCs/>
                      <w:color w:val="000000" w:themeColor="text1"/>
                      <w:sz w:val="21"/>
                      <w:szCs w:val="21"/>
                      <w:highlight w:val="none"/>
                      <w14:textFill>
                        <w14:solidFill>
                          <w14:schemeClr w14:val="tx1"/>
                        </w14:solidFill>
                      </w14:textFill>
                    </w:rPr>
                  </w:pPr>
                </w:p>
              </w:tc>
              <w:tc>
                <w:tcPr>
                  <w:tcW w:w="394" w:type="pct"/>
                  <w:tcBorders>
                    <w:tl2br w:val="nil"/>
                    <w:tr2bl w:val="nil"/>
                  </w:tcBorders>
                  <w:shd w:val="clear" w:color="auto" w:fill="auto"/>
                  <w:noWrap w:val="0"/>
                  <w:tcMar>
                    <w:top w:w="0" w:type="dxa"/>
                    <w:left w:w="0" w:type="dxa"/>
                    <w:bottom w:w="0" w:type="dxa"/>
                    <w:right w:w="0" w:type="dxa"/>
                  </w:tcMar>
                  <w:vAlign w:val="center"/>
                </w:tcPr>
                <w:p w14:paraId="716166AE">
                  <w:pPr>
                    <w:keepNext w:val="0"/>
                    <w:keepLines w:val="0"/>
                    <w:widowControl/>
                    <w:suppressLineNumbers w:val="0"/>
                    <w:jc w:val="center"/>
                    <w:textAlignment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臭气浓度</w:t>
                  </w:r>
                </w:p>
              </w:tc>
              <w:tc>
                <w:tcPr>
                  <w:tcW w:w="340" w:type="pct"/>
                  <w:tcBorders>
                    <w:tl2br w:val="nil"/>
                    <w:tr2bl w:val="nil"/>
                  </w:tcBorders>
                  <w:noWrap w:val="0"/>
                  <w:tcMar>
                    <w:top w:w="0" w:type="dxa"/>
                    <w:left w:w="0" w:type="dxa"/>
                    <w:bottom w:w="0" w:type="dxa"/>
                    <w:right w:w="0" w:type="dxa"/>
                  </w:tcMar>
                  <w:vAlign w:val="center"/>
                </w:tcPr>
                <w:p w14:paraId="01A3445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18" w:type="pct"/>
                  <w:tcBorders>
                    <w:tl2br w:val="nil"/>
                    <w:tr2bl w:val="nil"/>
                  </w:tcBorders>
                  <w:noWrap w:val="0"/>
                  <w:tcMar>
                    <w:top w:w="0" w:type="dxa"/>
                    <w:left w:w="0" w:type="dxa"/>
                    <w:bottom w:w="0" w:type="dxa"/>
                    <w:right w:w="0" w:type="dxa"/>
                  </w:tcMar>
                  <w:vAlign w:val="center"/>
                </w:tcPr>
                <w:p w14:paraId="070D952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29" w:type="pct"/>
                  <w:tcBorders>
                    <w:tl2br w:val="nil"/>
                    <w:tr2bl w:val="nil"/>
                  </w:tcBorders>
                  <w:noWrap w:val="0"/>
                  <w:tcMar>
                    <w:top w:w="0" w:type="dxa"/>
                    <w:left w:w="0" w:type="dxa"/>
                    <w:bottom w:w="0" w:type="dxa"/>
                    <w:right w:w="0" w:type="dxa"/>
                  </w:tcMar>
                  <w:vAlign w:val="center"/>
                </w:tcPr>
                <w:p w14:paraId="5B77580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52" w:type="pct"/>
                  <w:vMerge w:val="continue"/>
                  <w:tcBorders>
                    <w:tl2br w:val="nil"/>
                    <w:tr2bl w:val="nil"/>
                  </w:tcBorders>
                  <w:noWrap w:val="0"/>
                  <w:tcMar>
                    <w:top w:w="0" w:type="dxa"/>
                    <w:left w:w="0" w:type="dxa"/>
                    <w:bottom w:w="0" w:type="dxa"/>
                    <w:right w:w="0" w:type="dxa"/>
                  </w:tcMar>
                  <w:vAlign w:val="center"/>
                </w:tcPr>
                <w:p w14:paraId="7EE1CA55">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432" w:type="pct"/>
                  <w:tcBorders>
                    <w:tl2br w:val="nil"/>
                    <w:tr2bl w:val="nil"/>
                  </w:tcBorders>
                  <w:noWrap w:val="0"/>
                  <w:tcMar>
                    <w:top w:w="0" w:type="dxa"/>
                    <w:left w:w="0" w:type="dxa"/>
                    <w:bottom w:w="0" w:type="dxa"/>
                    <w:right w:w="0" w:type="dxa"/>
                  </w:tcMar>
                  <w:vAlign w:val="center"/>
                </w:tcPr>
                <w:p w14:paraId="0449256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286" w:type="pct"/>
                  <w:tcBorders>
                    <w:tl2br w:val="nil"/>
                    <w:tr2bl w:val="nil"/>
                  </w:tcBorders>
                  <w:noWrap w:val="0"/>
                  <w:tcMar>
                    <w:top w:w="0" w:type="dxa"/>
                    <w:left w:w="0" w:type="dxa"/>
                    <w:bottom w:w="0" w:type="dxa"/>
                    <w:right w:w="0" w:type="dxa"/>
                  </w:tcMar>
                  <w:vAlign w:val="center"/>
                </w:tcPr>
                <w:p w14:paraId="45D1EB3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261" w:type="pct"/>
                  <w:tcBorders>
                    <w:tl2br w:val="nil"/>
                    <w:tr2bl w:val="nil"/>
                  </w:tcBorders>
                  <w:noWrap w:val="0"/>
                  <w:tcMar>
                    <w:top w:w="0" w:type="dxa"/>
                    <w:left w:w="0" w:type="dxa"/>
                    <w:bottom w:w="0" w:type="dxa"/>
                    <w:right w:w="0" w:type="dxa"/>
                  </w:tcMar>
                  <w:vAlign w:val="center"/>
                </w:tcPr>
                <w:p w14:paraId="005007E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0" w:type="pct"/>
                  <w:tcBorders>
                    <w:tl2br w:val="nil"/>
                    <w:tr2bl w:val="nil"/>
                  </w:tcBorders>
                  <w:noWrap w:val="0"/>
                  <w:tcMar>
                    <w:top w:w="0" w:type="dxa"/>
                    <w:left w:w="0" w:type="dxa"/>
                    <w:bottom w:w="0" w:type="dxa"/>
                    <w:right w:w="0" w:type="dxa"/>
                  </w:tcMar>
                  <w:vAlign w:val="center"/>
                </w:tcPr>
                <w:p w14:paraId="0FF321A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32" w:type="pct"/>
                  <w:tcBorders>
                    <w:tl2br w:val="nil"/>
                    <w:tr2bl w:val="nil"/>
                  </w:tcBorders>
                  <w:noWrap w:val="0"/>
                  <w:tcMar>
                    <w:top w:w="0" w:type="dxa"/>
                    <w:left w:w="0" w:type="dxa"/>
                    <w:bottom w:w="0" w:type="dxa"/>
                    <w:right w:w="0" w:type="dxa"/>
                  </w:tcMar>
                  <w:vAlign w:val="center"/>
                </w:tcPr>
                <w:p w14:paraId="5E7D83A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77" w:type="pct"/>
                  <w:tcBorders>
                    <w:tl2br w:val="nil"/>
                    <w:tr2bl w:val="nil"/>
                  </w:tcBorders>
                  <w:noWrap w:val="0"/>
                  <w:tcMar>
                    <w:top w:w="0" w:type="dxa"/>
                    <w:left w:w="0" w:type="dxa"/>
                    <w:bottom w:w="0" w:type="dxa"/>
                    <w:right w:w="0" w:type="dxa"/>
                  </w:tcMar>
                  <w:vAlign w:val="center"/>
                </w:tcPr>
                <w:p w14:paraId="7999AC0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2" w:type="pct"/>
                  <w:vMerge w:val="continue"/>
                  <w:tcBorders>
                    <w:tl2br w:val="nil"/>
                    <w:tr2bl w:val="nil"/>
                  </w:tcBorders>
                  <w:noWrap w:val="0"/>
                  <w:tcMar>
                    <w:top w:w="0" w:type="dxa"/>
                    <w:left w:w="0" w:type="dxa"/>
                    <w:bottom w:w="0" w:type="dxa"/>
                    <w:right w:w="0" w:type="dxa"/>
                  </w:tcMar>
                  <w:vAlign w:val="center"/>
                </w:tcPr>
                <w:p w14:paraId="51E35F8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r>
            <w:tr w14:paraId="5D5F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tcBorders>
                    <w:tl2br w:val="nil"/>
                    <w:tr2bl w:val="nil"/>
                  </w:tcBorders>
                  <w:noWrap w:val="0"/>
                  <w:tcMar>
                    <w:top w:w="0" w:type="dxa"/>
                    <w:left w:w="0" w:type="dxa"/>
                    <w:bottom w:w="0" w:type="dxa"/>
                    <w:right w:w="0" w:type="dxa"/>
                  </w:tcMar>
                  <w:vAlign w:val="center"/>
                </w:tcPr>
                <w:p w14:paraId="6B4912A9">
                  <w:pPr>
                    <w:pStyle w:val="109"/>
                    <w:bidi w:val="0"/>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脱脂工序</w:t>
                  </w:r>
                </w:p>
              </w:tc>
              <w:tc>
                <w:tcPr>
                  <w:tcW w:w="394" w:type="pct"/>
                  <w:tcBorders>
                    <w:tl2br w:val="nil"/>
                    <w:tr2bl w:val="nil"/>
                  </w:tcBorders>
                  <w:shd w:val="clear" w:color="auto" w:fill="auto"/>
                  <w:noWrap w:val="0"/>
                  <w:tcMar>
                    <w:top w:w="0" w:type="dxa"/>
                    <w:left w:w="0" w:type="dxa"/>
                    <w:bottom w:w="0" w:type="dxa"/>
                    <w:right w:w="0" w:type="dxa"/>
                  </w:tcMar>
                  <w:vAlign w:val="center"/>
                </w:tcPr>
                <w:p w14:paraId="5BA63305">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氟化物</w:t>
                  </w:r>
                </w:p>
              </w:tc>
              <w:tc>
                <w:tcPr>
                  <w:tcW w:w="340" w:type="pct"/>
                  <w:tcBorders>
                    <w:tl2br w:val="nil"/>
                    <w:tr2bl w:val="nil"/>
                  </w:tcBorders>
                  <w:noWrap w:val="0"/>
                  <w:tcMar>
                    <w:top w:w="0" w:type="dxa"/>
                    <w:left w:w="0" w:type="dxa"/>
                    <w:bottom w:w="0" w:type="dxa"/>
                    <w:right w:w="0" w:type="dxa"/>
                  </w:tcMar>
                  <w:vAlign w:val="center"/>
                </w:tcPr>
                <w:p w14:paraId="4F23ED7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18" w:type="pct"/>
                  <w:tcBorders>
                    <w:tl2br w:val="nil"/>
                    <w:tr2bl w:val="nil"/>
                  </w:tcBorders>
                  <w:noWrap w:val="0"/>
                  <w:tcMar>
                    <w:top w:w="0" w:type="dxa"/>
                    <w:left w:w="0" w:type="dxa"/>
                    <w:bottom w:w="0" w:type="dxa"/>
                    <w:right w:w="0" w:type="dxa"/>
                  </w:tcMar>
                  <w:vAlign w:val="center"/>
                </w:tcPr>
                <w:p w14:paraId="1F89A70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29" w:type="pct"/>
                  <w:tcBorders>
                    <w:tl2br w:val="nil"/>
                    <w:tr2bl w:val="nil"/>
                  </w:tcBorders>
                  <w:noWrap w:val="0"/>
                  <w:tcMar>
                    <w:top w:w="0" w:type="dxa"/>
                    <w:left w:w="0" w:type="dxa"/>
                    <w:bottom w:w="0" w:type="dxa"/>
                    <w:right w:w="0" w:type="dxa"/>
                  </w:tcMar>
                  <w:vAlign w:val="center"/>
                </w:tcPr>
                <w:p w14:paraId="6ACDB1B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52" w:type="pct"/>
                  <w:tcBorders>
                    <w:tl2br w:val="nil"/>
                    <w:tr2bl w:val="nil"/>
                  </w:tcBorders>
                  <w:noWrap w:val="0"/>
                  <w:tcMar>
                    <w:top w:w="0" w:type="dxa"/>
                    <w:left w:w="0" w:type="dxa"/>
                    <w:bottom w:w="0" w:type="dxa"/>
                    <w:right w:w="0" w:type="dxa"/>
                  </w:tcMar>
                  <w:vAlign w:val="center"/>
                </w:tcPr>
                <w:p w14:paraId="64BBC9E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无组织</w:t>
                  </w:r>
                </w:p>
              </w:tc>
              <w:tc>
                <w:tcPr>
                  <w:tcW w:w="432" w:type="pct"/>
                  <w:tcBorders>
                    <w:tl2br w:val="nil"/>
                    <w:tr2bl w:val="nil"/>
                  </w:tcBorders>
                  <w:noWrap w:val="0"/>
                  <w:tcMar>
                    <w:top w:w="0" w:type="dxa"/>
                    <w:left w:w="0" w:type="dxa"/>
                    <w:bottom w:w="0" w:type="dxa"/>
                    <w:right w:w="0" w:type="dxa"/>
                  </w:tcMar>
                  <w:vAlign w:val="center"/>
                </w:tcPr>
                <w:p w14:paraId="28102A9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286" w:type="pct"/>
                  <w:tcBorders>
                    <w:tl2br w:val="nil"/>
                    <w:tr2bl w:val="nil"/>
                  </w:tcBorders>
                  <w:noWrap w:val="0"/>
                  <w:tcMar>
                    <w:top w:w="0" w:type="dxa"/>
                    <w:left w:w="0" w:type="dxa"/>
                    <w:bottom w:w="0" w:type="dxa"/>
                    <w:right w:w="0" w:type="dxa"/>
                  </w:tcMar>
                  <w:vAlign w:val="center"/>
                </w:tcPr>
                <w:p w14:paraId="10613C7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261" w:type="pct"/>
                  <w:tcBorders>
                    <w:tl2br w:val="nil"/>
                    <w:tr2bl w:val="nil"/>
                  </w:tcBorders>
                  <w:noWrap w:val="0"/>
                  <w:tcMar>
                    <w:top w:w="0" w:type="dxa"/>
                    <w:left w:w="0" w:type="dxa"/>
                    <w:bottom w:w="0" w:type="dxa"/>
                    <w:right w:w="0" w:type="dxa"/>
                  </w:tcMar>
                  <w:vAlign w:val="center"/>
                </w:tcPr>
                <w:p w14:paraId="14B8B99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0" w:type="pct"/>
                  <w:tcBorders>
                    <w:tl2br w:val="nil"/>
                    <w:tr2bl w:val="nil"/>
                  </w:tcBorders>
                  <w:noWrap w:val="0"/>
                  <w:tcMar>
                    <w:top w:w="0" w:type="dxa"/>
                    <w:left w:w="0" w:type="dxa"/>
                    <w:bottom w:w="0" w:type="dxa"/>
                    <w:right w:w="0" w:type="dxa"/>
                  </w:tcMar>
                  <w:vAlign w:val="center"/>
                </w:tcPr>
                <w:p w14:paraId="1445266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32" w:type="pct"/>
                  <w:tcBorders>
                    <w:tl2br w:val="nil"/>
                    <w:tr2bl w:val="nil"/>
                  </w:tcBorders>
                  <w:noWrap w:val="0"/>
                  <w:tcMar>
                    <w:top w:w="0" w:type="dxa"/>
                    <w:left w:w="0" w:type="dxa"/>
                    <w:bottom w:w="0" w:type="dxa"/>
                    <w:right w:w="0" w:type="dxa"/>
                  </w:tcMar>
                  <w:vAlign w:val="center"/>
                </w:tcPr>
                <w:p w14:paraId="3DFB772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77" w:type="pct"/>
                  <w:tcBorders>
                    <w:tl2br w:val="nil"/>
                    <w:tr2bl w:val="nil"/>
                  </w:tcBorders>
                  <w:noWrap w:val="0"/>
                  <w:tcMar>
                    <w:top w:w="0" w:type="dxa"/>
                    <w:left w:w="0" w:type="dxa"/>
                    <w:bottom w:w="0" w:type="dxa"/>
                    <w:right w:w="0" w:type="dxa"/>
                  </w:tcMar>
                  <w:vAlign w:val="center"/>
                </w:tcPr>
                <w:p w14:paraId="4542DB1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2" w:type="pct"/>
                  <w:tcBorders>
                    <w:tl2br w:val="nil"/>
                    <w:tr2bl w:val="nil"/>
                  </w:tcBorders>
                  <w:noWrap w:val="0"/>
                  <w:tcMar>
                    <w:top w:w="0" w:type="dxa"/>
                    <w:left w:w="0" w:type="dxa"/>
                    <w:bottom w:w="0" w:type="dxa"/>
                    <w:right w:w="0" w:type="dxa"/>
                  </w:tcMar>
                  <w:vAlign w:val="center"/>
                </w:tcPr>
                <w:p w14:paraId="0B4A096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1928</w:t>
                  </w:r>
                </w:p>
              </w:tc>
            </w:tr>
            <w:tr w14:paraId="7CAA5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vMerge w:val="restart"/>
                  <w:tcBorders>
                    <w:tl2br w:val="nil"/>
                    <w:tr2bl w:val="nil"/>
                  </w:tcBorders>
                  <w:noWrap w:val="0"/>
                  <w:tcMar>
                    <w:top w:w="0" w:type="dxa"/>
                    <w:left w:w="0" w:type="dxa"/>
                    <w:bottom w:w="0" w:type="dxa"/>
                    <w:right w:w="0" w:type="dxa"/>
                  </w:tcMar>
                  <w:vAlign w:val="center"/>
                </w:tcPr>
                <w:p w14:paraId="3A8B00E3">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t>厨房油烟废气</w:t>
                  </w:r>
                  <w:r>
                    <w:rPr>
                      <w:rFonts w:hint="eastAsia"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t>（</w:t>
                  </w:r>
                  <w:r>
                    <w:rPr>
                      <w:rFonts w:hint="eastAsia" w:cs="Times New Roman"/>
                      <w:snapToGrid/>
                      <w:color w:val="000000" w:themeColor="text1"/>
                      <w:kern w:val="2"/>
                      <w:sz w:val="21"/>
                      <w:szCs w:val="21"/>
                      <w:highlight w:val="none"/>
                      <w:lang w:val="en-US" w:eastAsia="zh-CN"/>
                      <w14:textFill>
                        <w14:solidFill>
                          <w14:schemeClr w14:val="tx1"/>
                        </w14:solidFill>
                      </w14:textFill>
                    </w:rPr>
                    <w:t>DA003</w:t>
                  </w:r>
                  <w:r>
                    <w:rPr>
                      <w:rFonts w:hint="eastAsia"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t>）</w:t>
                  </w:r>
                </w:p>
              </w:tc>
              <w:tc>
                <w:tcPr>
                  <w:tcW w:w="394" w:type="pct"/>
                  <w:vMerge w:val="restart"/>
                  <w:tcBorders>
                    <w:tl2br w:val="nil"/>
                    <w:tr2bl w:val="nil"/>
                  </w:tcBorders>
                  <w:noWrap w:val="0"/>
                  <w:tcMar>
                    <w:top w:w="0" w:type="dxa"/>
                    <w:left w:w="0" w:type="dxa"/>
                    <w:bottom w:w="0" w:type="dxa"/>
                    <w:right w:w="0" w:type="dxa"/>
                  </w:tcMar>
                  <w:vAlign w:val="center"/>
                </w:tcPr>
                <w:p w14:paraId="27FB74AE">
                  <w:pPr>
                    <w:keepNext w:val="0"/>
                    <w:keepLines w:val="0"/>
                    <w:widowControl/>
                    <w:suppressLineNumbers w:val="0"/>
                    <w:jc w:val="center"/>
                    <w:textAlignment w:val="center"/>
                    <w:rPr>
                      <w:rFonts w:hint="eastAsia"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油烟</w:t>
                  </w:r>
                </w:p>
              </w:tc>
              <w:tc>
                <w:tcPr>
                  <w:tcW w:w="340" w:type="pct"/>
                  <w:tcBorders>
                    <w:tl2br w:val="nil"/>
                    <w:tr2bl w:val="nil"/>
                  </w:tcBorders>
                  <w:noWrap w:val="0"/>
                  <w:tcMar>
                    <w:top w:w="0" w:type="dxa"/>
                    <w:left w:w="0" w:type="dxa"/>
                    <w:bottom w:w="0" w:type="dxa"/>
                    <w:right w:w="0" w:type="dxa"/>
                  </w:tcMar>
                  <w:vAlign w:val="center"/>
                </w:tcPr>
                <w:p w14:paraId="1B22D272">
                  <w:pPr>
                    <w:keepNext w:val="0"/>
                    <w:keepLines w:val="0"/>
                    <w:widowControl/>
                    <w:suppressLineNumbers w:val="0"/>
                    <w:jc w:val="center"/>
                    <w:textAlignment w:val="cente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0.028 </w:t>
                  </w:r>
                </w:p>
              </w:tc>
              <w:tc>
                <w:tcPr>
                  <w:tcW w:w="418" w:type="pct"/>
                  <w:tcBorders>
                    <w:tl2br w:val="nil"/>
                    <w:tr2bl w:val="nil"/>
                  </w:tcBorders>
                  <w:noWrap w:val="0"/>
                  <w:tcMar>
                    <w:top w:w="0" w:type="dxa"/>
                    <w:left w:w="0" w:type="dxa"/>
                    <w:bottom w:w="0" w:type="dxa"/>
                    <w:right w:w="0" w:type="dxa"/>
                  </w:tcMar>
                  <w:vAlign w:val="center"/>
                </w:tcPr>
                <w:p w14:paraId="492E754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0.029 </w:t>
                  </w:r>
                </w:p>
              </w:tc>
              <w:tc>
                <w:tcPr>
                  <w:tcW w:w="429" w:type="pct"/>
                  <w:tcBorders>
                    <w:tl2br w:val="nil"/>
                    <w:tr2bl w:val="nil"/>
                  </w:tcBorders>
                  <w:noWrap w:val="0"/>
                  <w:tcMar>
                    <w:top w:w="0" w:type="dxa"/>
                    <w:left w:w="0" w:type="dxa"/>
                    <w:bottom w:w="0" w:type="dxa"/>
                    <w:right w:w="0" w:type="dxa"/>
                  </w:tcMar>
                  <w:vAlign w:val="center"/>
                </w:tcPr>
                <w:p w14:paraId="1809222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4.9</w:t>
                  </w:r>
                </w:p>
              </w:tc>
              <w:tc>
                <w:tcPr>
                  <w:tcW w:w="352" w:type="pct"/>
                  <w:tcBorders>
                    <w:tl2br w:val="nil"/>
                    <w:tr2bl w:val="nil"/>
                  </w:tcBorders>
                  <w:noWrap w:val="0"/>
                  <w:tcMar>
                    <w:top w:w="0" w:type="dxa"/>
                    <w:left w:w="0" w:type="dxa"/>
                    <w:bottom w:w="0" w:type="dxa"/>
                    <w:right w:w="0" w:type="dxa"/>
                  </w:tcMar>
                  <w:vAlign w:val="center"/>
                </w:tcPr>
                <w:p w14:paraId="6768FA1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有组织</w:t>
                  </w:r>
                </w:p>
              </w:tc>
              <w:tc>
                <w:tcPr>
                  <w:tcW w:w="432" w:type="pct"/>
                  <w:tcBorders>
                    <w:tl2br w:val="nil"/>
                    <w:tr2bl w:val="nil"/>
                  </w:tcBorders>
                  <w:noWrap w:val="0"/>
                  <w:tcMar>
                    <w:top w:w="0" w:type="dxa"/>
                    <w:left w:w="0" w:type="dxa"/>
                    <w:bottom w:w="0" w:type="dxa"/>
                    <w:right w:w="0" w:type="dxa"/>
                  </w:tcMar>
                  <w:vAlign w:val="center"/>
                </w:tcPr>
                <w:p w14:paraId="2F2D4D8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6000</w:t>
                  </w:r>
                </w:p>
              </w:tc>
              <w:tc>
                <w:tcPr>
                  <w:tcW w:w="286" w:type="pct"/>
                  <w:tcBorders>
                    <w:tl2br w:val="nil"/>
                    <w:tr2bl w:val="nil"/>
                  </w:tcBorders>
                  <w:noWrap w:val="0"/>
                  <w:tcMar>
                    <w:top w:w="0" w:type="dxa"/>
                    <w:left w:w="0" w:type="dxa"/>
                    <w:bottom w:w="0" w:type="dxa"/>
                    <w:right w:w="0" w:type="dxa"/>
                  </w:tcMar>
                  <w:vAlign w:val="center"/>
                </w:tcPr>
                <w:p w14:paraId="20C5F32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c>
                <w:tcPr>
                  <w:tcW w:w="261" w:type="pct"/>
                  <w:tcBorders>
                    <w:tl2br w:val="nil"/>
                    <w:tr2bl w:val="nil"/>
                  </w:tcBorders>
                  <w:noWrap w:val="0"/>
                  <w:tcMar>
                    <w:top w:w="0" w:type="dxa"/>
                    <w:left w:w="0" w:type="dxa"/>
                    <w:bottom w:w="0" w:type="dxa"/>
                    <w:right w:w="0" w:type="dxa"/>
                  </w:tcMar>
                  <w:vAlign w:val="center"/>
                </w:tcPr>
                <w:p w14:paraId="3D513B6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75%</w:t>
                  </w:r>
                </w:p>
              </w:tc>
              <w:tc>
                <w:tcPr>
                  <w:tcW w:w="340" w:type="pct"/>
                  <w:tcBorders>
                    <w:tl2br w:val="nil"/>
                    <w:tr2bl w:val="nil"/>
                  </w:tcBorders>
                  <w:noWrap w:val="0"/>
                  <w:tcMar>
                    <w:top w:w="0" w:type="dxa"/>
                    <w:left w:w="0" w:type="dxa"/>
                    <w:bottom w:w="0" w:type="dxa"/>
                    <w:right w:w="0" w:type="dxa"/>
                  </w:tcMar>
                  <w:vAlign w:val="center"/>
                </w:tcPr>
                <w:p w14:paraId="026BC82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0.007 </w:t>
                  </w:r>
                </w:p>
              </w:tc>
              <w:tc>
                <w:tcPr>
                  <w:tcW w:w="432" w:type="pct"/>
                  <w:tcBorders>
                    <w:tl2br w:val="nil"/>
                    <w:tr2bl w:val="nil"/>
                  </w:tcBorders>
                  <w:noWrap w:val="0"/>
                  <w:tcMar>
                    <w:top w:w="0" w:type="dxa"/>
                    <w:left w:w="0" w:type="dxa"/>
                    <w:bottom w:w="0" w:type="dxa"/>
                    <w:right w:w="0" w:type="dxa"/>
                  </w:tcMar>
                  <w:vAlign w:val="center"/>
                </w:tcPr>
                <w:p w14:paraId="69A0942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0.007 </w:t>
                  </w:r>
                </w:p>
              </w:tc>
              <w:tc>
                <w:tcPr>
                  <w:tcW w:w="477" w:type="pct"/>
                  <w:tcBorders>
                    <w:tl2br w:val="nil"/>
                    <w:tr2bl w:val="nil"/>
                  </w:tcBorders>
                  <w:noWrap w:val="0"/>
                  <w:tcMar>
                    <w:top w:w="0" w:type="dxa"/>
                    <w:left w:w="0" w:type="dxa"/>
                    <w:bottom w:w="0" w:type="dxa"/>
                    <w:right w:w="0" w:type="dxa"/>
                  </w:tcMar>
                  <w:vAlign w:val="center"/>
                </w:tcPr>
                <w:p w14:paraId="4E86D79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 </w:t>
                  </w:r>
                </w:p>
              </w:tc>
              <w:tc>
                <w:tcPr>
                  <w:tcW w:w="342" w:type="pct"/>
                  <w:vMerge w:val="restart"/>
                  <w:tcBorders>
                    <w:tl2br w:val="nil"/>
                    <w:tr2bl w:val="nil"/>
                  </w:tcBorders>
                  <w:noWrap w:val="0"/>
                  <w:tcMar>
                    <w:top w:w="0" w:type="dxa"/>
                    <w:left w:w="0" w:type="dxa"/>
                    <w:bottom w:w="0" w:type="dxa"/>
                    <w:right w:w="0" w:type="dxa"/>
                  </w:tcMar>
                  <w:vAlign w:val="center"/>
                </w:tcPr>
                <w:p w14:paraId="621DB160">
                  <w:pPr>
                    <w:widowControl w:val="0"/>
                    <w:kinsoku/>
                    <w:autoSpaceDE/>
                    <w:autoSpaceDN/>
                    <w:adjustRightInd w:val="0"/>
                    <w:snapToGrid w:val="0"/>
                    <w:spacing w:line="240" w:lineRule="auto"/>
                    <w:jc w:val="center"/>
                    <w:textAlignment w:val="auto"/>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964</w:t>
                  </w:r>
                </w:p>
              </w:tc>
            </w:tr>
            <w:tr w14:paraId="2001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94" w:type="pct"/>
                  <w:vMerge w:val="continue"/>
                  <w:tcBorders>
                    <w:tl2br w:val="nil"/>
                    <w:tr2bl w:val="nil"/>
                  </w:tcBorders>
                  <w:noWrap w:val="0"/>
                  <w:tcMar>
                    <w:top w:w="0" w:type="dxa"/>
                    <w:left w:w="0" w:type="dxa"/>
                    <w:bottom w:w="0" w:type="dxa"/>
                    <w:right w:w="0" w:type="dxa"/>
                  </w:tcMar>
                  <w:vAlign w:val="center"/>
                </w:tcPr>
                <w:p w14:paraId="2B5E14A1">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p>
              </w:tc>
              <w:tc>
                <w:tcPr>
                  <w:tcW w:w="394" w:type="pct"/>
                  <w:vMerge w:val="continue"/>
                  <w:tcBorders>
                    <w:tl2br w:val="nil"/>
                    <w:tr2bl w:val="nil"/>
                  </w:tcBorders>
                  <w:noWrap w:val="0"/>
                  <w:tcMar>
                    <w:top w:w="0" w:type="dxa"/>
                    <w:left w:w="0" w:type="dxa"/>
                    <w:bottom w:w="0" w:type="dxa"/>
                    <w:right w:w="0" w:type="dxa"/>
                  </w:tcMar>
                  <w:vAlign w:val="center"/>
                </w:tcPr>
                <w:p w14:paraId="02EDE441">
                  <w:pPr>
                    <w:jc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p>
              </w:tc>
              <w:tc>
                <w:tcPr>
                  <w:tcW w:w="340" w:type="pct"/>
                  <w:tcBorders>
                    <w:tl2br w:val="nil"/>
                    <w:tr2bl w:val="nil"/>
                  </w:tcBorders>
                  <w:noWrap w:val="0"/>
                  <w:tcMar>
                    <w:top w:w="0" w:type="dxa"/>
                    <w:left w:w="0" w:type="dxa"/>
                    <w:bottom w:w="0" w:type="dxa"/>
                    <w:right w:w="0" w:type="dxa"/>
                  </w:tcMar>
                  <w:vAlign w:val="center"/>
                </w:tcPr>
                <w:p w14:paraId="4DE8B3E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0.012 </w:t>
                  </w:r>
                </w:p>
              </w:tc>
              <w:tc>
                <w:tcPr>
                  <w:tcW w:w="418" w:type="pct"/>
                  <w:tcBorders>
                    <w:tl2br w:val="nil"/>
                    <w:tr2bl w:val="nil"/>
                  </w:tcBorders>
                  <w:noWrap w:val="0"/>
                  <w:tcMar>
                    <w:top w:w="0" w:type="dxa"/>
                    <w:left w:w="0" w:type="dxa"/>
                    <w:bottom w:w="0" w:type="dxa"/>
                    <w:right w:w="0" w:type="dxa"/>
                  </w:tcMar>
                  <w:vAlign w:val="center"/>
                </w:tcPr>
                <w:p w14:paraId="55FF0E3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0.013 </w:t>
                  </w:r>
                </w:p>
              </w:tc>
              <w:tc>
                <w:tcPr>
                  <w:tcW w:w="429" w:type="pct"/>
                  <w:tcBorders>
                    <w:tl2br w:val="nil"/>
                    <w:tr2bl w:val="nil"/>
                  </w:tcBorders>
                  <w:noWrap w:val="0"/>
                  <w:tcMar>
                    <w:top w:w="0" w:type="dxa"/>
                    <w:left w:w="0" w:type="dxa"/>
                    <w:bottom w:w="0" w:type="dxa"/>
                    <w:right w:w="0" w:type="dxa"/>
                  </w:tcMar>
                  <w:vAlign w:val="center"/>
                </w:tcPr>
                <w:p w14:paraId="56DAAA0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52" w:type="pct"/>
                  <w:tcBorders>
                    <w:tl2br w:val="nil"/>
                    <w:tr2bl w:val="nil"/>
                  </w:tcBorders>
                  <w:noWrap w:val="0"/>
                  <w:tcMar>
                    <w:top w:w="0" w:type="dxa"/>
                    <w:left w:w="0" w:type="dxa"/>
                    <w:bottom w:w="0" w:type="dxa"/>
                    <w:right w:w="0" w:type="dxa"/>
                  </w:tcMar>
                  <w:vAlign w:val="center"/>
                </w:tcPr>
                <w:p w14:paraId="5DA40486">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无组织</w:t>
                  </w:r>
                </w:p>
              </w:tc>
              <w:tc>
                <w:tcPr>
                  <w:tcW w:w="432" w:type="pct"/>
                  <w:tcBorders>
                    <w:tl2br w:val="nil"/>
                    <w:tr2bl w:val="nil"/>
                  </w:tcBorders>
                  <w:noWrap w:val="0"/>
                  <w:tcMar>
                    <w:top w:w="0" w:type="dxa"/>
                    <w:left w:w="0" w:type="dxa"/>
                    <w:bottom w:w="0" w:type="dxa"/>
                    <w:right w:w="0" w:type="dxa"/>
                  </w:tcMar>
                  <w:vAlign w:val="center"/>
                </w:tcPr>
                <w:p w14:paraId="75B22B5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286" w:type="pct"/>
                  <w:tcBorders>
                    <w:tl2br w:val="nil"/>
                    <w:tr2bl w:val="nil"/>
                  </w:tcBorders>
                  <w:noWrap w:val="0"/>
                  <w:tcMar>
                    <w:top w:w="0" w:type="dxa"/>
                    <w:left w:w="0" w:type="dxa"/>
                    <w:bottom w:w="0" w:type="dxa"/>
                    <w:right w:w="0" w:type="dxa"/>
                  </w:tcMar>
                  <w:vAlign w:val="center"/>
                </w:tcPr>
                <w:p w14:paraId="7D3469C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261" w:type="pct"/>
                  <w:tcBorders>
                    <w:tl2br w:val="nil"/>
                    <w:tr2bl w:val="nil"/>
                  </w:tcBorders>
                  <w:noWrap w:val="0"/>
                  <w:tcMar>
                    <w:top w:w="0" w:type="dxa"/>
                    <w:left w:w="0" w:type="dxa"/>
                    <w:bottom w:w="0" w:type="dxa"/>
                    <w:right w:w="0" w:type="dxa"/>
                  </w:tcMar>
                  <w:vAlign w:val="center"/>
                </w:tcPr>
                <w:p w14:paraId="0741768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340" w:type="pct"/>
                  <w:tcBorders>
                    <w:tl2br w:val="nil"/>
                    <w:tr2bl w:val="nil"/>
                  </w:tcBorders>
                  <w:noWrap w:val="0"/>
                  <w:tcMar>
                    <w:top w:w="0" w:type="dxa"/>
                    <w:left w:w="0" w:type="dxa"/>
                    <w:bottom w:w="0" w:type="dxa"/>
                    <w:right w:w="0" w:type="dxa"/>
                  </w:tcMar>
                  <w:vAlign w:val="center"/>
                </w:tcPr>
                <w:p w14:paraId="7440A12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0.012 </w:t>
                  </w:r>
                </w:p>
              </w:tc>
              <w:tc>
                <w:tcPr>
                  <w:tcW w:w="432" w:type="pct"/>
                  <w:tcBorders>
                    <w:tl2br w:val="nil"/>
                    <w:tr2bl w:val="nil"/>
                  </w:tcBorders>
                  <w:noWrap w:val="0"/>
                  <w:tcMar>
                    <w:top w:w="0" w:type="dxa"/>
                    <w:left w:w="0" w:type="dxa"/>
                    <w:bottom w:w="0" w:type="dxa"/>
                    <w:right w:w="0" w:type="dxa"/>
                  </w:tcMar>
                  <w:vAlign w:val="center"/>
                </w:tcPr>
                <w:p w14:paraId="7B759DE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0.013 </w:t>
                  </w:r>
                </w:p>
              </w:tc>
              <w:tc>
                <w:tcPr>
                  <w:tcW w:w="477" w:type="pct"/>
                  <w:tcBorders>
                    <w:tl2br w:val="nil"/>
                    <w:tr2bl w:val="nil"/>
                  </w:tcBorders>
                  <w:noWrap w:val="0"/>
                  <w:tcMar>
                    <w:top w:w="0" w:type="dxa"/>
                    <w:left w:w="0" w:type="dxa"/>
                    <w:bottom w:w="0" w:type="dxa"/>
                    <w:right w:w="0" w:type="dxa"/>
                  </w:tcMar>
                  <w:vAlign w:val="center"/>
                </w:tcPr>
                <w:p w14:paraId="3C09DDA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342" w:type="pct"/>
                  <w:vMerge w:val="continue"/>
                  <w:tcBorders>
                    <w:tl2br w:val="nil"/>
                    <w:tr2bl w:val="nil"/>
                  </w:tcBorders>
                  <w:noWrap w:val="0"/>
                  <w:tcMar>
                    <w:top w:w="0" w:type="dxa"/>
                    <w:left w:w="0" w:type="dxa"/>
                    <w:bottom w:w="0" w:type="dxa"/>
                    <w:right w:w="0" w:type="dxa"/>
                  </w:tcMar>
                  <w:vAlign w:val="center"/>
                </w:tcPr>
                <w:p w14:paraId="0328D606">
                  <w:pPr>
                    <w:widowControl w:val="0"/>
                    <w:kinsoku/>
                    <w:autoSpaceDE/>
                    <w:autoSpaceDN/>
                    <w:adjustRightInd w:val="0"/>
                    <w:snapToGrid w:val="0"/>
                    <w:spacing w:line="240" w:lineRule="auto"/>
                    <w:jc w:val="center"/>
                    <w:textAlignment w:val="auto"/>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p>
              </w:tc>
            </w:tr>
          </w:tbl>
          <w:p w14:paraId="6AFCA1D6">
            <w:pPr>
              <w:keepNext w:val="0"/>
              <w:keepLines w:val="0"/>
              <w:pageBreakBefore w:val="0"/>
              <w:widowControl w:val="0"/>
              <w:kinsoku/>
              <w:wordWrap/>
              <w:overflowPunct/>
              <w:topLinePunct w:val="0"/>
              <w:autoSpaceDE/>
              <w:autoSpaceDN/>
              <w:bidi w:val="0"/>
              <w:adjustRightInd/>
              <w:snapToGrid/>
              <w:spacing w:line="120" w:lineRule="exact"/>
              <w:ind w:firstLine="464" w:firstLineChars="200"/>
              <w:jc w:val="both"/>
              <w:textAlignment w:val="auto"/>
              <w:rPr>
                <w:rFonts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pPr>
          </w:p>
          <w:p w14:paraId="54A8FB33">
            <w:pPr>
              <w:pStyle w:val="2"/>
              <w:keepNext w:val="0"/>
              <w:keepLines w:val="0"/>
              <w:numPr>
                <w:ilvl w:val="0"/>
                <w:numId w:val="0"/>
              </w:numPr>
              <w:suppressLineNumbers w:val="0"/>
              <w:tabs>
                <w:tab w:val="left" w:pos="0"/>
              </w:tabs>
              <w:spacing w:before="0" w:beforeAutospacing="0" w:after="0" w:afterAutospacing="0"/>
              <w:ind w:left="0" w:leftChars="0" w:right="0" w:rightChars="0" w:firstLine="40" w:firstLineChars="0"/>
              <w:jc w:val="center"/>
              <w:rPr>
                <w:b/>
                <w:color w:val="000000" w:themeColor="text1"/>
                <w:sz w:val="21"/>
                <w:szCs w:val="21"/>
                <w:lang w:bidi="ar"/>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表4-3</w:t>
            </w:r>
            <w:r>
              <w:rPr>
                <w:rFonts w:hint="eastAsia" w:ascii="Times New Roman" w:eastAsia="宋体" w:cs="Times New Roman"/>
                <w:b/>
                <w:bCs/>
                <w:color w:val="000000" w:themeColor="text1"/>
                <w:kern w:val="2"/>
                <w:sz w:val="21"/>
                <w:szCs w:val="21"/>
                <w:lang w:val="en-US" w:eastAsia="zh-CN" w:bidi="ar-SA"/>
                <w14:textFill>
                  <w14:solidFill>
                    <w14:schemeClr w14:val="tx1"/>
                  </w14:solidFill>
                </w14:textFill>
              </w:rPr>
              <w:t xml:space="preserve">  </w:t>
            </w:r>
            <w:r>
              <w:rPr>
                <w:b/>
                <w:color w:val="000000" w:themeColor="text1"/>
                <w:sz w:val="21"/>
                <w:szCs w:val="21"/>
                <w:lang w:bidi="ar"/>
                <w14:textFill>
                  <w14:solidFill>
                    <w14:schemeClr w14:val="tx1"/>
                  </w14:solidFill>
                </w14:textFill>
              </w:rPr>
              <w:t>大气污染物有组织排放量核算表</w:t>
            </w:r>
          </w:p>
          <w:tbl>
            <w:tblPr>
              <w:tblStyle w:val="4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01"/>
              <w:gridCol w:w="2109"/>
              <w:gridCol w:w="2271"/>
              <w:gridCol w:w="2127"/>
              <w:gridCol w:w="2106"/>
              <w:gridCol w:w="2129"/>
            </w:tblGrid>
            <w:tr w14:paraId="3C878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C5C80">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序号</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E97C8">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排放口编号</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9B44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污染物</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3B6A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排放速率</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kg/h</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024FE">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排放浓度</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mg/m</w:t>
                  </w:r>
                  <w:r>
                    <w:rPr>
                      <w:rFonts w:hint="default" w:ascii="Times New Roman" w:hAnsi="Times New Roman" w:eastAsia="宋体" w:cs="Times New Roman"/>
                      <w:b/>
                      <w:bCs/>
                      <w:i w:val="0"/>
                      <w:iCs w:val="0"/>
                      <w:color w:val="000000" w:themeColor="text1"/>
                      <w:kern w:val="0"/>
                      <w:sz w:val="21"/>
                      <w:szCs w:val="21"/>
                      <w:u w:val="none"/>
                      <w:vertAlign w:val="superscript"/>
                      <w:lang w:val="en-US" w:eastAsia="zh-CN" w:bidi="ar"/>
                      <w14:textFill>
                        <w14:solidFill>
                          <w14:schemeClr w14:val="tx1"/>
                        </w14:solidFill>
                      </w14:textFill>
                    </w:rPr>
                    <w:t>3</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98734">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年排放量（</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t/a</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p>
              </w:tc>
            </w:tr>
            <w:tr w14:paraId="647F2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CD8AF2">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一般排放口</w:t>
                  </w:r>
                </w:p>
              </w:tc>
            </w:tr>
            <w:tr w14:paraId="1A3FF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4D07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E10B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排气筒</w:t>
                  </w:r>
                  <w:r>
                    <w:rPr>
                      <w:rFonts w:hint="eastAsia" w:cs="Times New Roman"/>
                      <w:i w:val="0"/>
                      <w:iCs w:val="0"/>
                      <w:color w:val="000000" w:themeColor="text1"/>
                      <w:kern w:val="0"/>
                      <w:sz w:val="21"/>
                      <w:szCs w:val="21"/>
                      <w:u w:val="none"/>
                      <w:lang w:val="en-US" w:eastAsia="zh-CN" w:bidi="ar"/>
                      <w14:textFill>
                        <w14:solidFill>
                          <w14:schemeClr w14:val="tx1"/>
                        </w14:solidFill>
                      </w14:textFill>
                    </w:rPr>
                    <w:t>DA003</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28F8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油烟</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24BB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0.007 </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91C5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 </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AD33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0.007 </w:t>
                  </w:r>
                </w:p>
              </w:tc>
            </w:tr>
            <w:tr w14:paraId="303C4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2D2E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主要排放口</w:t>
                  </w:r>
                </w:p>
              </w:tc>
            </w:tr>
            <w:tr w14:paraId="6F544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46AE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w:t>
                  </w:r>
                </w:p>
              </w:tc>
              <w:tc>
                <w:tcPr>
                  <w:tcW w:w="8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39B98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排气筒</w:t>
                  </w:r>
                  <w:r>
                    <w:rPr>
                      <w:rFonts w:hint="eastAsia" w:cs="Times New Roman"/>
                      <w:i w:val="0"/>
                      <w:iCs w:val="0"/>
                      <w:color w:val="000000" w:themeColor="text1"/>
                      <w:kern w:val="0"/>
                      <w:sz w:val="21"/>
                      <w:szCs w:val="21"/>
                      <w:u w:val="none"/>
                      <w:lang w:val="en-US" w:eastAsia="zh-CN" w:bidi="ar"/>
                      <w14:textFill>
                        <w14:solidFill>
                          <w14:schemeClr w14:val="tx1"/>
                        </w14:solidFill>
                      </w14:textFill>
                    </w:rPr>
                    <w:t>DA001</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E04E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颗粒物</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2F5A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0.011 </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B2A8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 </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0A80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0.022 </w:t>
                  </w:r>
                </w:p>
              </w:tc>
            </w:tr>
            <w:tr w14:paraId="648E3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 w:hRule="atLeast"/>
              </w:trPr>
              <w:tc>
                <w:tcPr>
                  <w:tcW w:w="8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E22C5">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0E16A">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ECC0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非甲烷总烃</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9DCA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0.312 </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B6C3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1.7 </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49E5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0.602 </w:t>
                  </w:r>
                </w:p>
              </w:tc>
            </w:tr>
            <w:tr w14:paraId="5BD3D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DDB49">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D7E74">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CDBF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苯系物</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970E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0.154 </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B8A4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0.9 </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C655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0.298 </w:t>
                  </w:r>
                </w:p>
              </w:tc>
            </w:tr>
            <w:tr w14:paraId="0CA40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69434">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7EB96">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B5DA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臭气浓度</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2550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E4D2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30C3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43071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1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2DC9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3</w:t>
                  </w:r>
                </w:p>
              </w:tc>
              <w:tc>
                <w:tcPr>
                  <w:tcW w:w="8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79CF4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排气筒</w:t>
                  </w:r>
                  <w:r>
                    <w:rPr>
                      <w:rFonts w:hint="eastAsia" w:cs="Times New Roman"/>
                      <w:i w:val="0"/>
                      <w:iCs w:val="0"/>
                      <w:color w:val="000000" w:themeColor="text1"/>
                      <w:kern w:val="0"/>
                      <w:sz w:val="21"/>
                      <w:szCs w:val="21"/>
                      <w:u w:val="none"/>
                      <w:lang w:val="en-US" w:eastAsia="zh-CN" w:bidi="ar"/>
                      <w14:textFill>
                        <w14:solidFill>
                          <w14:schemeClr w14:val="tx1"/>
                        </w14:solidFill>
                      </w14:textFill>
                    </w:rPr>
                    <w:t>DA002</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C642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非甲烷总烃</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9EE1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0.035 </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C3B5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0.9 </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6301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0.067 </w:t>
                  </w:r>
                </w:p>
              </w:tc>
            </w:tr>
            <w:tr w14:paraId="6DA3F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1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6440E">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32FB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5A75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苯系物</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B8C7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0.008 </w:t>
                  </w:r>
                </w:p>
              </w:tc>
              <w:tc>
                <w:tcPr>
                  <w:tcW w:w="8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4E15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0.2 </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C3E4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0.016 </w:t>
                  </w:r>
                </w:p>
              </w:tc>
            </w:tr>
            <w:tr w14:paraId="5DA42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1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39B44">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E60F7">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34A4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臭气浓度</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0DBA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DEA1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8E32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2F754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1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67F44">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525EA">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003F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SO</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2</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4FA3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0.019 </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AA71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0.5 </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6736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0.036 </w:t>
                  </w:r>
                </w:p>
              </w:tc>
            </w:tr>
            <w:tr w14:paraId="6E85F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1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90BA9">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D299A">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8A08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NO</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X</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9FDF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0.177 </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A065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4.4 </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3B27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0.341 </w:t>
                  </w:r>
                </w:p>
              </w:tc>
            </w:tr>
            <w:tr w14:paraId="5C157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1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89878">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FEBB9">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EFC8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颗粒物</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B817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0.027 </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78AD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0.7 </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9974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0.052 </w:t>
                  </w:r>
                </w:p>
              </w:tc>
            </w:tr>
            <w:tr w14:paraId="3F844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31625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有组织排放合计</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t/a</w:t>
                  </w:r>
                </w:p>
              </w:tc>
              <w:tc>
                <w:tcPr>
                  <w:tcW w:w="25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6ABF4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颗粒物</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7374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r>
                    <w:rPr>
                      <w:rFonts w:hint="eastAsia" w:cs="Times New Roman"/>
                      <w:i w:val="0"/>
                      <w:iCs w:val="0"/>
                      <w:color w:val="000000" w:themeColor="text1"/>
                      <w:kern w:val="0"/>
                      <w:sz w:val="21"/>
                      <w:szCs w:val="21"/>
                      <w:u w:val="none"/>
                      <w:lang w:val="en-US" w:eastAsia="zh-CN" w:bidi="ar"/>
                      <w14:textFill>
                        <w14:solidFill>
                          <w14:schemeClr w14:val="tx1"/>
                        </w14:solidFill>
                      </w14:textFill>
                    </w:rPr>
                    <w:t>074</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r w14:paraId="546BC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6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82B0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25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F6A43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非甲烷总烃</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EB46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0.670 </w:t>
                  </w:r>
                </w:p>
              </w:tc>
            </w:tr>
            <w:tr w14:paraId="34AF7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C685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25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78638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苯系物</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5F09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0.314 </w:t>
                  </w:r>
                </w:p>
              </w:tc>
            </w:tr>
            <w:tr w14:paraId="3D5EA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78B77">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25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8742F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SO</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2</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22FC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0.036 </w:t>
                  </w:r>
                </w:p>
              </w:tc>
            </w:tr>
            <w:tr w14:paraId="0DF46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7D317">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25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E2220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NO</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X</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E261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0.341 </w:t>
                  </w:r>
                </w:p>
              </w:tc>
            </w:tr>
            <w:tr w14:paraId="01093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90DF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25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EE8FA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油烟</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8556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0.007 </w:t>
                  </w:r>
                </w:p>
              </w:tc>
            </w:tr>
            <w:tr w14:paraId="33B17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67B4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25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63B41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臭气浓度</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39ED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bl>
          <w:p w14:paraId="243A0338">
            <w:pPr>
              <w:pStyle w:val="2"/>
              <w:keepNext w:val="0"/>
              <w:keepLines w:val="0"/>
              <w:numPr>
                <w:ilvl w:val="0"/>
                <w:numId w:val="0"/>
              </w:numPr>
              <w:suppressLineNumbers w:val="0"/>
              <w:tabs>
                <w:tab w:val="left" w:pos="0"/>
              </w:tabs>
              <w:spacing w:before="0" w:beforeAutospacing="0" w:after="0" w:afterAutospacing="0"/>
              <w:ind w:left="0" w:leftChars="0" w:right="0" w:rightChars="0" w:firstLine="40" w:firstLineChars="0"/>
              <w:jc w:val="center"/>
              <w:rPr>
                <w:rFonts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表4-4</w:t>
            </w:r>
            <w:r>
              <w:rPr>
                <w:rFonts w:hint="eastAsia" w:ascii="Times New Roman" w:eastAsia="宋体" w:cs="Times New Roman"/>
                <w:b/>
                <w:bCs/>
                <w:color w:val="000000" w:themeColor="text1"/>
                <w:kern w:val="2"/>
                <w:sz w:val="21"/>
                <w:szCs w:val="21"/>
                <w:lang w:val="en-US" w:eastAsia="zh-CN" w:bidi="ar-SA"/>
                <w14:textFill>
                  <w14:solidFill>
                    <w14:schemeClr w14:val="tx1"/>
                  </w14:solidFill>
                </w14:textFill>
              </w:rPr>
              <w:t xml:space="preserve"> </w:t>
            </w:r>
            <w:r>
              <w:rPr>
                <w:b/>
                <w:color w:val="000000" w:themeColor="text1"/>
                <w:sz w:val="21"/>
                <w:szCs w:val="21"/>
                <w:lang w:bidi="ar"/>
                <w14:textFill>
                  <w14:solidFill>
                    <w14:schemeClr w14:val="tx1"/>
                  </w14:solidFill>
                </w14:textFill>
              </w:rPr>
              <w:t>大气污染物无组织排放核算表</w:t>
            </w:r>
          </w:p>
          <w:tbl>
            <w:tblPr>
              <w:tblStyle w:val="4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59"/>
              <w:gridCol w:w="741"/>
              <w:gridCol w:w="1217"/>
              <w:gridCol w:w="1099"/>
              <w:gridCol w:w="832"/>
              <w:gridCol w:w="3971"/>
              <w:gridCol w:w="1825"/>
              <w:gridCol w:w="1016"/>
              <w:gridCol w:w="1273"/>
            </w:tblGrid>
            <w:tr w14:paraId="35EFA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335" w:type="pct"/>
                  <w:vMerge w:val="restart"/>
                  <w:shd w:val="clear" w:color="auto" w:fill="auto"/>
                  <w:vAlign w:val="center"/>
                </w:tcPr>
                <w:p w14:paraId="516A09D1">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序号</w:t>
                  </w:r>
                </w:p>
              </w:tc>
              <w:tc>
                <w:tcPr>
                  <w:tcW w:w="289" w:type="pct"/>
                  <w:vMerge w:val="restart"/>
                  <w:shd w:val="clear" w:color="auto" w:fill="auto"/>
                  <w:vAlign w:val="center"/>
                </w:tcPr>
                <w:p w14:paraId="340D6D93">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排放口编号</w:t>
                  </w:r>
                </w:p>
              </w:tc>
              <w:tc>
                <w:tcPr>
                  <w:tcW w:w="474" w:type="pct"/>
                  <w:vMerge w:val="restart"/>
                  <w:shd w:val="clear" w:color="auto" w:fill="auto"/>
                  <w:vAlign w:val="center"/>
                </w:tcPr>
                <w:p w14:paraId="0E1E0528">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产污环节</w:t>
                  </w:r>
                </w:p>
              </w:tc>
              <w:tc>
                <w:tcPr>
                  <w:tcW w:w="428" w:type="pct"/>
                  <w:vMerge w:val="restart"/>
                  <w:shd w:val="clear" w:color="auto" w:fill="auto"/>
                  <w:vAlign w:val="center"/>
                </w:tcPr>
                <w:p w14:paraId="1E416E93">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污染物种类</w:t>
                  </w:r>
                </w:p>
              </w:tc>
              <w:tc>
                <w:tcPr>
                  <w:tcW w:w="324" w:type="pct"/>
                  <w:vMerge w:val="restart"/>
                  <w:shd w:val="clear" w:color="auto" w:fill="auto"/>
                  <w:vAlign w:val="center"/>
                </w:tcPr>
                <w:p w14:paraId="4A99C39B">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主要污染防治措施</w:t>
                  </w:r>
                </w:p>
              </w:tc>
              <w:tc>
                <w:tcPr>
                  <w:tcW w:w="2650" w:type="pct"/>
                  <w:gridSpan w:val="3"/>
                  <w:shd w:val="clear" w:color="auto" w:fill="auto"/>
                  <w:vAlign w:val="center"/>
                </w:tcPr>
                <w:p w14:paraId="11359E04">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国家或地方污染物排放标准</w:t>
                  </w:r>
                </w:p>
              </w:tc>
              <w:tc>
                <w:tcPr>
                  <w:tcW w:w="495" w:type="pct"/>
                  <w:vMerge w:val="restart"/>
                  <w:shd w:val="clear" w:color="auto" w:fill="auto"/>
                  <w:vAlign w:val="center"/>
                </w:tcPr>
                <w:p w14:paraId="5F09056D">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排放量（</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t/a</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p>
              </w:tc>
            </w:tr>
            <w:tr w14:paraId="2772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335" w:type="pct"/>
                  <w:vMerge w:val="continue"/>
                  <w:shd w:val="clear" w:color="auto" w:fill="auto"/>
                  <w:vAlign w:val="center"/>
                </w:tcPr>
                <w:p w14:paraId="62690D27">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289" w:type="pct"/>
                  <w:vMerge w:val="continue"/>
                  <w:shd w:val="clear" w:color="auto" w:fill="auto"/>
                  <w:vAlign w:val="center"/>
                </w:tcPr>
                <w:p w14:paraId="79E2B16F">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474" w:type="pct"/>
                  <w:vMerge w:val="continue"/>
                  <w:shd w:val="clear" w:color="auto" w:fill="auto"/>
                  <w:vAlign w:val="center"/>
                </w:tcPr>
                <w:p w14:paraId="41EA0EE8">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428" w:type="pct"/>
                  <w:vMerge w:val="continue"/>
                  <w:shd w:val="clear" w:color="auto" w:fill="auto"/>
                  <w:vAlign w:val="center"/>
                </w:tcPr>
                <w:p w14:paraId="6CB5A04A">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324" w:type="pct"/>
                  <w:vMerge w:val="continue"/>
                  <w:shd w:val="clear" w:color="auto" w:fill="auto"/>
                  <w:vAlign w:val="center"/>
                </w:tcPr>
                <w:p w14:paraId="32EFA5A7">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1547" w:type="pct"/>
                  <w:shd w:val="clear" w:color="auto" w:fill="auto"/>
                  <w:vAlign w:val="center"/>
                </w:tcPr>
                <w:p w14:paraId="4097B3ED">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标准名称</w:t>
                  </w:r>
                </w:p>
              </w:tc>
              <w:tc>
                <w:tcPr>
                  <w:tcW w:w="1103" w:type="pct"/>
                  <w:gridSpan w:val="2"/>
                  <w:shd w:val="clear" w:color="auto" w:fill="auto"/>
                  <w:vAlign w:val="center"/>
                </w:tcPr>
                <w:p w14:paraId="6D59488A">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浓度限值</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mg/m</w:t>
                  </w:r>
                  <w:r>
                    <w:rPr>
                      <w:rStyle w:val="165"/>
                      <w:rFonts w:eastAsia="宋体"/>
                      <w:color w:val="000000" w:themeColor="text1"/>
                      <w:lang w:val="en-US" w:eastAsia="zh-CN" w:bidi="ar"/>
                      <w14:textFill>
                        <w14:solidFill>
                          <w14:schemeClr w14:val="tx1"/>
                        </w14:solidFill>
                      </w14:textFill>
                    </w:rPr>
                    <w:t>3</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p>
              </w:tc>
              <w:tc>
                <w:tcPr>
                  <w:tcW w:w="495" w:type="pct"/>
                  <w:vMerge w:val="continue"/>
                  <w:shd w:val="clear" w:color="auto" w:fill="auto"/>
                  <w:vAlign w:val="center"/>
                </w:tcPr>
                <w:p w14:paraId="4CAA3F8D">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r>
            <w:tr w14:paraId="477A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335" w:type="pct"/>
                  <w:vMerge w:val="restart"/>
                  <w:shd w:val="clear" w:color="auto" w:fill="auto"/>
                  <w:vAlign w:val="center"/>
                </w:tcPr>
                <w:p w14:paraId="62ACAEE2">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1</w:t>
                  </w:r>
                </w:p>
              </w:tc>
              <w:tc>
                <w:tcPr>
                  <w:tcW w:w="289" w:type="pct"/>
                  <w:vMerge w:val="restart"/>
                  <w:shd w:val="clear" w:color="auto" w:fill="auto"/>
                  <w:vAlign w:val="center"/>
                </w:tcPr>
                <w:p w14:paraId="4657FFE1">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Style w:val="166"/>
                      <w:rFonts w:hint="eastAsia"/>
                      <w:color w:val="000000" w:themeColor="text1"/>
                      <w:lang w:val="en-US" w:eastAsia="zh-CN" w:bidi="ar"/>
                      <w14:textFill>
                        <w14:solidFill>
                          <w14:schemeClr w14:val="tx1"/>
                        </w14:solidFill>
                      </w14:textFill>
                    </w:rPr>
                    <w:t>/</w:t>
                  </w:r>
                </w:p>
              </w:tc>
              <w:tc>
                <w:tcPr>
                  <w:tcW w:w="474" w:type="pct"/>
                  <w:vMerge w:val="restart"/>
                  <w:shd w:val="clear" w:color="auto" w:fill="auto"/>
                  <w:vAlign w:val="center"/>
                </w:tcPr>
                <w:p w14:paraId="59F5BD5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Style w:val="167"/>
                      <w:rFonts w:hint="eastAsia"/>
                      <w:color w:val="000000" w:themeColor="text1"/>
                      <w:lang w:val="en-US" w:eastAsia="zh-CN" w:bidi="ar"/>
                      <w14:textFill>
                        <w14:solidFill>
                          <w14:schemeClr w14:val="tx1"/>
                        </w14:solidFill>
                      </w14:textFill>
                    </w:rPr>
                    <w:t>生产全程</w:t>
                  </w:r>
                </w:p>
              </w:tc>
              <w:tc>
                <w:tcPr>
                  <w:tcW w:w="428" w:type="pct"/>
                  <w:shd w:val="clear" w:color="auto" w:fill="auto"/>
                  <w:vAlign w:val="center"/>
                </w:tcPr>
                <w:p w14:paraId="64B61BCC">
                  <w:pPr>
                    <w:pStyle w:val="109"/>
                    <w:keepNext w:val="0"/>
                    <w:keepLines w:val="0"/>
                    <w:pageBreakBefore w:val="0"/>
                    <w:tabs>
                      <w:tab w:val="left" w:pos="-2848"/>
                    </w:tabs>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color w:val="000000" w:themeColor="text1"/>
                      <w:szCs w:val="21"/>
                      <w14:textFill>
                        <w14:solidFill>
                          <w14:schemeClr w14:val="tx1"/>
                        </w14:solidFill>
                      </w14:textFill>
                    </w:rPr>
                    <w:t>颗粒物</w:t>
                  </w:r>
                </w:p>
              </w:tc>
              <w:tc>
                <w:tcPr>
                  <w:tcW w:w="324" w:type="pct"/>
                  <w:vMerge w:val="restart"/>
                  <w:shd w:val="clear" w:color="auto" w:fill="auto"/>
                  <w:vAlign w:val="center"/>
                </w:tcPr>
                <w:p w14:paraId="0BD242C6">
                  <w:pPr>
                    <w:keepNext w:val="0"/>
                    <w:keepLines w:val="0"/>
                    <w:pageBreakBefore w:val="0"/>
                    <w:widowControl/>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lang w:val="en-US" w:eastAsia="zh-CN"/>
                      <w14:textFill>
                        <w14:solidFill>
                          <w14:schemeClr w14:val="tx1"/>
                        </w14:solidFill>
                      </w14:textFill>
                    </w:rPr>
                  </w:pPr>
                  <w:r>
                    <w:rPr>
                      <w:color w:val="000000" w:themeColor="text1"/>
                      <w:sz w:val="21"/>
                      <w:szCs w:val="21"/>
                      <w14:textFill>
                        <w14:solidFill>
                          <w14:schemeClr w14:val="tx1"/>
                        </w14:solidFill>
                      </w14:textFill>
                    </w:rPr>
                    <w:t>加强车间通风换气</w:t>
                  </w:r>
                </w:p>
              </w:tc>
              <w:tc>
                <w:tcPr>
                  <w:tcW w:w="1547" w:type="pct"/>
                  <w:shd w:val="clear" w:color="auto" w:fill="auto"/>
                  <w:vAlign w:val="center"/>
                </w:tcPr>
                <w:p w14:paraId="541D9160">
                  <w:pPr>
                    <w:keepNext w:val="0"/>
                    <w:keepLines w:val="0"/>
                    <w:pageBreakBefore w:val="0"/>
                    <w:widowControl/>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color w:val="000000" w:themeColor="text1"/>
                      <w:sz w:val="21"/>
                      <w:szCs w:val="21"/>
                      <w14:textFill>
                        <w14:solidFill>
                          <w14:schemeClr w14:val="tx1"/>
                        </w14:solidFill>
                      </w14:textFill>
                    </w:rPr>
                    <w:t>广东省《大气污染物排放限值》（DB44/27-2001）第二时段无组织排放浓度限值</w:t>
                  </w:r>
                </w:p>
              </w:tc>
              <w:tc>
                <w:tcPr>
                  <w:tcW w:w="1103" w:type="pct"/>
                  <w:gridSpan w:val="2"/>
                  <w:shd w:val="clear" w:color="auto" w:fill="auto"/>
                  <w:vAlign w:val="center"/>
                </w:tcPr>
                <w:p w14:paraId="393E740E">
                  <w:pPr>
                    <w:keepNext w:val="0"/>
                    <w:keepLines w:val="0"/>
                    <w:pageBreakBefore w:val="0"/>
                    <w:widowControl/>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color w:val="000000" w:themeColor="text1"/>
                      <w:sz w:val="21"/>
                      <w:szCs w:val="21"/>
                      <w14:textFill>
                        <w14:solidFill>
                          <w14:schemeClr w14:val="tx1"/>
                        </w14:solidFill>
                      </w14:textFill>
                    </w:rPr>
                    <w:t>1.0</w:t>
                  </w:r>
                </w:p>
              </w:tc>
              <w:tc>
                <w:tcPr>
                  <w:tcW w:w="495" w:type="pct"/>
                  <w:shd w:val="clear" w:color="auto" w:fill="auto"/>
                  <w:vAlign w:val="center"/>
                </w:tcPr>
                <w:p w14:paraId="2627ADC4">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r>
                    <w:rPr>
                      <w:rFonts w:hint="eastAsia" w:cs="Times New Roman"/>
                      <w:i w:val="0"/>
                      <w:iCs w:val="0"/>
                      <w:color w:val="000000" w:themeColor="text1"/>
                      <w:kern w:val="0"/>
                      <w:sz w:val="21"/>
                      <w:szCs w:val="21"/>
                      <w:u w:val="none"/>
                      <w:lang w:val="en-US" w:eastAsia="zh-CN" w:bidi="ar"/>
                      <w14:textFill>
                        <w14:solidFill>
                          <w14:schemeClr w14:val="tx1"/>
                        </w14:solidFill>
                      </w14:textFill>
                    </w:rPr>
                    <w:t>277</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r w14:paraId="7014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335" w:type="pct"/>
                  <w:vMerge w:val="continue"/>
                  <w:shd w:val="clear" w:color="auto" w:fill="auto"/>
                  <w:vAlign w:val="center"/>
                </w:tcPr>
                <w:p w14:paraId="7A0659F6">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289" w:type="pct"/>
                  <w:vMerge w:val="continue"/>
                  <w:shd w:val="clear" w:color="auto" w:fill="auto"/>
                  <w:vAlign w:val="center"/>
                </w:tcPr>
                <w:p w14:paraId="00D2F7F0">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474" w:type="pct"/>
                  <w:vMerge w:val="continue"/>
                  <w:shd w:val="clear" w:color="auto" w:fill="auto"/>
                  <w:vAlign w:val="center"/>
                </w:tcPr>
                <w:p w14:paraId="2EA4B97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428" w:type="pct"/>
                  <w:vMerge w:val="restart"/>
                  <w:shd w:val="clear" w:color="auto" w:fill="auto"/>
                  <w:vAlign w:val="center"/>
                </w:tcPr>
                <w:p w14:paraId="5CB177B8">
                  <w:pPr>
                    <w:keepNext w:val="0"/>
                    <w:keepLines w:val="0"/>
                    <w:pageBreakBefore w:val="0"/>
                    <w:widowControl/>
                    <w:kinsoku/>
                    <w:wordWrap w:val="0"/>
                    <w:overflowPunct/>
                    <w:topLinePunct/>
                    <w:autoSpaceDE/>
                    <w:autoSpaceDN/>
                    <w:bidi w:val="0"/>
                    <w:adjustRightInd/>
                    <w:snapToGrid/>
                    <w:spacing w:beforeAutospacing="0" w:afterAutospacing="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color w:val="000000" w:themeColor="text1"/>
                      <w:sz w:val="21"/>
                      <w:szCs w:val="21"/>
                      <w:lang w:val="en-US" w:eastAsia="zh-CN" w:bidi="ar"/>
                      <w14:textFill>
                        <w14:solidFill>
                          <w14:schemeClr w14:val="tx1"/>
                        </w14:solidFill>
                      </w14:textFill>
                    </w:rPr>
                    <w:t>VOCs（以</w:t>
                  </w:r>
                  <w:r>
                    <w:rPr>
                      <w:rFonts w:hint="eastAsia"/>
                      <w:color w:val="000000" w:themeColor="text1"/>
                      <w:sz w:val="21"/>
                      <w:szCs w:val="21"/>
                      <w:lang w:bidi="ar"/>
                      <w14:textFill>
                        <w14:solidFill>
                          <w14:schemeClr w14:val="tx1"/>
                        </w14:solidFill>
                      </w14:textFill>
                    </w:rPr>
                    <w:t>N</w:t>
                  </w:r>
                  <w:r>
                    <w:rPr>
                      <w:rFonts w:hint="eastAsia"/>
                      <w:color w:val="000000" w:themeColor="text1"/>
                      <w:sz w:val="21"/>
                      <w:szCs w:val="21"/>
                      <w:lang w:val="en-US" w:eastAsia="zh-CN" w:bidi="ar"/>
                      <w14:textFill>
                        <w14:solidFill>
                          <w14:schemeClr w14:val="tx1"/>
                        </w14:solidFill>
                      </w14:textFill>
                    </w:rPr>
                    <w:t>M</w:t>
                  </w:r>
                  <w:r>
                    <w:rPr>
                      <w:rFonts w:hint="eastAsia"/>
                      <w:color w:val="000000" w:themeColor="text1"/>
                      <w:sz w:val="21"/>
                      <w:szCs w:val="21"/>
                      <w:lang w:bidi="ar"/>
                      <w14:textFill>
                        <w14:solidFill>
                          <w14:schemeClr w14:val="tx1"/>
                        </w14:solidFill>
                      </w14:textFill>
                    </w:rPr>
                    <w:t>HC</w:t>
                  </w:r>
                  <w:r>
                    <w:rPr>
                      <w:rFonts w:hint="eastAsia"/>
                      <w:color w:val="000000" w:themeColor="text1"/>
                      <w:sz w:val="21"/>
                      <w:szCs w:val="21"/>
                      <w:lang w:val="en-US" w:eastAsia="zh-CN" w:bidi="ar"/>
                      <w14:textFill>
                        <w14:solidFill>
                          <w14:schemeClr w14:val="tx1"/>
                        </w14:solidFill>
                      </w14:textFill>
                    </w:rPr>
                    <w:t>计）</w:t>
                  </w:r>
                </w:p>
              </w:tc>
              <w:tc>
                <w:tcPr>
                  <w:tcW w:w="324" w:type="pct"/>
                  <w:vMerge w:val="continue"/>
                  <w:shd w:val="clear" w:color="auto" w:fill="auto"/>
                  <w:vAlign w:val="center"/>
                </w:tcPr>
                <w:p w14:paraId="2A1DFA1A">
                  <w:pPr>
                    <w:keepNext w:val="0"/>
                    <w:keepLines w:val="0"/>
                    <w:pageBreakBefore w:val="0"/>
                    <w:widowControl/>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1547" w:type="pct"/>
                  <w:vMerge w:val="restart"/>
                  <w:shd w:val="clear" w:color="auto" w:fill="auto"/>
                  <w:vAlign w:val="center"/>
                </w:tcPr>
                <w:p w14:paraId="30FE7256">
                  <w:pPr>
                    <w:keepNext w:val="0"/>
                    <w:keepLines w:val="0"/>
                    <w:pageBreakBefore w:val="0"/>
                    <w:widowControl/>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color w:val="000000" w:themeColor="text1"/>
                      <w:sz w:val="21"/>
                      <w:szCs w:val="21"/>
                      <w14:textFill>
                        <w14:solidFill>
                          <w14:schemeClr w14:val="tx1"/>
                        </w14:solidFill>
                      </w14:textFill>
                    </w:rPr>
                    <w:t>广东省《固定污染源挥发性有机物综合排放标准》（DB44/2367-2022）表3厂区内VOCs 无组织排放限值要求</w:t>
                  </w:r>
                </w:p>
              </w:tc>
              <w:tc>
                <w:tcPr>
                  <w:tcW w:w="711" w:type="pct"/>
                  <w:shd w:val="clear" w:color="auto" w:fill="auto"/>
                  <w:vAlign w:val="center"/>
                </w:tcPr>
                <w:p w14:paraId="4992ADC0">
                  <w:pPr>
                    <w:keepNext w:val="0"/>
                    <w:keepLines w:val="0"/>
                    <w:pageBreakBefore w:val="0"/>
                    <w:widowControl/>
                    <w:tabs>
                      <w:tab w:val="left" w:pos="452"/>
                    </w:tabs>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color w:val="000000" w:themeColor="text1"/>
                      <w:sz w:val="21"/>
                      <w:szCs w:val="21"/>
                      <w14:textFill>
                        <w14:solidFill>
                          <w14:schemeClr w14:val="tx1"/>
                        </w14:solidFill>
                      </w14:textFill>
                    </w:rPr>
                    <w:t>监控点处1小时平均浓度值</w:t>
                  </w:r>
                </w:p>
              </w:tc>
              <w:tc>
                <w:tcPr>
                  <w:tcW w:w="391" w:type="pct"/>
                  <w:shd w:val="clear" w:color="auto" w:fill="auto"/>
                  <w:vAlign w:val="center"/>
                </w:tcPr>
                <w:p w14:paraId="2C798A20">
                  <w:pPr>
                    <w:keepNext w:val="0"/>
                    <w:keepLines w:val="0"/>
                    <w:pageBreakBefore w:val="0"/>
                    <w:widowControl/>
                    <w:tabs>
                      <w:tab w:val="left" w:pos="452"/>
                    </w:tabs>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color w:val="000000" w:themeColor="text1"/>
                      <w:sz w:val="21"/>
                      <w:szCs w:val="21"/>
                      <w14:textFill>
                        <w14:solidFill>
                          <w14:schemeClr w14:val="tx1"/>
                        </w14:solidFill>
                      </w14:textFill>
                    </w:rPr>
                    <w:t>6</w:t>
                  </w:r>
                </w:p>
              </w:tc>
              <w:tc>
                <w:tcPr>
                  <w:tcW w:w="495" w:type="pct"/>
                  <w:vMerge w:val="restart"/>
                  <w:shd w:val="clear" w:color="auto" w:fill="auto"/>
                  <w:vAlign w:val="center"/>
                </w:tcPr>
                <w:p w14:paraId="02EA295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0.352 </w:t>
                  </w:r>
                </w:p>
              </w:tc>
            </w:tr>
            <w:tr w14:paraId="5BB7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9" w:hRule="atLeast"/>
              </w:trPr>
              <w:tc>
                <w:tcPr>
                  <w:tcW w:w="335" w:type="pct"/>
                  <w:vMerge w:val="continue"/>
                  <w:shd w:val="clear" w:color="auto" w:fill="auto"/>
                  <w:vAlign w:val="center"/>
                </w:tcPr>
                <w:p w14:paraId="6B7FCED0">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289" w:type="pct"/>
                  <w:vMerge w:val="continue"/>
                  <w:shd w:val="clear" w:color="auto" w:fill="auto"/>
                  <w:vAlign w:val="center"/>
                </w:tcPr>
                <w:p w14:paraId="590CAE9B">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474" w:type="pct"/>
                  <w:vMerge w:val="continue"/>
                  <w:shd w:val="clear" w:color="auto" w:fill="auto"/>
                  <w:vAlign w:val="center"/>
                </w:tcPr>
                <w:p w14:paraId="65743D5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c>
                <w:tcPr>
                  <w:tcW w:w="428" w:type="pct"/>
                  <w:vMerge w:val="continue"/>
                  <w:shd w:val="clear" w:color="auto" w:fill="auto"/>
                  <w:vAlign w:val="center"/>
                </w:tcPr>
                <w:p w14:paraId="5681D7CB">
                  <w:pPr>
                    <w:keepNext w:val="0"/>
                    <w:keepLines w:val="0"/>
                    <w:pageBreakBefore w:val="0"/>
                    <w:widowControl/>
                    <w:kinsoku/>
                    <w:wordWrap w:val="0"/>
                    <w:overflowPunct/>
                    <w:topLinePunct/>
                    <w:autoSpaceDE/>
                    <w:autoSpaceDN/>
                    <w:bidi w:val="0"/>
                    <w:adjustRightInd/>
                    <w:snapToGrid/>
                    <w:spacing w:beforeAutospacing="0" w:afterAutospacing="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c>
                <w:tcPr>
                  <w:tcW w:w="324" w:type="pct"/>
                  <w:vMerge w:val="continue"/>
                  <w:shd w:val="clear" w:color="auto" w:fill="auto"/>
                  <w:vAlign w:val="center"/>
                </w:tcPr>
                <w:p w14:paraId="6F90A841">
                  <w:pPr>
                    <w:keepNext w:val="0"/>
                    <w:keepLines w:val="0"/>
                    <w:pageBreakBefore w:val="0"/>
                    <w:widowControl/>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1547" w:type="pct"/>
                  <w:vMerge w:val="continue"/>
                  <w:shd w:val="clear" w:color="auto" w:fill="auto"/>
                  <w:vAlign w:val="center"/>
                </w:tcPr>
                <w:p w14:paraId="79AB7A39">
                  <w:pPr>
                    <w:keepNext w:val="0"/>
                    <w:keepLines w:val="0"/>
                    <w:pageBreakBefore w:val="0"/>
                    <w:widowControl/>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711" w:type="pct"/>
                  <w:shd w:val="clear" w:color="auto" w:fill="auto"/>
                  <w:vAlign w:val="center"/>
                </w:tcPr>
                <w:p w14:paraId="1616E103">
                  <w:pPr>
                    <w:keepNext w:val="0"/>
                    <w:keepLines w:val="0"/>
                    <w:pageBreakBefore w:val="0"/>
                    <w:widowControl/>
                    <w:tabs>
                      <w:tab w:val="left" w:pos="452"/>
                    </w:tabs>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color w:val="000000" w:themeColor="text1"/>
                      <w:sz w:val="21"/>
                      <w:szCs w:val="21"/>
                      <w14:textFill>
                        <w14:solidFill>
                          <w14:schemeClr w14:val="tx1"/>
                        </w14:solidFill>
                      </w14:textFill>
                    </w:rPr>
                    <w:t>监控点处任意一次浓度值</w:t>
                  </w:r>
                </w:p>
              </w:tc>
              <w:tc>
                <w:tcPr>
                  <w:tcW w:w="391" w:type="pct"/>
                  <w:shd w:val="clear" w:color="auto" w:fill="auto"/>
                  <w:vAlign w:val="center"/>
                </w:tcPr>
                <w:p w14:paraId="75E6BACC">
                  <w:pPr>
                    <w:keepNext w:val="0"/>
                    <w:keepLines w:val="0"/>
                    <w:pageBreakBefore w:val="0"/>
                    <w:widowControl/>
                    <w:tabs>
                      <w:tab w:val="left" w:pos="452"/>
                    </w:tabs>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color w:val="000000" w:themeColor="text1"/>
                      <w:sz w:val="21"/>
                      <w:szCs w:val="21"/>
                      <w14:textFill>
                        <w14:solidFill>
                          <w14:schemeClr w14:val="tx1"/>
                        </w14:solidFill>
                      </w14:textFill>
                    </w:rPr>
                    <w:t>20</w:t>
                  </w:r>
                </w:p>
              </w:tc>
              <w:tc>
                <w:tcPr>
                  <w:tcW w:w="495" w:type="pct"/>
                  <w:vMerge w:val="continue"/>
                  <w:shd w:val="clear" w:color="auto" w:fill="auto"/>
                  <w:vAlign w:val="center"/>
                </w:tcPr>
                <w:p w14:paraId="106FC5A7">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r>
            <w:tr w14:paraId="2539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71" w:hRule="atLeast"/>
              </w:trPr>
              <w:tc>
                <w:tcPr>
                  <w:tcW w:w="335" w:type="pct"/>
                  <w:vMerge w:val="continue"/>
                  <w:shd w:val="clear" w:color="auto" w:fill="auto"/>
                  <w:vAlign w:val="center"/>
                </w:tcPr>
                <w:p w14:paraId="1384BA7E">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289" w:type="pct"/>
                  <w:vMerge w:val="continue"/>
                  <w:shd w:val="clear" w:color="auto" w:fill="auto"/>
                  <w:vAlign w:val="center"/>
                </w:tcPr>
                <w:p w14:paraId="5B4BACDA">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474" w:type="pct"/>
                  <w:vMerge w:val="continue"/>
                  <w:shd w:val="clear" w:color="auto" w:fill="auto"/>
                  <w:vAlign w:val="center"/>
                </w:tcPr>
                <w:p w14:paraId="5B1A593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428" w:type="pct"/>
                  <w:shd w:val="clear" w:color="auto" w:fill="auto"/>
                  <w:vAlign w:val="center"/>
                </w:tcPr>
                <w:p w14:paraId="1480AEB2">
                  <w:pPr>
                    <w:keepNext w:val="0"/>
                    <w:keepLines w:val="0"/>
                    <w:pageBreakBefore w:val="0"/>
                    <w:widowControl/>
                    <w:kinsoku/>
                    <w:wordWrap w:val="0"/>
                    <w:overflowPunct/>
                    <w:topLinePunct/>
                    <w:autoSpaceDE/>
                    <w:autoSpaceDN/>
                    <w:bidi w:val="0"/>
                    <w:adjustRightInd/>
                    <w:snapToGrid/>
                    <w:spacing w:beforeAutospacing="0" w:afterAutospacing="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color w:val="000000" w:themeColor="text1"/>
                      <w:sz w:val="21"/>
                      <w:szCs w:val="21"/>
                      <w:lang w:bidi="ar"/>
                      <w14:textFill>
                        <w14:solidFill>
                          <w14:schemeClr w14:val="tx1"/>
                        </w14:solidFill>
                      </w14:textFill>
                    </w:rPr>
                    <w:t>苯系物</w:t>
                  </w:r>
                </w:p>
              </w:tc>
              <w:tc>
                <w:tcPr>
                  <w:tcW w:w="324" w:type="pct"/>
                  <w:vMerge w:val="continue"/>
                  <w:shd w:val="clear" w:color="auto" w:fill="auto"/>
                  <w:vAlign w:val="center"/>
                </w:tcPr>
                <w:p w14:paraId="463EA0E8">
                  <w:pPr>
                    <w:keepNext w:val="0"/>
                    <w:keepLines w:val="0"/>
                    <w:pageBreakBefore w:val="0"/>
                    <w:widowControl/>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1547" w:type="pct"/>
                  <w:shd w:val="clear" w:color="auto" w:fill="auto"/>
                  <w:vAlign w:val="center"/>
                </w:tcPr>
                <w:p w14:paraId="2F83B527">
                  <w:pPr>
                    <w:keepNext w:val="0"/>
                    <w:keepLines w:val="0"/>
                    <w:pageBreakBefore w:val="0"/>
                    <w:widowControl/>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kern w:val="2"/>
                      <w:sz w:val="21"/>
                      <w:szCs w:val="21"/>
                      <w:u w:val="none"/>
                      <w:lang w:val="en-US" w:eastAsia="zh-CN" w:bidi="ar-SA"/>
                      <w14:textFill>
                        <w14:solidFill>
                          <w14:schemeClr w14:val="tx1"/>
                        </w14:solidFill>
                      </w14:textFill>
                    </w:rPr>
                  </w:pPr>
                  <w:r>
                    <w:rPr>
                      <w:color w:val="000000" w:themeColor="text1"/>
                      <w:sz w:val="21"/>
                      <w:szCs w:val="21"/>
                      <w14:textFill>
                        <w14:solidFill>
                          <w14:schemeClr w14:val="tx1"/>
                        </w14:solidFill>
                      </w14:textFill>
                    </w:rPr>
                    <w:t>广东省《大气污染物排放限值》（DB44/27-2001）第二时段无组织排放浓度限值</w:t>
                  </w:r>
                </w:p>
              </w:tc>
              <w:tc>
                <w:tcPr>
                  <w:tcW w:w="1103" w:type="pct"/>
                  <w:gridSpan w:val="2"/>
                  <w:shd w:val="clear" w:color="auto" w:fill="auto"/>
                  <w:vAlign w:val="center"/>
                </w:tcPr>
                <w:p w14:paraId="4CDE1790">
                  <w:pPr>
                    <w:keepNext w:val="0"/>
                    <w:keepLines w:val="0"/>
                    <w:pageBreakBefore w:val="0"/>
                    <w:widowControl/>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1.2</w:t>
                  </w:r>
                </w:p>
              </w:tc>
              <w:tc>
                <w:tcPr>
                  <w:tcW w:w="495" w:type="pct"/>
                  <w:shd w:val="clear" w:color="auto" w:fill="auto"/>
                  <w:vAlign w:val="center"/>
                </w:tcPr>
                <w:p w14:paraId="793ECC86">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0.170 </w:t>
                  </w:r>
                </w:p>
              </w:tc>
            </w:tr>
            <w:tr w14:paraId="37E9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1" w:hRule="atLeast"/>
              </w:trPr>
              <w:tc>
                <w:tcPr>
                  <w:tcW w:w="335" w:type="pct"/>
                  <w:vMerge w:val="continue"/>
                  <w:shd w:val="clear" w:color="auto" w:fill="auto"/>
                  <w:vAlign w:val="center"/>
                </w:tcPr>
                <w:p w14:paraId="78884526">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289" w:type="pct"/>
                  <w:vMerge w:val="continue"/>
                  <w:shd w:val="clear" w:color="auto" w:fill="auto"/>
                  <w:vAlign w:val="center"/>
                </w:tcPr>
                <w:p w14:paraId="21977259">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474" w:type="pct"/>
                  <w:vMerge w:val="continue"/>
                  <w:shd w:val="clear" w:color="auto" w:fill="auto"/>
                  <w:vAlign w:val="center"/>
                </w:tcPr>
                <w:p w14:paraId="3F06580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428" w:type="pct"/>
                  <w:shd w:val="clear" w:color="auto" w:fill="auto"/>
                  <w:vAlign w:val="center"/>
                </w:tcPr>
                <w:p w14:paraId="7E01D7D4">
                  <w:pPr>
                    <w:keepNext w:val="0"/>
                    <w:keepLines w:val="0"/>
                    <w:pageBreakBefore w:val="0"/>
                    <w:widowControl/>
                    <w:kinsoku/>
                    <w:wordWrap w:val="0"/>
                    <w:overflowPunct/>
                    <w:topLinePunct/>
                    <w:autoSpaceDE/>
                    <w:autoSpaceDN/>
                    <w:bidi w:val="0"/>
                    <w:adjustRightInd/>
                    <w:snapToGrid/>
                    <w:spacing w:beforeAutospacing="0" w:afterAutospacing="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color w:val="000000" w:themeColor="text1"/>
                      <w:sz w:val="21"/>
                      <w:szCs w:val="21"/>
                      <w:lang w:bidi="ar"/>
                      <w14:textFill>
                        <w14:solidFill>
                          <w14:schemeClr w14:val="tx1"/>
                        </w14:solidFill>
                      </w14:textFill>
                    </w:rPr>
                    <w:t>SO</w:t>
                  </w:r>
                  <w:r>
                    <w:rPr>
                      <w:color w:val="000000" w:themeColor="text1"/>
                      <w:sz w:val="21"/>
                      <w:szCs w:val="21"/>
                      <w:vertAlign w:val="subscript"/>
                      <w:lang w:bidi="ar"/>
                      <w14:textFill>
                        <w14:solidFill>
                          <w14:schemeClr w14:val="tx1"/>
                        </w14:solidFill>
                      </w14:textFill>
                    </w:rPr>
                    <w:t>2</w:t>
                  </w:r>
                </w:p>
              </w:tc>
              <w:tc>
                <w:tcPr>
                  <w:tcW w:w="324" w:type="pct"/>
                  <w:vMerge w:val="continue"/>
                  <w:shd w:val="clear" w:color="auto" w:fill="auto"/>
                  <w:vAlign w:val="center"/>
                </w:tcPr>
                <w:p w14:paraId="702176DB">
                  <w:pPr>
                    <w:keepNext w:val="0"/>
                    <w:keepLines w:val="0"/>
                    <w:pageBreakBefore w:val="0"/>
                    <w:widowControl/>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1547" w:type="pct"/>
                  <w:vMerge w:val="restart"/>
                  <w:shd w:val="clear" w:color="auto" w:fill="auto"/>
                  <w:vAlign w:val="center"/>
                </w:tcPr>
                <w:p w14:paraId="311BF74E">
                  <w:pPr>
                    <w:keepNext w:val="0"/>
                    <w:keepLines w:val="0"/>
                    <w:pageBreakBefore w:val="0"/>
                    <w:widowControl/>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color w:val="000000" w:themeColor="text1"/>
                      <w:sz w:val="21"/>
                      <w:szCs w:val="21"/>
                      <w:lang w:bidi="ar"/>
                      <w14:textFill>
                        <w14:solidFill>
                          <w14:schemeClr w14:val="tx1"/>
                        </w14:solidFill>
                      </w14:textFill>
                    </w:rPr>
                    <w:t>根据《关于印发&lt;工业炉窑大气污染综合治理方案&gt;的通知》（环大气〔2019〕56号）和《关于贯彻落实&lt;工业炉窑大气污染物综合治理方案&gt;的实施意见》（粤环函〔2019〕1112号），废气按照二氧化硫、氮氧化物排放限值分别不高于200、300毫克/立方米控制</w:t>
                  </w:r>
                </w:p>
              </w:tc>
              <w:tc>
                <w:tcPr>
                  <w:tcW w:w="1103" w:type="pct"/>
                  <w:gridSpan w:val="2"/>
                  <w:shd w:val="clear" w:color="auto" w:fill="auto"/>
                  <w:vAlign w:val="center"/>
                </w:tcPr>
                <w:p w14:paraId="60FE4091">
                  <w:pPr>
                    <w:keepNext w:val="0"/>
                    <w:keepLines w:val="0"/>
                    <w:pageBreakBefore w:val="0"/>
                    <w:widowControl/>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color w:val="000000" w:themeColor="text1"/>
                      <w:sz w:val="21"/>
                      <w:szCs w:val="21"/>
                      <w14:textFill>
                        <w14:solidFill>
                          <w14:schemeClr w14:val="tx1"/>
                        </w14:solidFill>
                      </w14:textFill>
                    </w:rPr>
                    <w:t>/</w:t>
                  </w:r>
                </w:p>
              </w:tc>
              <w:tc>
                <w:tcPr>
                  <w:tcW w:w="495" w:type="pct"/>
                  <w:shd w:val="clear" w:color="auto" w:fill="auto"/>
                  <w:vAlign w:val="center"/>
                </w:tcPr>
                <w:p w14:paraId="35367B9E">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0</w:t>
                  </w:r>
                </w:p>
              </w:tc>
            </w:tr>
            <w:tr w14:paraId="684A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91" w:hRule="atLeast"/>
              </w:trPr>
              <w:tc>
                <w:tcPr>
                  <w:tcW w:w="335" w:type="pct"/>
                  <w:vMerge w:val="continue"/>
                  <w:shd w:val="clear" w:color="auto" w:fill="auto"/>
                  <w:vAlign w:val="center"/>
                </w:tcPr>
                <w:p w14:paraId="23E128D4">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289" w:type="pct"/>
                  <w:vMerge w:val="continue"/>
                  <w:shd w:val="clear" w:color="auto" w:fill="auto"/>
                  <w:vAlign w:val="center"/>
                </w:tcPr>
                <w:p w14:paraId="16C2267F">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474" w:type="pct"/>
                  <w:vMerge w:val="continue"/>
                  <w:shd w:val="clear" w:color="auto" w:fill="auto"/>
                  <w:vAlign w:val="center"/>
                </w:tcPr>
                <w:p w14:paraId="4CB3BA2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428" w:type="pct"/>
                  <w:shd w:val="clear" w:color="auto" w:fill="auto"/>
                  <w:vAlign w:val="center"/>
                </w:tcPr>
                <w:p w14:paraId="3E34C7CA">
                  <w:pPr>
                    <w:keepNext w:val="0"/>
                    <w:keepLines w:val="0"/>
                    <w:pageBreakBefore w:val="0"/>
                    <w:widowControl/>
                    <w:kinsoku/>
                    <w:wordWrap w:val="0"/>
                    <w:overflowPunct/>
                    <w:topLinePunct/>
                    <w:autoSpaceDE/>
                    <w:autoSpaceDN/>
                    <w:bidi w:val="0"/>
                    <w:adjustRightInd/>
                    <w:snapToGrid/>
                    <w:spacing w:beforeAutospacing="0" w:afterAutospacing="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color w:val="000000" w:themeColor="text1"/>
                      <w:sz w:val="21"/>
                      <w:szCs w:val="21"/>
                      <w:lang w:bidi="ar"/>
                      <w14:textFill>
                        <w14:solidFill>
                          <w14:schemeClr w14:val="tx1"/>
                        </w14:solidFill>
                      </w14:textFill>
                    </w:rPr>
                    <w:t>NO</w:t>
                  </w:r>
                  <w:r>
                    <w:rPr>
                      <w:color w:val="000000" w:themeColor="text1"/>
                      <w:sz w:val="21"/>
                      <w:szCs w:val="21"/>
                      <w:vertAlign w:val="subscript"/>
                      <w:lang w:bidi="ar"/>
                      <w14:textFill>
                        <w14:solidFill>
                          <w14:schemeClr w14:val="tx1"/>
                        </w14:solidFill>
                      </w14:textFill>
                    </w:rPr>
                    <w:t>2</w:t>
                  </w:r>
                </w:p>
              </w:tc>
              <w:tc>
                <w:tcPr>
                  <w:tcW w:w="324" w:type="pct"/>
                  <w:vMerge w:val="continue"/>
                  <w:shd w:val="clear" w:color="auto" w:fill="auto"/>
                  <w:vAlign w:val="center"/>
                </w:tcPr>
                <w:p w14:paraId="241C25D6">
                  <w:pPr>
                    <w:keepNext w:val="0"/>
                    <w:keepLines w:val="0"/>
                    <w:pageBreakBefore w:val="0"/>
                    <w:widowControl/>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1547" w:type="pct"/>
                  <w:vMerge w:val="continue"/>
                  <w:shd w:val="clear" w:color="auto" w:fill="auto"/>
                  <w:vAlign w:val="center"/>
                </w:tcPr>
                <w:p w14:paraId="7324408F">
                  <w:pPr>
                    <w:keepNext w:val="0"/>
                    <w:keepLines w:val="0"/>
                    <w:pageBreakBefore w:val="0"/>
                    <w:widowControl/>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1103" w:type="pct"/>
                  <w:gridSpan w:val="2"/>
                  <w:shd w:val="clear" w:color="auto" w:fill="auto"/>
                  <w:vAlign w:val="center"/>
                </w:tcPr>
                <w:p w14:paraId="1088DB69">
                  <w:pPr>
                    <w:keepNext w:val="0"/>
                    <w:keepLines w:val="0"/>
                    <w:pageBreakBefore w:val="0"/>
                    <w:widowControl/>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color w:val="000000" w:themeColor="text1"/>
                      <w:sz w:val="21"/>
                      <w:szCs w:val="21"/>
                      <w14:textFill>
                        <w14:solidFill>
                          <w14:schemeClr w14:val="tx1"/>
                        </w14:solidFill>
                      </w14:textFill>
                    </w:rPr>
                    <w:t>/</w:t>
                  </w:r>
                </w:p>
              </w:tc>
              <w:tc>
                <w:tcPr>
                  <w:tcW w:w="495" w:type="pct"/>
                  <w:shd w:val="clear" w:color="auto" w:fill="auto"/>
                  <w:vAlign w:val="center"/>
                </w:tcPr>
                <w:p w14:paraId="2BFD19EF">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0</w:t>
                  </w:r>
                </w:p>
              </w:tc>
            </w:tr>
            <w:tr w14:paraId="1757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335" w:type="pct"/>
                  <w:vMerge w:val="continue"/>
                  <w:shd w:val="clear" w:color="auto" w:fill="auto"/>
                  <w:vAlign w:val="center"/>
                </w:tcPr>
                <w:p w14:paraId="192D9D40">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289" w:type="pct"/>
                  <w:vMerge w:val="continue"/>
                  <w:shd w:val="clear" w:color="auto" w:fill="auto"/>
                  <w:vAlign w:val="center"/>
                </w:tcPr>
                <w:p w14:paraId="578D13D7">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474" w:type="pct"/>
                  <w:vMerge w:val="continue"/>
                  <w:shd w:val="clear" w:color="auto" w:fill="auto"/>
                  <w:vAlign w:val="center"/>
                </w:tcPr>
                <w:p w14:paraId="76D24E2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428" w:type="pct"/>
                  <w:shd w:val="clear" w:color="auto" w:fill="auto"/>
                  <w:vAlign w:val="center"/>
                </w:tcPr>
                <w:p w14:paraId="1FDF4D91">
                  <w:pPr>
                    <w:keepNext w:val="0"/>
                    <w:keepLines w:val="0"/>
                    <w:pageBreakBefore w:val="0"/>
                    <w:widowControl/>
                    <w:kinsoku/>
                    <w:wordWrap w:val="0"/>
                    <w:overflowPunct/>
                    <w:topLinePunct/>
                    <w:autoSpaceDE/>
                    <w:autoSpaceDN/>
                    <w:bidi w:val="0"/>
                    <w:adjustRightInd/>
                    <w:snapToGrid/>
                    <w:spacing w:beforeAutospacing="0" w:afterAutospacing="0"/>
                    <w:jc w:val="center"/>
                    <w:textAlignment w:val="center"/>
                    <w:rPr>
                      <w:color w:val="000000" w:themeColor="text1"/>
                      <w:sz w:val="21"/>
                      <w:szCs w:val="21"/>
                      <w:lang w:bidi="ar"/>
                      <w14:textFill>
                        <w14:solidFill>
                          <w14:schemeClr w14:val="tx1"/>
                        </w14:solidFill>
                      </w14:textFill>
                    </w:rPr>
                  </w:pPr>
                  <w:r>
                    <w:rPr>
                      <w:color w:val="000000" w:themeColor="text1"/>
                      <w:szCs w:val="21"/>
                      <w14:textFill>
                        <w14:solidFill>
                          <w14:schemeClr w14:val="tx1"/>
                        </w14:solidFill>
                      </w14:textFill>
                    </w:rPr>
                    <w:t>臭气浓度</w:t>
                  </w:r>
                </w:p>
              </w:tc>
              <w:tc>
                <w:tcPr>
                  <w:tcW w:w="324" w:type="pct"/>
                  <w:vMerge w:val="continue"/>
                  <w:shd w:val="clear" w:color="auto" w:fill="auto"/>
                  <w:vAlign w:val="center"/>
                </w:tcPr>
                <w:p w14:paraId="45055C96">
                  <w:pPr>
                    <w:keepNext w:val="0"/>
                    <w:keepLines w:val="0"/>
                    <w:pageBreakBefore w:val="0"/>
                    <w:widowControl/>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1547" w:type="pct"/>
                  <w:shd w:val="clear" w:color="auto" w:fill="auto"/>
                  <w:vAlign w:val="center"/>
                </w:tcPr>
                <w:p w14:paraId="35A93596">
                  <w:pPr>
                    <w:keepNext w:val="0"/>
                    <w:keepLines w:val="0"/>
                    <w:pageBreakBefore w:val="0"/>
                    <w:widowControl/>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color w:val="000000" w:themeColor="text1"/>
                      <w:sz w:val="21"/>
                      <w:szCs w:val="21"/>
                      <w14:textFill>
                        <w14:solidFill>
                          <w14:schemeClr w14:val="tx1"/>
                        </w14:solidFill>
                      </w14:textFill>
                    </w:rPr>
                    <w:t>《恶臭污染物排放标准》（</w:t>
                  </w:r>
                  <w:r>
                    <w:rPr>
                      <w:rFonts w:hint="eastAsia"/>
                      <w:color w:val="000000" w:themeColor="text1"/>
                      <w:sz w:val="21"/>
                      <w:szCs w:val="21"/>
                      <w:lang w:eastAsia="zh-CN"/>
                      <w14:textFill>
                        <w14:solidFill>
                          <w14:schemeClr w14:val="tx1"/>
                        </w14:solidFill>
                      </w14:textFill>
                    </w:rPr>
                    <w:t>GB 14554-1993</w:t>
                  </w:r>
                  <w:r>
                    <w:rPr>
                      <w:color w:val="000000" w:themeColor="text1"/>
                      <w:sz w:val="21"/>
                      <w:szCs w:val="21"/>
                      <w14:textFill>
                        <w14:solidFill>
                          <w14:schemeClr w14:val="tx1"/>
                        </w14:solidFill>
                      </w14:textFill>
                    </w:rPr>
                    <w:t>）表1新扩改建厂界二级标准限值</w:t>
                  </w:r>
                </w:p>
              </w:tc>
              <w:tc>
                <w:tcPr>
                  <w:tcW w:w="1103" w:type="pct"/>
                  <w:gridSpan w:val="2"/>
                  <w:shd w:val="clear" w:color="auto" w:fill="auto"/>
                  <w:vAlign w:val="center"/>
                </w:tcPr>
                <w:p w14:paraId="4D04BBFF">
                  <w:pPr>
                    <w:keepNext w:val="0"/>
                    <w:keepLines w:val="0"/>
                    <w:pageBreakBefore w:val="0"/>
                    <w:widowControl/>
                    <w:kinsoku/>
                    <w:wordWrap w:val="0"/>
                    <w:overflowPunct/>
                    <w:topLinePunct/>
                    <w:autoSpaceDE/>
                    <w:autoSpaceDN/>
                    <w:bidi w:val="0"/>
                    <w:adjustRightInd/>
                    <w:snapToGrid/>
                    <w:spacing w:beforeAutospacing="0" w:afterAutospacing="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厂界：20</w:t>
                  </w:r>
                </w:p>
                <w:p w14:paraId="308CBB4F">
                  <w:pPr>
                    <w:keepNext w:val="0"/>
                    <w:keepLines w:val="0"/>
                    <w:pageBreakBefore w:val="0"/>
                    <w:widowControl/>
                    <w:kinsoku/>
                    <w:wordWrap w:val="0"/>
                    <w:overflowPunct/>
                    <w:topLinePunct/>
                    <w:autoSpaceDE/>
                    <w:autoSpaceDN/>
                    <w:bidi w:val="0"/>
                    <w:adjustRightInd/>
                    <w:snapToGrid/>
                    <w:spacing w:beforeAutospacing="0" w:afterAutospacing="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（无量纲）</w:t>
                  </w:r>
                </w:p>
              </w:tc>
              <w:tc>
                <w:tcPr>
                  <w:tcW w:w="495" w:type="pct"/>
                  <w:shd w:val="clear" w:color="auto" w:fill="auto"/>
                  <w:vAlign w:val="center"/>
                </w:tcPr>
                <w:p w14:paraId="299923E2">
                  <w:pPr>
                    <w:keepNext w:val="0"/>
                    <w:keepLines w:val="0"/>
                    <w:widowControl/>
                    <w:suppressLineNumbers w:val="0"/>
                    <w:jc w:val="center"/>
                    <w:textAlignment w:val="center"/>
                    <w:rPr>
                      <w:rFonts w:hint="default"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u w:val="none"/>
                      <w:lang w:val="en-US" w:eastAsia="zh-CN" w:bidi="ar"/>
                      <w14:textFill>
                        <w14:solidFill>
                          <w14:schemeClr w14:val="tx1"/>
                        </w14:solidFill>
                      </w14:textFill>
                    </w:rPr>
                    <w:t>少量</w:t>
                  </w:r>
                </w:p>
              </w:tc>
            </w:tr>
            <w:tr w14:paraId="6F3D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35" w:type="pct"/>
                  <w:vMerge w:val="continue"/>
                  <w:shd w:val="clear" w:color="auto" w:fill="auto"/>
                  <w:vAlign w:val="center"/>
                </w:tcPr>
                <w:p w14:paraId="7E8EA962">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289" w:type="pct"/>
                  <w:vMerge w:val="continue"/>
                  <w:shd w:val="clear" w:color="auto" w:fill="auto"/>
                  <w:vAlign w:val="center"/>
                </w:tcPr>
                <w:p w14:paraId="2F599748">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474" w:type="pct"/>
                  <w:vMerge w:val="continue"/>
                  <w:shd w:val="clear" w:color="auto" w:fill="auto"/>
                  <w:vAlign w:val="center"/>
                </w:tcPr>
                <w:p w14:paraId="1635683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p>
              </w:tc>
              <w:tc>
                <w:tcPr>
                  <w:tcW w:w="428" w:type="pct"/>
                  <w:shd w:val="clear" w:color="auto" w:fill="auto"/>
                  <w:vAlign w:val="center"/>
                </w:tcPr>
                <w:p w14:paraId="68B413F1">
                  <w:pPr>
                    <w:pStyle w:val="109"/>
                    <w:keepNext w:val="0"/>
                    <w:keepLines w:val="0"/>
                    <w:pageBreakBefore w:val="0"/>
                    <w:tabs>
                      <w:tab w:val="left" w:pos="-2848"/>
                    </w:tabs>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cs="Times New Roman"/>
                      <w:i w:val="0"/>
                      <w:iCs w:val="0"/>
                      <w:color w:val="000000" w:themeColor="text1"/>
                      <w:kern w:val="2"/>
                      <w:sz w:val="21"/>
                      <w:szCs w:val="21"/>
                      <w:u w:val="none"/>
                      <w:lang w:val="en-US" w:eastAsia="zh-CN" w:bidi="ar-SA"/>
                      <w14:textFill>
                        <w14:solidFill>
                          <w14:schemeClr w14:val="tx1"/>
                        </w14:solidFill>
                      </w14:textFill>
                    </w:rPr>
                    <w:t>氟化物</w:t>
                  </w:r>
                </w:p>
              </w:tc>
              <w:tc>
                <w:tcPr>
                  <w:tcW w:w="324" w:type="pct"/>
                  <w:vMerge w:val="continue"/>
                  <w:shd w:val="clear" w:color="auto" w:fill="auto"/>
                  <w:vAlign w:val="center"/>
                </w:tcPr>
                <w:p w14:paraId="4DD36A60">
                  <w:pPr>
                    <w:keepNext w:val="0"/>
                    <w:keepLines w:val="0"/>
                    <w:pageBreakBefore w:val="0"/>
                    <w:widowControl/>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1547" w:type="pct"/>
                  <w:shd w:val="clear" w:color="auto" w:fill="auto"/>
                  <w:vAlign w:val="center"/>
                </w:tcPr>
                <w:p w14:paraId="3D371945">
                  <w:pPr>
                    <w:keepNext w:val="0"/>
                    <w:keepLines w:val="0"/>
                    <w:pageBreakBefore w:val="0"/>
                    <w:widowControl/>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color w:val="000000" w:themeColor="text1"/>
                      <w:sz w:val="21"/>
                      <w:szCs w:val="21"/>
                      <w14:textFill>
                        <w14:solidFill>
                          <w14:schemeClr w14:val="tx1"/>
                        </w14:solidFill>
                      </w14:textFill>
                    </w:rPr>
                    <w:t>广东省《大气污染物排放限值》（DB44/27-2001）第二时段无组织排放浓度限值</w:t>
                  </w:r>
                </w:p>
              </w:tc>
              <w:tc>
                <w:tcPr>
                  <w:tcW w:w="1103" w:type="pct"/>
                  <w:gridSpan w:val="2"/>
                  <w:shd w:val="clear" w:color="auto" w:fill="auto"/>
                  <w:vAlign w:val="center"/>
                </w:tcPr>
                <w:p w14:paraId="57EE103A">
                  <w:pPr>
                    <w:keepNext w:val="0"/>
                    <w:keepLines w:val="0"/>
                    <w:pageBreakBefore w:val="0"/>
                    <w:widowControl/>
                    <w:kinsoku/>
                    <w:wordWrap w:val="0"/>
                    <w:overflowPunct/>
                    <w:topLinePunct/>
                    <w:autoSpaceDE/>
                    <w:autoSpaceDN/>
                    <w:bidi w:val="0"/>
                    <w:adjustRightInd/>
                    <w:snapToGrid/>
                    <w:spacing w:beforeAutospacing="0" w:afterAutospacing="0"/>
                    <w:jc w:val="center"/>
                    <w:rPr>
                      <w:rFonts w:hint="default" w:ascii="Times New Roman" w:hAnsi="Times New Roman" w:eastAsia="宋体" w:cs="Times New Roman"/>
                      <w:b/>
                      <w:bCs/>
                      <w:i w:val="0"/>
                      <w:iCs w:val="0"/>
                      <w:color w:val="000000" w:themeColor="text1"/>
                      <w:sz w:val="21"/>
                      <w:szCs w:val="21"/>
                      <w:u w:val="none"/>
                      <w:lang w:val="en-US" w:eastAsia="zh-CN"/>
                      <w14:textFill>
                        <w14:solidFill>
                          <w14:schemeClr w14:val="tx1"/>
                        </w14:solidFill>
                      </w14:textFill>
                    </w:rPr>
                  </w:pPr>
                  <w:r>
                    <w:rPr>
                      <w:rFonts w:hint="eastAsia" w:cs="Times New Roman"/>
                      <w:b w:val="0"/>
                      <w:bCs w:val="0"/>
                      <w:i w:val="0"/>
                      <w:iCs w:val="0"/>
                      <w:color w:val="000000" w:themeColor="text1"/>
                      <w:sz w:val="21"/>
                      <w:szCs w:val="21"/>
                      <w:u w:val="none"/>
                      <w:lang w:val="en-US" w:eastAsia="zh-CN"/>
                      <w14:textFill>
                        <w14:solidFill>
                          <w14:schemeClr w14:val="tx1"/>
                        </w14:solidFill>
                      </w14:textFill>
                    </w:rPr>
                    <w:t>20</w:t>
                  </w:r>
                </w:p>
              </w:tc>
              <w:tc>
                <w:tcPr>
                  <w:tcW w:w="495" w:type="pct"/>
                  <w:shd w:val="clear" w:color="auto" w:fill="auto"/>
                  <w:vAlign w:val="center"/>
                </w:tcPr>
                <w:p w14:paraId="35E6C36E">
                  <w:pPr>
                    <w:jc w:val="center"/>
                    <w:rPr>
                      <w:rFonts w:hint="default" w:ascii="Times New Roman" w:hAnsi="Times New Roman" w:eastAsia="宋体" w:cs="Times New Roman"/>
                      <w:b w:val="0"/>
                      <w:bCs w:val="0"/>
                      <w:i w:val="0"/>
                      <w:iCs w:val="0"/>
                      <w:color w:val="000000" w:themeColor="text1"/>
                      <w:sz w:val="21"/>
                      <w:szCs w:val="21"/>
                      <w:u w:val="none"/>
                      <w:lang w:val="en-US" w:eastAsia="zh-CN"/>
                      <w14:textFill>
                        <w14:solidFill>
                          <w14:schemeClr w14:val="tx1"/>
                        </w14:solidFill>
                      </w14:textFill>
                    </w:rPr>
                  </w:pPr>
                  <w:r>
                    <w:rPr>
                      <w:rFonts w:hint="eastAsia" w:cs="Times New Roman"/>
                      <w:b w:val="0"/>
                      <w:bCs w:val="0"/>
                      <w:i w:val="0"/>
                      <w:iCs w:val="0"/>
                      <w:color w:val="000000" w:themeColor="text1"/>
                      <w:sz w:val="21"/>
                      <w:szCs w:val="21"/>
                      <w:u w:val="none"/>
                      <w:lang w:val="en-US" w:eastAsia="zh-CN"/>
                      <w14:textFill>
                        <w14:solidFill>
                          <w14:schemeClr w14:val="tx1"/>
                        </w14:solidFill>
                      </w14:textFill>
                    </w:rPr>
                    <w:t>少量</w:t>
                  </w:r>
                </w:p>
              </w:tc>
            </w:tr>
            <w:tr w14:paraId="7099B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000" w:type="pct"/>
                  <w:gridSpan w:val="9"/>
                  <w:shd w:val="clear" w:color="auto" w:fill="auto"/>
                  <w:vAlign w:val="center"/>
                </w:tcPr>
                <w:p w14:paraId="748F4994">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全厂无组织排放总计</w:t>
                  </w:r>
                </w:p>
              </w:tc>
            </w:tr>
            <w:tr w14:paraId="4FCA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35" w:type="pct"/>
                  <w:vMerge w:val="restart"/>
                  <w:shd w:val="clear" w:color="auto" w:fill="auto"/>
                  <w:vAlign w:val="center"/>
                </w:tcPr>
                <w:p w14:paraId="1B6A70F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Style w:val="167"/>
                      <w:color w:val="000000" w:themeColor="text1"/>
                      <w:lang w:val="en-US" w:eastAsia="zh-CN" w:bidi="ar"/>
                      <w14:textFill>
                        <w14:solidFill>
                          <w14:schemeClr w14:val="tx1"/>
                        </w14:solidFill>
                      </w14:textFill>
                    </w:rPr>
                    <w:t>全厂无组织排放总计</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t/a</w:t>
                  </w:r>
                </w:p>
              </w:tc>
              <w:tc>
                <w:tcPr>
                  <w:tcW w:w="4169" w:type="pct"/>
                  <w:gridSpan w:val="7"/>
                  <w:shd w:val="clear" w:color="auto" w:fill="auto"/>
                  <w:vAlign w:val="center"/>
                </w:tcPr>
                <w:p w14:paraId="0448327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Style w:val="167"/>
                      <w:color w:val="000000" w:themeColor="text1"/>
                      <w:lang w:val="en-US" w:eastAsia="zh-CN" w:bidi="ar"/>
                      <w14:textFill>
                        <w14:solidFill>
                          <w14:schemeClr w14:val="tx1"/>
                        </w14:solidFill>
                      </w14:textFill>
                    </w:rPr>
                    <w:t>颗粒物</w:t>
                  </w:r>
                </w:p>
              </w:tc>
              <w:tc>
                <w:tcPr>
                  <w:tcW w:w="1273" w:type="dxa"/>
                  <w:shd w:val="clear" w:color="auto" w:fill="auto"/>
                  <w:vAlign w:val="center"/>
                </w:tcPr>
                <w:p w14:paraId="7254C78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r>
                    <w:rPr>
                      <w:rFonts w:hint="eastAsia" w:cs="Times New Roman"/>
                      <w:i w:val="0"/>
                      <w:iCs w:val="0"/>
                      <w:color w:val="000000" w:themeColor="text1"/>
                      <w:kern w:val="0"/>
                      <w:sz w:val="21"/>
                      <w:szCs w:val="21"/>
                      <w:u w:val="none"/>
                      <w:lang w:val="en-US" w:eastAsia="zh-CN" w:bidi="ar"/>
                      <w14:textFill>
                        <w14:solidFill>
                          <w14:schemeClr w14:val="tx1"/>
                        </w14:solidFill>
                      </w14:textFill>
                    </w:rPr>
                    <w:t>277</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r w14:paraId="3096E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35" w:type="pct"/>
                  <w:vMerge w:val="continue"/>
                  <w:shd w:val="clear" w:color="auto" w:fill="auto"/>
                  <w:vAlign w:val="center"/>
                </w:tcPr>
                <w:p w14:paraId="4BB70053">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4169" w:type="pct"/>
                  <w:gridSpan w:val="7"/>
                  <w:shd w:val="clear" w:color="auto" w:fill="auto"/>
                  <w:vAlign w:val="center"/>
                </w:tcPr>
                <w:p w14:paraId="6A475D0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VOCs</w:t>
                  </w:r>
                </w:p>
              </w:tc>
              <w:tc>
                <w:tcPr>
                  <w:tcW w:w="1273" w:type="dxa"/>
                  <w:shd w:val="clear" w:color="auto" w:fill="auto"/>
                  <w:vAlign w:val="center"/>
                </w:tcPr>
                <w:p w14:paraId="5009D20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0.352 </w:t>
                  </w:r>
                </w:p>
              </w:tc>
            </w:tr>
            <w:tr w14:paraId="07B1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35" w:type="pct"/>
                  <w:vMerge w:val="continue"/>
                  <w:shd w:val="clear" w:color="auto" w:fill="auto"/>
                  <w:vAlign w:val="center"/>
                </w:tcPr>
                <w:p w14:paraId="7992C562">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4169" w:type="pct"/>
                  <w:gridSpan w:val="7"/>
                  <w:shd w:val="clear" w:color="auto" w:fill="auto"/>
                  <w:vAlign w:val="center"/>
                </w:tcPr>
                <w:p w14:paraId="44290A0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Style w:val="167"/>
                      <w:color w:val="000000" w:themeColor="text1"/>
                      <w:lang w:val="en-US" w:eastAsia="zh-CN" w:bidi="ar"/>
                      <w14:textFill>
                        <w14:solidFill>
                          <w14:schemeClr w14:val="tx1"/>
                        </w14:solidFill>
                      </w14:textFill>
                    </w:rPr>
                    <w:t>苯系物</w:t>
                  </w:r>
                </w:p>
              </w:tc>
              <w:tc>
                <w:tcPr>
                  <w:tcW w:w="1273" w:type="dxa"/>
                  <w:shd w:val="clear" w:color="auto" w:fill="auto"/>
                  <w:vAlign w:val="center"/>
                </w:tcPr>
                <w:p w14:paraId="6F4CFC3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0.170 </w:t>
                  </w:r>
                </w:p>
              </w:tc>
            </w:tr>
            <w:tr w14:paraId="5324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335" w:type="pct"/>
                  <w:vMerge w:val="continue"/>
                  <w:shd w:val="clear" w:color="auto" w:fill="auto"/>
                  <w:vAlign w:val="center"/>
                </w:tcPr>
                <w:p w14:paraId="32685216">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4169" w:type="pct"/>
                  <w:gridSpan w:val="7"/>
                  <w:shd w:val="clear" w:color="auto" w:fill="auto"/>
                  <w:vAlign w:val="center"/>
                </w:tcPr>
                <w:p w14:paraId="384D6D5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SO</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2</w:t>
                  </w:r>
                </w:p>
              </w:tc>
              <w:tc>
                <w:tcPr>
                  <w:tcW w:w="495" w:type="pct"/>
                  <w:shd w:val="clear" w:color="auto" w:fill="auto"/>
                  <w:vAlign w:val="center"/>
                </w:tcPr>
                <w:p w14:paraId="06251779">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0</w:t>
                  </w:r>
                </w:p>
              </w:tc>
            </w:tr>
            <w:tr w14:paraId="7394B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35" w:type="pct"/>
                  <w:vMerge w:val="continue"/>
                  <w:shd w:val="clear" w:color="auto" w:fill="auto"/>
                  <w:vAlign w:val="center"/>
                </w:tcPr>
                <w:p w14:paraId="558E71F5">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4169" w:type="pct"/>
                  <w:gridSpan w:val="7"/>
                  <w:shd w:val="clear" w:color="auto" w:fill="auto"/>
                  <w:vAlign w:val="center"/>
                </w:tcPr>
                <w:p w14:paraId="5E9A1C8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NO</w:t>
                  </w:r>
                  <w:r>
                    <w:rPr>
                      <w:rFonts w:hint="eastAsia"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x</w:t>
                  </w:r>
                </w:p>
              </w:tc>
              <w:tc>
                <w:tcPr>
                  <w:tcW w:w="495" w:type="pct"/>
                  <w:shd w:val="clear" w:color="auto" w:fill="auto"/>
                  <w:vAlign w:val="center"/>
                </w:tcPr>
                <w:p w14:paraId="05853BEB">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0</w:t>
                  </w:r>
                </w:p>
              </w:tc>
            </w:tr>
            <w:tr w14:paraId="12BD9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35" w:type="pct"/>
                  <w:vMerge w:val="continue"/>
                  <w:shd w:val="clear" w:color="auto" w:fill="auto"/>
                  <w:vAlign w:val="center"/>
                </w:tcPr>
                <w:p w14:paraId="3F5914FD">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4169" w:type="pct"/>
                  <w:gridSpan w:val="7"/>
                  <w:shd w:val="clear" w:color="auto" w:fill="auto"/>
                  <w:vAlign w:val="center"/>
                </w:tcPr>
                <w:p w14:paraId="45C82BB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Style w:val="167"/>
                      <w:color w:val="000000" w:themeColor="text1"/>
                      <w:lang w:val="en-US" w:eastAsia="zh-CN" w:bidi="ar"/>
                      <w14:textFill>
                        <w14:solidFill>
                          <w14:schemeClr w14:val="tx1"/>
                        </w14:solidFill>
                      </w14:textFill>
                    </w:rPr>
                    <w:t>臭气浓度</w:t>
                  </w:r>
                </w:p>
              </w:tc>
              <w:tc>
                <w:tcPr>
                  <w:tcW w:w="495" w:type="pct"/>
                  <w:shd w:val="clear" w:color="auto" w:fill="auto"/>
                  <w:vAlign w:val="center"/>
                </w:tcPr>
                <w:p w14:paraId="67D8AD8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少量</w:t>
                  </w:r>
                </w:p>
              </w:tc>
            </w:tr>
            <w:tr w14:paraId="4B29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335" w:type="pct"/>
                  <w:vMerge w:val="continue"/>
                  <w:shd w:val="clear" w:color="auto" w:fill="auto"/>
                  <w:vAlign w:val="center"/>
                </w:tcPr>
                <w:p w14:paraId="5802D5C5">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4169" w:type="pct"/>
                  <w:gridSpan w:val="7"/>
                  <w:shd w:val="clear" w:color="auto" w:fill="auto"/>
                  <w:vAlign w:val="center"/>
                </w:tcPr>
                <w:p w14:paraId="317BC968">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eastAsia" w:cs="Times New Roman"/>
                      <w:i w:val="0"/>
                      <w:iCs w:val="0"/>
                      <w:color w:val="000000" w:themeColor="text1"/>
                      <w:sz w:val="21"/>
                      <w:szCs w:val="21"/>
                      <w:u w:val="none"/>
                      <w:lang w:val="en-US" w:eastAsia="zh-CN"/>
                      <w14:textFill>
                        <w14:solidFill>
                          <w14:schemeClr w14:val="tx1"/>
                        </w14:solidFill>
                      </w14:textFill>
                    </w:rPr>
                    <w:t>氟化物</w:t>
                  </w:r>
                </w:p>
              </w:tc>
              <w:tc>
                <w:tcPr>
                  <w:tcW w:w="495" w:type="pct"/>
                  <w:shd w:val="clear" w:color="auto" w:fill="auto"/>
                  <w:noWrap/>
                  <w:vAlign w:val="center"/>
                </w:tcPr>
                <w:p w14:paraId="57DCFA33">
                  <w:pPr>
                    <w:jc w:val="center"/>
                    <w:rPr>
                      <w:rFonts w:hint="default"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cs="Times New Roman"/>
                      <w:b w:val="0"/>
                      <w:bCs w:val="0"/>
                      <w:i w:val="0"/>
                      <w:iCs w:val="0"/>
                      <w:color w:val="000000" w:themeColor="text1"/>
                      <w:sz w:val="21"/>
                      <w:szCs w:val="21"/>
                      <w:u w:val="none"/>
                      <w:lang w:val="en-US" w:eastAsia="zh-CN"/>
                      <w14:textFill>
                        <w14:solidFill>
                          <w14:schemeClr w14:val="tx1"/>
                        </w14:solidFill>
                      </w14:textFill>
                    </w:rPr>
                    <w:t>少量</w:t>
                  </w:r>
                </w:p>
              </w:tc>
            </w:tr>
          </w:tbl>
          <w:p w14:paraId="7B355F70">
            <w:pPr>
              <w:pStyle w:val="2"/>
              <w:keepNext w:val="0"/>
              <w:keepLines w:val="0"/>
              <w:numPr>
                <w:ilvl w:val="0"/>
                <w:numId w:val="0"/>
              </w:numPr>
              <w:suppressLineNumbers w:val="0"/>
              <w:tabs>
                <w:tab w:val="left" w:pos="0"/>
              </w:tabs>
              <w:spacing w:before="0" w:beforeAutospacing="0" w:after="0" w:afterAutospacing="0"/>
              <w:ind w:left="0" w:leftChars="0" w:right="0" w:rightChars="0" w:firstLine="40" w:firstLineChars="0"/>
              <w:jc w:val="center"/>
              <w:rPr>
                <w:rFonts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表4-5</w:t>
            </w:r>
            <w:r>
              <w:rPr>
                <w:rFonts w:hint="eastAsia" w:ascii="Times New Roman" w:eastAsia="宋体" w:cs="Times New Roman"/>
                <w:b/>
                <w:bCs/>
                <w:color w:val="000000" w:themeColor="text1"/>
                <w:kern w:val="2"/>
                <w:sz w:val="21"/>
                <w:szCs w:val="21"/>
                <w:lang w:val="en-US" w:eastAsia="zh-CN" w:bidi="ar-SA"/>
                <w14:textFill>
                  <w14:solidFill>
                    <w14:schemeClr w14:val="tx1"/>
                  </w14:solidFill>
                </w14:textFill>
              </w:rPr>
              <w:t xml:space="preserve"> </w:t>
            </w:r>
            <w:r>
              <w:rPr>
                <w:b/>
                <w:color w:val="000000" w:themeColor="text1"/>
                <w:sz w:val="21"/>
                <w:szCs w:val="21"/>
                <w:lang w:bidi="ar"/>
                <w14:textFill>
                  <w14:solidFill>
                    <w14:schemeClr w14:val="tx1"/>
                  </w14:solidFill>
                </w14:textFill>
              </w:rPr>
              <w:t>大气污染物年排放核算表</w:t>
            </w:r>
          </w:p>
          <w:tbl>
            <w:tblPr>
              <w:tblStyle w:val="44"/>
              <w:tblW w:w="1283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358"/>
              <w:gridCol w:w="3911"/>
              <w:gridCol w:w="6569"/>
            </w:tblGrid>
            <w:tr w14:paraId="7BFAC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3" w:hRule="atLeast"/>
              </w:trPr>
              <w:tc>
                <w:tcPr>
                  <w:tcW w:w="918" w:type="pct"/>
                  <w:shd w:val="clear" w:color="auto" w:fill="auto"/>
                  <w:vAlign w:val="center"/>
                </w:tcPr>
                <w:p w14:paraId="3E6E0C00">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序号</w:t>
                  </w:r>
                </w:p>
              </w:tc>
              <w:tc>
                <w:tcPr>
                  <w:tcW w:w="1523" w:type="pct"/>
                  <w:shd w:val="clear" w:color="auto" w:fill="auto"/>
                  <w:vAlign w:val="center"/>
                </w:tcPr>
                <w:p w14:paraId="2089961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污染物</w:t>
                  </w:r>
                </w:p>
              </w:tc>
              <w:tc>
                <w:tcPr>
                  <w:tcW w:w="2558" w:type="pct"/>
                  <w:shd w:val="clear" w:color="auto" w:fill="auto"/>
                  <w:vAlign w:val="center"/>
                </w:tcPr>
                <w:p w14:paraId="4531A1F3">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年排放量</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t/a</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p>
              </w:tc>
            </w:tr>
            <w:tr w14:paraId="66C5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918" w:type="pct"/>
                  <w:vMerge w:val="restart"/>
                  <w:shd w:val="clear" w:color="auto" w:fill="auto"/>
                  <w:vAlign w:val="center"/>
                </w:tcPr>
                <w:p w14:paraId="50F7619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523" w:type="pct"/>
                  <w:vMerge w:val="restart"/>
                  <w:shd w:val="clear" w:color="auto" w:fill="auto"/>
                  <w:vAlign w:val="center"/>
                </w:tcPr>
                <w:p w14:paraId="6630243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颗粒物</w:t>
                  </w:r>
                </w:p>
              </w:tc>
              <w:tc>
                <w:tcPr>
                  <w:tcW w:w="6569" w:type="dxa"/>
                  <w:vMerge w:val="restart"/>
                  <w:shd w:val="clear" w:color="auto" w:fill="auto"/>
                  <w:vAlign w:val="center"/>
                </w:tcPr>
                <w:p w14:paraId="00CC5AC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r>
                    <w:rPr>
                      <w:rFonts w:hint="eastAsia" w:cs="Times New Roman"/>
                      <w:i w:val="0"/>
                      <w:iCs w:val="0"/>
                      <w:color w:val="000000" w:themeColor="text1"/>
                      <w:kern w:val="0"/>
                      <w:sz w:val="21"/>
                      <w:szCs w:val="21"/>
                      <w:u w:val="none"/>
                      <w:lang w:val="en-US" w:eastAsia="zh-CN" w:bidi="ar"/>
                      <w14:textFill>
                        <w14:solidFill>
                          <w14:schemeClr w14:val="tx1"/>
                        </w14:solidFill>
                      </w14:textFill>
                    </w:rPr>
                    <w:t>352</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r w14:paraId="05FB0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918" w:type="pct"/>
                  <w:vMerge w:val="continue"/>
                  <w:shd w:val="clear" w:color="auto" w:fill="auto"/>
                  <w:vAlign w:val="center"/>
                </w:tcPr>
                <w:p w14:paraId="7247B60F">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523" w:type="pct"/>
                  <w:vMerge w:val="continue"/>
                  <w:shd w:val="clear" w:color="auto" w:fill="auto"/>
                  <w:vAlign w:val="center"/>
                </w:tcPr>
                <w:p w14:paraId="55B2559A">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2558" w:type="pct"/>
                  <w:vMerge w:val="continue"/>
                  <w:shd w:val="clear" w:color="auto" w:fill="auto"/>
                  <w:vAlign w:val="center"/>
                </w:tcPr>
                <w:p w14:paraId="4EF72B28">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r>
            <w:tr w14:paraId="2D963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7" w:hRule="atLeast"/>
              </w:trPr>
              <w:tc>
                <w:tcPr>
                  <w:tcW w:w="918" w:type="pct"/>
                  <w:shd w:val="clear" w:color="auto" w:fill="auto"/>
                  <w:vAlign w:val="center"/>
                </w:tcPr>
                <w:p w14:paraId="700E66E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1523" w:type="pct"/>
                  <w:shd w:val="clear" w:color="auto" w:fill="auto"/>
                  <w:vAlign w:val="center"/>
                </w:tcPr>
                <w:p w14:paraId="62CF05A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非甲烷总烃</w:t>
                  </w:r>
                </w:p>
              </w:tc>
              <w:tc>
                <w:tcPr>
                  <w:tcW w:w="6569" w:type="dxa"/>
                  <w:shd w:val="clear" w:color="auto" w:fill="auto"/>
                  <w:vAlign w:val="center"/>
                </w:tcPr>
                <w:p w14:paraId="58D9FF1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1.022 </w:t>
                  </w:r>
                </w:p>
              </w:tc>
            </w:tr>
            <w:tr w14:paraId="051EE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7" w:hRule="atLeast"/>
              </w:trPr>
              <w:tc>
                <w:tcPr>
                  <w:tcW w:w="918" w:type="pct"/>
                  <w:shd w:val="clear" w:color="auto" w:fill="auto"/>
                  <w:vAlign w:val="center"/>
                </w:tcPr>
                <w:p w14:paraId="52D20D0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1523" w:type="pct"/>
                  <w:shd w:val="clear" w:color="auto" w:fill="auto"/>
                  <w:vAlign w:val="center"/>
                </w:tcPr>
                <w:p w14:paraId="5539A1F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苯系物</w:t>
                  </w:r>
                </w:p>
              </w:tc>
              <w:tc>
                <w:tcPr>
                  <w:tcW w:w="6569" w:type="dxa"/>
                  <w:shd w:val="clear" w:color="auto" w:fill="auto"/>
                  <w:vAlign w:val="center"/>
                </w:tcPr>
                <w:p w14:paraId="186F7B7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0.483 </w:t>
                  </w:r>
                </w:p>
              </w:tc>
            </w:tr>
            <w:tr w14:paraId="77433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7" w:hRule="atLeast"/>
              </w:trPr>
              <w:tc>
                <w:tcPr>
                  <w:tcW w:w="918" w:type="pct"/>
                  <w:shd w:val="clear" w:color="auto" w:fill="auto"/>
                  <w:vAlign w:val="center"/>
                </w:tcPr>
                <w:p w14:paraId="6C70C43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1523" w:type="pct"/>
                  <w:shd w:val="clear" w:color="auto" w:fill="auto"/>
                  <w:vAlign w:val="center"/>
                </w:tcPr>
                <w:p w14:paraId="7FCA37C7">
                  <w:pPr>
                    <w:keepNext w:val="0"/>
                    <w:keepLines w:val="0"/>
                    <w:widowControl/>
                    <w:suppressLineNumbers w:val="0"/>
                    <w:jc w:val="center"/>
                    <w:textAlignment w:val="center"/>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SO</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2</w:t>
                  </w:r>
                </w:p>
              </w:tc>
              <w:tc>
                <w:tcPr>
                  <w:tcW w:w="6569" w:type="dxa"/>
                  <w:shd w:val="clear" w:color="auto" w:fill="auto"/>
                  <w:vAlign w:val="center"/>
                </w:tcPr>
                <w:p w14:paraId="47B21FF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0.036 </w:t>
                  </w:r>
                </w:p>
              </w:tc>
            </w:tr>
            <w:tr w14:paraId="00FE4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7" w:hRule="atLeast"/>
              </w:trPr>
              <w:tc>
                <w:tcPr>
                  <w:tcW w:w="918" w:type="pct"/>
                  <w:shd w:val="clear" w:color="auto" w:fill="auto"/>
                  <w:vAlign w:val="center"/>
                </w:tcPr>
                <w:p w14:paraId="5ABD3C7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p>
              </w:tc>
              <w:tc>
                <w:tcPr>
                  <w:tcW w:w="1523" w:type="pct"/>
                  <w:shd w:val="clear" w:color="auto" w:fill="auto"/>
                  <w:vAlign w:val="center"/>
                </w:tcPr>
                <w:p w14:paraId="5D5D4A1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NO</w:t>
                  </w:r>
                  <w:r>
                    <w:rPr>
                      <w:rFonts w:hint="eastAsia" w:cs="Times New Roman"/>
                      <w:i w:val="0"/>
                      <w:iCs w:val="0"/>
                      <w:color w:val="000000" w:themeColor="text1"/>
                      <w:kern w:val="0"/>
                      <w:sz w:val="21"/>
                      <w:szCs w:val="21"/>
                      <w:u w:val="none"/>
                      <w:lang w:val="en-US" w:eastAsia="zh-CN" w:bidi="ar"/>
                      <w14:textFill>
                        <w14:solidFill>
                          <w14:schemeClr w14:val="tx1"/>
                        </w14:solidFill>
                      </w14:textFill>
                    </w:rPr>
                    <w:t>x</w:t>
                  </w:r>
                </w:p>
              </w:tc>
              <w:tc>
                <w:tcPr>
                  <w:tcW w:w="6569" w:type="dxa"/>
                  <w:shd w:val="clear" w:color="auto" w:fill="auto"/>
                  <w:vAlign w:val="center"/>
                </w:tcPr>
                <w:p w14:paraId="7553D4D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0.341 </w:t>
                  </w:r>
                </w:p>
              </w:tc>
            </w:tr>
            <w:tr w14:paraId="2E38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7" w:hRule="atLeast"/>
              </w:trPr>
              <w:tc>
                <w:tcPr>
                  <w:tcW w:w="918" w:type="pct"/>
                  <w:shd w:val="clear" w:color="auto" w:fill="auto"/>
                  <w:vAlign w:val="center"/>
                </w:tcPr>
                <w:p w14:paraId="5A9A21C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p>
              </w:tc>
              <w:tc>
                <w:tcPr>
                  <w:tcW w:w="1523" w:type="pct"/>
                  <w:shd w:val="clear" w:color="auto" w:fill="auto"/>
                  <w:vAlign w:val="center"/>
                </w:tcPr>
                <w:p w14:paraId="308A72B8">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油烟</w:t>
                  </w:r>
                </w:p>
              </w:tc>
              <w:tc>
                <w:tcPr>
                  <w:tcW w:w="6569" w:type="dxa"/>
                  <w:shd w:val="clear" w:color="auto" w:fill="auto"/>
                  <w:vAlign w:val="center"/>
                </w:tcPr>
                <w:p w14:paraId="5DA792B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0.007 </w:t>
                  </w:r>
                </w:p>
              </w:tc>
            </w:tr>
            <w:tr w14:paraId="23B31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918" w:type="pct"/>
                  <w:shd w:val="clear" w:color="auto" w:fill="auto"/>
                  <w:vAlign w:val="center"/>
                </w:tcPr>
                <w:p w14:paraId="192E515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w:t>
                  </w:r>
                </w:p>
              </w:tc>
              <w:tc>
                <w:tcPr>
                  <w:tcW w:w="1523" w:type="pct"/>
                  <w:shd w:val="clear" w:color="auto" w:fill="auto"/>
                  <w:vAlign w:val="center"/>
                </w:tcPr>
                <w:p w14:paraId="780C4313">
                  <w:pPr>
                    <w:keepNext w:val="0"/>
                    <w:keepLines w:val="0"/>
                    <w:widowControl/>
                    <w:suppressLineNumbers w:val="0"/>
                    <w:jc w:val="center"/>
                    <w:textAlignment w:val="center"/>
                    <w:rPr>
                      <w:rFonts w:hint="default"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臭气浓度</w:t>
                  </w:r>
                </w:p>
              </w:tc>
              <w:tc>
                <w:tcPr>
                  <w:tcW w:w="2558" w:type="pct"/>
                  <w:shd w:val="clear" w:color="auto" w:fill="auto"/>
                  <w:vAlign w:val="center"/>
                </w:tcPr>
                <w:p w14:paraId="1AA0BD7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3537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2" w:hRule="atLeast"/>
              </w:trPr>
              <w:tc>
                <w:tcPr>
                  <w:tcW w:w="918" w:type="pct"/>
                  <w:shd w:val="clear" w:color="auto" w:fill="auto"/>
                  <w:vAlign w:val="center"/>
                </w:tcPr>
                <w:p w14:paraId="484B041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8</w:t>
                  </w:r>
                </w:p>
              </w:tc>
              <w:tc>
                <w:tcPr>
                  <w:tcW w:w="1523" w:type="pct"/>
                  <w:shd w:val="clear" w:color="auto" w:fill="auto"/>
                  <w:vAlign w:val="center"/>
                </w:tcPr>
                <w:p w14:paraId="1448F38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氟化物</w:t>
                  </w:r>
                </w:p>
              </w:tc>
              <w:tc>
                <w:tcPr>
                  <w:tcW w:w="2558" w:type="pct"/>
                  <w:shd w:val="clear" w:color="auto" w:fill="auto"/>
                  <w:vAlign w:val="center"/>
                </w:tcPr>
                <w:p w14:paraId="29B3C77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r>
          </w:tbl>
          <w:p w14:paraId="19001D51">
            <w:pPr>
              <w:pStyle w:val="2"/>
              <w:keepNext w:val="0"/>
              <w:keepLines w:val="0"/>
              <w:numPr>
                <w:ilvl w:val="0"/>
                <w:numId w:val="0"/>
              </w:numPr>
              <w:suppressLineNumbers w:val="0"/>
              <w:tabs>
                <w:tab w:val="left" w:pos="0"/>
              </w:tabs>
              <w:spacing w:before="0" w:beforeAutospacing="0" w:after="0" w:afterAutospacing="0"/>
              <w:ind w:left="0" w:leftChars="0" w:right="0" w:rightChars="0" w:firstLine="40" w:firstLineChars="0"/>
              <w:jc w:val="center"/>
              <w:rPr>
                <w:rFonts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表4-6</w:t>
            </w:r>
            <w:r>
              <w:rPr>
                <w:rFonts w:hint="eastAsia" w:ascii="Times New Roman" w:eastAsia="宋体" w:cs="Times New Roman"/>
                <w:b/>
                <w:bCs/>
                <w:color w:val="000000" w:themeColor="text1"/>
                <w:kern w:val="2"/>
                <w:sz w:val="21"/>
                <w:szCs w:val="21"/>
                <w:lang w:val="en-US" w:eastAsia="zh-CN" w:bidi="ar-SA"/>
                <w14:textFill>
                  <w14:solidFill>
                    <w14:schemeClr w14:val="tx1"/>
                  </w14:solidFill>
                </w14:textFill>
              </w:rPr>
              <w:t xml:space="preserve"> </w:t>
            </w:r>
            <w:r>
              <w:rPr>
                <w:rFonts w:ascii="Times New Roman" w:hAnsi="Times New Roman" w:eastAsia="宋体" w:cs="Times New Roman"/>
                <w:b/>
                <w:bCs/>
                <w:color w:val="000000" w:themeColor="text1"/>
                <w:sz w:val="21"/>
                <w:szCs w:val="21"/>
                <w:highlight w:val="none"/>
                <w:lang w:eastAsia="zh-CN"/>
                <w14:textFill>
                  <w14:solidFill>
                    <w14:schemeClr w14:val="tx1"/>
                  </w14:solidFill>
                </w14:textFill>
              </w:rPr>
              <w:t>本项目</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废气排放口</w:t>
            </w:r>
            <w:r>
              <w:rPr>
                <w:rFonts w:hint="default" w:ascii="Times New Roman" w:hAnsi="Times New Roman" w:cs="Times New Roman"/>
                <w:b/>
                <w:color w:val="000000" w:themeColor="text1"/>
                <w:sz w:val="21"/>
                <w:szCs w:val="21"/>
                <w:highlight w:val="none"/>
                <w14:textFill>
                  <w14:solidFill>
                    <w14:schemeClr w14:val="tx1"/>
                  </w14:solidFill>
                </w14:textFill>
              </w:rPr>
              <w:t>基本情况信息</w:t>
            </w:r>
            <w:r>
              <w:rPr>
                <w:rFonts w:ascii="Times New Roman" w:hAnsi="Times New Roman" w:eastAsia="宋体" w:cs="Times New Roman"/>
                <w:b/>
                <w:bCs/>
                <w:color w:val="000000" w:themeColor="text1"/>
                <w:sz w:val="21"/>
                <w:szCs w:val="21"/>
                <w:highlight w:val="none"/>
                <w:lang w:eastAsia="zh-CN"/>
                <w14:textFill>
                  <w14:solidFill>
                    <w14:schemeClr w14:val="tx1"/>
                  </w14:solidFill>
                </w14:textFill>
              </w:rPr>
              <w:t>一览表</w:t>
            </w:r>
          </w:p>
          <w:tbl>
            <w:tblPr>
              <w:tblStyle w:val="132"/>
              <w:tblW w:w="4994"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87"/>
              <w:gridCol w:w="2075"/>
              <w:gridCol w:w="1786"/>
              <w:gridCol w:w="1788"/>
              <w:gridCol w:w="1188"/>
              <w:gridCol w:w="721"/>
              <w:gridCol w:w="993"/>
              <w:gridCol w:w="883"/>
              <w:gridCol w:w="929"/>
              <w:gridCol w:w="711"/>
              <w:gridCol w:w="867"/>
            </w:tblGrid>
            <w:tr w14:paraId="24D130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346" w:type="pct"/>
                  <w:vMerge w:val="restart"/>
                  <w:tcBorders>
                    <w:tl2br w:val="nil"/>
                    <w:tr2bl w:val="nil"/>
                  </w:tcBorders>
                  <w:noWrap w:val="0"/>
                  <w:vAlign w:val="center"/>
                </w:tcPr>
                <w:p w14:paraId="5E9F0A1E">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t>排污口编号</w:t>
                  </w:r>
                </w:p>
              </w:tc>
              <w:tc>
                <w:tcPr>
                  <w:tcW w:w="809" w:type="pct"/>
                  <w:vMerge w:val="restart"/>
                  <w:tcBorders>
                    <w:tl2br w:val="nil"/>
                    <w:tr2bl w:val="nil"/>
                  </w:tcBorders>
                  <w:noWrap w:val="0"/>
                  <w:vAlign w:val="center"/>
                </w:tcPr>
                <w:p w14:paraId="62383B49">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t>排污口名称</w:t>
                  </w:r>
                </w:p>
              </w:tc>
              <w:tc>
                <w:tcPr>
                  <w:tcW w:w="1393" w:type="pct"/>
                  <w:gridSpan w:val="2"/>
                  <w:tcBorders>
                    <w:tl2br w:val="nil"/>
                    <w:tr2bl w:val="nil"/>
                  </w:tcBorders>
                  <w:noWrap w:val="0"/>
                  <w:vAlign w:val="center"/>
                </w:tcPr>
                <w:p w14:paraId="08FA9014">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snapToGrid/>
                      <w:color w:val="000000" w:themeColor="text1"/>
                      <w:kern w:val="0"/>
                      <w:sz w:val="21"/>
                      <w:szCs w:val="21"/>
                      <w:highlight w:val="none"/>
                      <w:lang w:eastAsia="zh-CN"/>
                      <w14:textFill>
                        <w14:solidFill>
                          <w14:schemeClr w14:val="tx1"/>
                        </w14:solidFill>
                      </w14:textFill>
                    </w:rPr>
                    <w:t>排放口地理坐标（</w:t>
                  </w:r>
                  <w:r>
                    <w:rPr>
                      <w:rFonts w:hint="default" w:ascii="Times New Roman" w:hAnsi="Times New Roman" w:eastAsia="宋体" w:cs="Times New Roman"/>
                      <w:b/>
                      <w:bCs/>
                      <w:snapToGrid/>
                      <w:color w:val="000000" w:themeColor="text1"/>
                      <w:kern w:val="0"/>
                      <w:sz w:val="21"/>
                      <w:szCs w:val="21"/>
                      <w:highlight w:val="none"/>
                      <w:lang w:val="en-US" w:eastAsia="zh-CN"/>
                      <w14:textFill>
                        <w14:solidFill>
                          <w14:schemeClr w14:val="tx1"/>
                        </w14:solidFill>
                      </w14:textFill>
                    </w:rPr>
                    <w:t>°</w:t>
                  </w:r>
                  <w:r>
                    <w:rPr>
                      <w:rFonts w:hint="default" w:ascii="Times New Roman" w:hAnsi="Times New Roman" w:eastAsia="宋体" w:cs="Times New Roman"/>
                      <w:b/>
                      <w:bCs/>
                      <w:snapToGrid/>
                      <w:color w:val="000000" w:themeColor="text1"/>
                      <w:kern w:val="0"/>
                      <w:sz w:val="21"/>
                      <w:szCs w:val="21"/>
                      <w:highlight w:val="none"/>
                      <w:lang w:eastAsia="zh-CN"/>
                      <w14:textFill>
                        <w14:solidFill>
                          <w14:schemeClr w14:val="tx1"/>
                        </w14:solidFill>
                      </w14:textFill>
                    </w:rPr>
                    <w:t>）</w:t>
                  </w:r>
                </w:p>
              </w:tc>
              <w:tc>
                <w:tcPr>
                  <w:tcW w:w="463" w:type="pct"/>
                  <w:vMerge w:val="restart"/>
                  <w:tcBorders>
                    <w:right w:val="single" w:color="auto" w:sz="4" w:space="0"/>
                    <w:tl2br w:val="nil"/>
                    <w:tr2bl w:val="nil"/>
                  </w:tcBorders>
                  <w:noWrap w:val="0"/>
                  <w:vAlign w:val="center"/>
                </w:tcPr>
                <w:p w14:paraId="3609EB03">
                  <w:pPr>
                    <w:jc w:val="center"/>
                    <w:rPr>
                      <w:rFonts w:hint="default" w:ascii="Times New Roman" w:hAnsi="Times New Roman" w:eastAsia="宋体" w:cs="Times New Roman"/>
                      <w:b/>
                      <w:bCs/>
                      <w:snapToGrid/>
                      <w:color w:val="000000" w:themeColor="text1"/>
                      <w:kern w:val="2"/>
                      <w:sz w:val="21"/>
                      <w:szCs w:val="21"/>
                      <w:highlight w:val="none"/>
                      <w:lang w:val="en-US" w:eastAsia="zh-CN"/>
                      <w14:textFill>
                        <w14:solidFill>
                          <w14:schemeClr w14:val="tx1"/>
                        </w14:solidFill>
                      </w14:textFill>
                    </w:rPr>
                  </w:pPr>
                  <w:r>
                    <w:rPr>
                      <w:rFonts w:hint="default" w:ascii="Times New Roman" w:hAnsi="Times New Roman" w:cs="Times New Roman"/>
                      <w:b/>
                      <w:bCs/>
                      <w:snapToGrid/>
                      <w:color w:val="000000" w:themeColor="text1"/>
                      <w:kern w:val="2"/>
                      <w:sz w:val="21"/>
                      <w:szCs w:val="21"/>
                      <w:highlight w:val="none"/>
                      <w:lang w:val="en-US" w:eastAsia="zh-CN"/>
                      <w14:textFill>
                        <w14:solidFill>
                          <w14:schemeClr w14:val="tx1"/>
                        </w14:solidFill>
                      </w14:textFill>
                    </w:rPr>
                    <w:t>类型</w:t>
                  </w:r>
                </w:p>
              </w:tc>
              <w:tc>
                <w:tcPr>
                  <w:tcW w:w="281" w:type="pct"/>
                  <w:vMerge w:val="restart"/>
                  <w:tcBorders>
                    <w:left w:val="single" w:color="auto" w:sz="4" w:space="0"/>
                    <w:right w:val="single" w:color="auto" w:sz="4" w:space="0"/>
                    <w:tl2br w:val="nil"/>
                    <w:tr2bl w:val="nil"/>
                  </w:tcBorders>
                  <w:noWrap w:val="0"/>
                  <w:vAlign w:val="center"/>
                </w:tcPr>
                <w:p w14:paraId="5DCEDAB7">
                  <w:pPr>
                    <w:jc w:val="center"/>
                    <w:rPr>
                      <w:rFonts w:hint="default" w:ascii="Times New Roman" w:hAnsi="Times New Roman" w:eastAsia="宋体" w:cs="Times New Roman"/>
                      <w:b/>
                      <w:bCs/>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排气筒高度/m</w:t>
                  </w:r>
                </w:p>
              </w:tc>
              <w:tc>
                <w:tcPr>
                  <w:tcW w:w="387" w:type="pct"/>
                  <w:vMerge w:val="restart"/>
                  <w:tcBorders>
                    <w:left w:val="single" w:color="auto" w:sz="4" w:space="0"/>
                    <w:right w:val="single" w:color="auto" w:sz="4" w:space="0"/>
                    <w:tl2br w:val="nil"/>
                    <w:tr2bl w:val="nil"/>
                  </w:tcBorders>
                  <w:noWrap w:val="0"/>
                  <w:vAlign w:val="center"/>
                </w:tcPr>
                <w:p w14:paraId="195DFD37">
                  <w:pPr>
                    <w:jc w:val="center"/>
                    <w:rPr>
                      <w:rFonts w:hint="default" w:ascii="Times New Roman" w:hAnsi="Times New Roman" w:eastAsia="宋体" w:cs="Times New Roman"/>
                      <w:b/>
                      <w:bCs/>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排气筒出口内径/m</w:t>
                  </w:r>
                </w:p>
              </w:tc>
              <w:tc>
                <w:tcPr>
                  <w:tcW w:w="344" w:type="pct"/>
                  <w:vMerge w:val="restart"/>
                  <w:tcBorders>
                    <w:left w:val="single" w:color="auto" w:sz="4" w:space="0"/>
                    <w:right w:val="single" w:color="auto" w:sz="4" w:space="0"/>
                    <w:tl2br w:val="nil"/>
                    <w:tr2bl w:val="nil"/>
                  </w:tcBorders>
                  <w:noWrap w:val="0"/>
                  <w:vAlign w:val="center"/>
                </w:tcPr>
                <w:p w14:paraId="57F041A2">
                  <w:pPr>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烟气流速（m/s）</w:t>
                  </w:r>
                </w:p>
              </w:tc>
              <w:tc>
                <w:tcPr>
                  <w:tcW w:w="362" w:type="pct"/>
                  <w:vMerge w:val="restart"/>
                  <w:tcBorders>
                    <w:left w:val="single" w:color="auto" w:sz="4" w:space="0"/>
                    <w:right w:val="single" w:color="auto" w:sz="4" w:space="0"/>
                    <w:tl2br w:val="nil"/>
                    <w:tr2bl w:val="nil"/>
                  </w:tcBorders>
                  <w:noWrap w:val="0"/>
                  <w:vAlign w:val="center"/>
                </w:tcPr>
                <w:p w14:paraId="4D31A556">
                  <w:pPr>
                    <w:jc w:val="center"/>
                    <w:rPr>
                      <w:rFonts w:hint="default" w:ascii="Times New Roman" w:hAnsi="Times New Roman" w:eastAsia="宋体" w:cs="Times New Roman"/>
                      <w:b/>
                      <w:bCs/>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烟气量（m³/h）</w:t>
                  </w:r>
                </w:p>
              </w:tc>
              <w:tc>
                <w:tcPr>
                  <w:tcW w:w="277" w:type="pct"/>
                  <w:vMerge w:val="restart"/>
                  <w:tcBorders>
                    <w:left w:val="single" w:color="auto" w:sz="4" w:space="0"/>
                    <w:right w:val="single" w:color="auto" w:sz="4" w:space="0"/>
                    <w:tl2br w:val="nil"/>
                    <w:tr2bl w:val="nil"/>
                  </w:tcBorders>
                  <w:noWrap w:val="0"/>
                  <w:vAlign w:val="center"/>
                </w:tcPr>
                <w:p w14:paraId="383BF8BF">
                  <w:pPr>
                    <w:jc w:val="center"/>
                    <w:rPr>
                      <w:rFonts w:hint="default" w:ascii="Times New Roman" w:hAnsi="Times New Roman" w:eastAsia="宋体" w:cs="Times New Roman"/>
                      <w:b/>
                      <w:bCs/>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烟气温度</w:t>
                  </w:r>
                </w:p>
              </w:tc>
              <w:tc>
                <w:tcPr>
                  <w:tcW w:w="335" w:type="pct"/>
                  <w:vMerge w:val="restart"/>
                  <w:tcBorders>
                    <w:left w:val="single" w:color="auto" w:sz="4" w:space="0"/>
                    <w:tl2br w:val="nil"/>
                    <w:tr2bl w:val="nil"/>
                  </w:tcBorders>
                  <w:noWrap w:val="0"/>
                  <w:vAlign w:val="center"/>
                </w:tcPr>
                <w:p w14:paraId="0DA4124F">
                  <w:pPr>
                    <w:jc w:val="center"/>
                    <w:rPr>
                      <w:rFonts w:hint="default" w:ascii="Times New Roman" w:hAnsi="Times New Roman" w:eastAsia="宋体" w:cs="Times New Roman"/>
                      <w:b/>
                      <w:bCs/>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年排放小时数/h</w:t>
                  </w:r>
                </w:p>
              </w:tc>
            </w:tr>
            <w:tr w14:paraId="63C5D2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346" w:type="pct"/>
                  <w:vMerge w:val="continue"/>
                  <w:tcBorders>
                    <w:tl2br w:val="nil"/>
                    <w:tr2bl w:val="nil"/>
                  </w:tcBorders>
                  <w:noWrap w:val="0"/>
                  <w:vAlign w:val="center"/>
                </w:tcPr>
                <w:p w14:paraId="44BAB7B9">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p>
              </w:tc>
              <w:tc>
                <w:tcPr>
                  <w:tcW w:w="809" w:type="pct"/>
                  <w:vMerge w:val="continue"/>
                  <w:tcBorders>
                    <w:tl2br w:val="nil"/>
                    <w:tr2bl w:val="nil"/>
                  </w:tcBorders>
                  <w:noWrap w:val="0"/>
                  <w:vAlign w:val="center"/>
                </w:tcPr>
                <w:p w14:paraId="5EF67F4F">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p>
              </w:tc>
              <w:tc>
                <w:tcPr>
                  <w:tcW w:w="696" w:type="pct"/>
                  <w:tcBorders>
                    <w:tl2br w:val="nil"/>
                    <w:tr2bl w:val="nil"/>
                  </w:tcBorders>
                  <w:noWrap w:val="0"/>
                  <w:vAlign w:val="center"/>
                </w:tcPr>
                <w:p w14:paraId="3D807DFA">
                  <w:pPr>
                    <w:widowControl w:val="0"/>
                    <w:kinsoku/>
                    <w:autoSpaceDE w:val="0"/>
                    <w:autoSpaceDN w:val="0"/>
                    <w:adjustRightInd w:val="0"/>
                    <w:snapToGrid/>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snapToGrid/>
                      <w:color w:val="000000" w:themeColor="text1"/>
                      <w:kern w:val="0"/>
                      <w:sz w:val="21"/>
                      <w:szCs w:val="21"/>
                      <w:highlight w:val="none"/>
                      <w:lang w:eastAsia="zh-CN"/>
                      <w14:textFill>
                        <w14:solidFill>
                          <w14:schemeClr w14:val="tx1"/>
                        </w14:solidFill>
                      </w14:textFill>
                    </w:rPr>
                    <w:t>经度</w:t>
                  </w:r>
                </w:p>
              </w:tc>
              <w:tc>
                <w:tcPr>
                  <w:tcW w:w="696" w:type="pct"/>
                  <w:tcBorders>
                    <w:tl2br w:val="nil"/>
                    <w:tr2bl w:val="nil"/>
                  </w:tcBorders>
                  <w:noWrap w:val="0"/>
                  <w:vAlign w:val="center"/>
                </w:tcPr>
                <w:p w14:paraId="16968B6E">
                  <w:pPr>
                    <w:widowControl w:val="0"/>
                    <w:kinsoku/>
                    <w:autoSpaceDE/>
                    <w:autoSpaceDN/>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b/>
                      <w:bCs/>
                      <w:snapToGrid/>
                      <w:color w:val="000000" w:themeColor="text1"/>
                      <w:kern w:val="0"/>
                      <w:sz w:val="21"/>
                      <w:szCs w:val="21"/>
                      <w:highlight w:val="none"/>
                      <w:lang w:eastAsia="zh-CN"/>
                      <w14:textFill>
                        <w14:solidFill>
                          <w14:schemeClr w14:val="tx1"/>
                        </w14:solidFill>
                      </w14:textFill>
                    </w:rPr>
                    <w:t>纬度</w:t>
                  </w:r>
                </w:p>
              </w:tc>
              <w:tc>
                <w:tcPr>
                  <w:tcW w:w="463" w:type="pct"/>
                  <w:vMerge w:val="continue"/>
                  <w:tcBorders>
                    <w:right w:val="single" w:color="auto" w:sz="4" w:space="0"/>
                    <w:tl2br w:val="nil"/>
                    <w:tr2bl w:val="nil"/>
                  </w:tcBorders>
                  <w:noWrap w:val="0"/>
                  <w:vAlign w:val="center"/>
                </w:tcPr>
                <w:p w14:paraId="51A72938">
                  <w:pPr>
                    <w:jc w:val="center"/>
                    <w:rPr>
                      <w:rFonts w:hint="default" w:ascii="Times New Roman" w:hAnsi="Times New Roman" w:eastAsia="宋体" w:cs="Times New Roman"/>
                      <w:b/>
                      <w:bCs/>
                      <w:snapToGrid/>
                      <w:color w:val="000000" w:themeColor="text1"/>
                      <w:kern w:val="2"/>
                      <w:sz w:val="21"/>
                      <w:szCs w:val="21"/>
                      <w:highlight w:val="none"/>
                      <w:lang w:val="en-US" w:eastAsia="zh-CN"/>
                      <w14:textFill>
                        <w14:solidFill>
                          <w14:schemeClr w14:val="tx1"/>
                        </w14:solidFill>
                      </w14:textFill>
                    </w:rPr>
                  </w:pPr>
                </w:p>
              </w:tc>
              <w:tc>
                <w:tcPr>
                  <w:tcW w:w="281" w:type="pct"/>
                  <w:vMerge w:val="continue"/>
                  <w:tcBorders>
                    <w:left w:val="single" w:color="auto" w:sz="4" w:space="0"/>
                    <w:right w:val="single" w:color="auto" w:sz="4" w:space="0"/>
                    <w:tl2br w:val="nil"/>
                    <w:tr2bl w:val="nil"/>
                  </w:tcBorders>
                  <w:noWrap w:val="0"/>
                  <w:vAlign w:val="center"/>
                </w:tcPr>
                <w:p w14:paraId="5E807E73">
                  <w:pPr>
                    <w:jc w:val="center"/>
                    <w:rPr>
                      <w:rFonts w:hint="default" w:ascii="Times New Roman" w:hAnsi="Times New Roman" w:eastAsia="宋体" w:cs="Times New Roman"/>
                      <w:b/>
                      <w:bCs/>
                      <w:snapToGrid/>
                      <w:color w:val="000000" w:themeColor="text1"/>
                      <w:kern w:val="2"/>
                      <w:sz w:val="21"/>
                      <w:szCs w:val="21"/>
                      <w:highlight w:val="none"/>
                      <w:lang w:val="en-US" w:eastAsia="zh-CN" w:bidi="ar-SA"/>
                      <w14:textFill>
                        <w14:solidFill>
                          <w14:schemeClr w14:val="tx1"/>
                        </w14:solidFill>
                      </w14:textFill>
                    </w:rPr>
                  </w:pPr>
                </w:p>
              </w:tc>
              <w:tc>
                <w:tcPr>
                  <w:tcW w:w="387" w:type="pct"/>
                  <w:vMerge w:val="continue"/>
                  <w:tcBorders>
                    <w:left w:val="single" w:color="auto" w:sz="4" w:space="0"/>
                    <w:right w:val="single" w:color="auto" w:sz="4" w:space="0"/>
                    <w:tl2br w:val="nil"/>
                    <w:tr2bl w:val="nil"/>
                  </w:tcBorders>
                  <w:noWrap w:val="0"/>
                  <w:vAlign w:val="center"/>
                </w:tcPr>
                <w:p w14:paraId="6CDBB8FB">
                  <w:pPr>
                    <w:jc w:val="center"/>
                    <w:rPr>
                      <w:rFonts w:hint="default" w:ascii="Times New Roman" w:hAnsi="Times New Roman" w:eastAsia="宋体" w:cs="Times New Roman"/>
                      <w:b/>
                      <w:bCs/>
                      <w:snapToGrid/>
                      <w:color w:val="000000" w:themeColor="text1"/>
                      <w:kern w:val="2"/>
                      <w:sz w:val="21"/>
                      <w:szCs w:val="21"/>
                      <w:highlight w:val="none"/>
                      <w:lang w:val="en-US" w:eastAsia="zh-CN" w:bidi="ar-SA"/>
                      <w14:textFill>
                        <w14:solidFill>
                          <w14:schemeClr w14:val="tx1"/>
                        </w14:solidFill>
                      </w14:textFill>
                    </w:rPr>
                  </w:pPr>
                </w:p>
              </w:tc>
              <w:tc>
                <w:tcPr>
                  <w:tcW w:w="344" w:type="pct"/>
                  <w:vMerge w:val="continue"/>
                  <w:tcBorders>
                    <w:left w:val="single" w:color="auto" w:sz="4" w:space="0"/>
                    <w:right w:val="single" w:color="auto" w:sz="4" w:space="0"/>
                    <w:tl2br w:val="nil"/>
                    <w:tr2bl w:val="nil"/>
                  </w:tcBorders>
                  <w:noWrap w:val="0"/>
                  <w:vAlign w:val="center"/>
                </w:tcPr>
                <w:p w14:paraId="1F024D19">
                  <w:pPr>
                    <w:jc w:val="center"/>
                    <w:rPr>
                      <w:rFonts w:hint="default" w:ascii="Times New Roman" w:hAnsi="Times New Roman" w:eastAsia="宋体" w:cs="Times New Roman"/>
                      <w:b/>
                      <w:bCs/>
                      <w:snapToGrid/>
                      <w:color w:val="000000" w:themeColor="text1"/>
                      <w:kern w:val="2"/>
                      <w:sz w:val="21"/>
                      <w:szCs w:val="21"/>
                      <w:highlight w:val="none"/>
                      <w:lang w:val="en-US" w:eastAsia="zh-CN" w:bidi="ar-SA"/>
                      <w14:textFill>
                        <w14:solidFill>
                          <w14:schemeClr w14:val="tx1"/>
                        </w14:solidFill>
                      </w14:textFill>
                    </w:rPr>
                  </w:pPr>
                </w:p>
              </w:tc>
              <w:tc>
                <w:tcPr>
                  <w:tcW w:w="362" w:type="pct"/>
                  <w:vMerge w:val="continue"/>
                  <w:tcBorders>
                    <w:left w:val="single" w:color="auto" w:sz="4" w:space="0"/>
                    <w:right w:val="single" w:color="auto" w:sz="4" w:space="0"/>
                    <w:tl2br w:val="nil"/>
                    <w:tr2bl w:val="nil"/>
                  </w:tcBorders>
                  <w:noWrap w:val="0"/>
                  <w:vAlign w:val="center"/>
                </w:tcPr>
                <w:p w14:paraId="7F4A6F30">
                  <w:pPr>
                    <w:jc w:val="center"/>
                    <w:rPr>
                      <w:rFonts w:hint="default" w:ascii="Times New Roman" w:hAnsi="Times New Roman" w:eastAsia="宋体" w:cs="Times New Roman"/>
                      <w:b/>
                      <w:bCs/>
                      <w:snapToGrid/>
                      <w:color w:val="000000" w:themeColor="text1"/>
                      <w:kern w:val="2"/>
                      <w:sz w:val="21"/>
                      <w:szCs w:val="21"/>
                      <w:highlight w:val="none"/>
                      <w:lang w:val="en-US" w:eastAsia="zh-CN" w:bidi="ar-SA"/>
                      <w14:textFill>
                        <w14:solidFill>
                          <w14:schemeClr w14:val="tx1"/>
                        </w14:solidFill>
                      </w14:textFill>
                    </w:rPr>
                  </w:pPr>
                </w:p>
              </w:tc>
              <w:tc>
                <w:tcPr>
                  <w:tcW w:w="277" w:type="pct"/>
                  <w:vMerge w:val="continue"/>
                  <w:tcBorders>
                    <w:left w:val="single" w:color="auto" w:sz="4" w:space="0"/>
                    <w:right w:val="single" w:color="auto" w:sz="4" w:space="0"/>
                    <w:tl2br w:val="nil"/>
                    <w:tr2bl w:val="nil"/>
                  </w:tcBorders>
                  <w:noWrap w:val="0"/>
                  <w:vAlign w:val="center"/>
                </w:tcPr>
                <w:p w14:paraId="4DCDEADA">
                  <w:pPr>
                    <w:jc w:val="center"/>
                    <w:rPr>
                      <w:rFonts w:hint="default" w:ascii="Times New Roman" w:hAnsi="Times New Roman" w:eastAsia="宋体" w:cs="Times New Roman"/>
                      <w:b/>
                      <w:bCs/>
                      <w:snapToGrid/>
                      <w:color w:val="000000" w:themeColor="text1"/>
                      <w:kern w:val="2"/>
                      <w:sz w:val="21"/>
                      <w:szCs w:val="21"/>
                      <w:highlight w:val="none"/>
                      <w:lang w:val="en-US" w:eastAsia="zh-CN" w:bidi="ar-SA"/>
                      <w14:textFill>
                        <w14:solidFill>
                          <w14:schemeClr w14:val="tx1"/>
                        </w14:solidFill>
                      </w14:textFill>
                    </w:rPr>
                  </w:pPr>
                </w:p>
              </w:tc>
              <w:tc>
                <w:tcPr>
                  <w:tcW w:w="335" w:type="pct"/>
                  <w:vMerge w:val="continue"/>
                  <w:tcBorders>
                    <w:left w:val="single" w:color="auto" w:sz="4" w:space="0"/>
                    <w:tl2br w:val="nil"/>
                    <w:tr2bl w:val="nil"/>
                  </w:tcBorders>
                  <w:noWrap w:val="0"/>
                  <w:vAlign w:val="center"/>
                </w:tcPr>
                <w:p w14:paraId="497B8D27">
                  <w:pPr>
                    <w:jc w:val="center"/>
                    <w:rPr>
                      <w:rFonts w:hint="default" w:ascii="Times New Roman" w:hAnsi="Times New Roman" w:eastAsia="宋体" w:cs="Times New Roman"/>
                      <w:b/>
                      <w:bCs/>
                      <w:snapToGrid/>
                      <w:color w:val="000000" w:themeColor="text1"/>
                      <w:kern w:val="2"/>
                      <w:sz w:val="21"/>
                      <w:szCs w:val="21"/>
                      <w:highlight w:val="none"/>
                      <w:lang w:val="en-US" w:eastAsia="zh-CN" w:bidi="ar-SA"/>
                      <w14:textFill>
                        <w14:solidFill>
                          <w14:schemeClr w14:val="tx1"/>
                        </w14:solidFill>
                      </w14:textFill>
                    </w:rPr>
                  </w:pPr>
                </w:p>
              </w:tc>
            </w:tr>
            <w:tr w14:paraId="4E359F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346" w:type="pct"/>
                  <w:tcBorders>
                    <w:tl2br w:val="nil"/>
                    <w:tr2bl w:val="nil"/>
                  </w:tcBorders>
                  <w:noWrap w:val="0"/>
                  <w:vAlign w:val="center"/>
                </w:tcPr>
                <w:p w14:paraId="473095BC">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cs="Times New Roman"/>
                      <w:snapToGrid/>
                      <w:color w:val="000000" w:themeColor="text1"/>
                      <w:kern w:val="2"/>
                      <w:sz w:val="21"/>
                      <w:szCs w:val="21"/>
                      <w:highlight w:val="none"/>
                      <w:lang w:val="en-US" w:eastAsia="zh-CN"/>
                      <w14:textFill>
                        <w14:solidFill>
                          <w14:schemeClr w14:val="tx1"/>
                        </w14:solidFill>
                      </w14:textFill>
                    </w:rPr>
                    <w:t>DA001</w:t>
                  </w:r>
                </w:p>
              </w:tc>
              <w:tc>
                <w:tcPr>
                  <w:tcW w:w="809" w:type="pct"/>
                  <w:tcBorders>
                    <w:tl2br w:val="nil"/>
                    <w:tr2bl w:val="nil"/>
                  </w:tcBorders>
                  <w:noWrap w:val="0"/>
                  <w:vAlign w:val="center"/>
                </w:tcPr>
                <w:p w14:paraId="6CC09771">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喷漆废气</w:t>
                  </w:r>
                </w:p>
              </w:tc>
              <w:tc>
                <w:tcPr>
                  <w:tcW w:w="696" w:type="pct"/>
                  <w:tcBorders>
                    <w:tl2br w:val="nil"/>
                    <w:tr2bl w:val="nil"/>
                  </w:tcBorders>
                  <w:noWrap w:val="0"/>
                  <w:vAlign w:val="center"/>
                </w:tcPr>
                <w:p w14:paraId="2684898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113°24′29.324″</w:t>
                  </w:r>
                </w:p>
              </w:tc>
              <w:tc>
                <w:tcPr>
                  <w:tcW w:w="696" w:type="pct"/>
                  <w:tcBorders>
                    <w:tl2br w:val="nil"/>
                    <w:tr2bl w:val="nil"/>
                  </w:tcBorders>
                  <w:noWrap w:val="0"/>
                  <w:vAlign w:val="center"/>
                </w:tcPr>
                <w:p w14:paraId="6D834DD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25°9′22.603″</w:t>
                  </w:r>
                </w:p>
              </w:tc>
              <w:tc>
                <w:tcPr>
                  <w:tcW w:w="463" w:type="pct"/>
                  <w:tcBorders>
                    <w:tl2br w:val="nil"/>
                    <w:tr2bl w:val="nil"/>
                  </w:tcBorders>
                  <w:noWrap w:val="0"/>
                  <w:vAlign w:val="center"/>
                </w:tcPr>
                <w:p w14:paraId="1649E286">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cs="Times New Roman"/>
                      <w:snapToGrid/>
                      <w:color w:val="000000" w:themeColor="text1"/>
                      <w:kern w:val="2"/>
                      <w:sz w:val="21"/>
                      <w:szCs w:val="21"/>
                      <w:highlight w:val="none"/>
                      <w:lang w:val="en-US" w:eastAsia="zh-CN"/>
                      <w14:textFill>
                        <w14:solidFill>
                          <w14:schemeClr w14:val="tx1"/>
                        </w14:solidFill>
                      </w14:textFill>
                    </w:rPr>
                    <w:t>主要</w:t>
                  </w:r>
                  <w:r>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排放口</w:t>
                  </w:r>
                </w:p>
              </w:tc>
              <w:tc>
                <w:tcPr>
                  <w:tcW w:w="281" w:type="pct"/>
                  <w:tcBorders>
                    <w:tl2br w:val="nil"/>
                    <w:tr2bl w:val="nil"/>
                  </w:tcBorders>
                  <w:noWrap w:val="0"/>
                  <w:vAlign w:val="center"/>
                </w:tcPr>
                <w:p w14:paraId="1A01B2A0">
                  <w:pPr>
                    <w:widowControl w:val="0"/>
                    <w:kinsoku/>
                    <w:autoSpaceDE/>
                    <w:autoSpaceDN/>
                    <w:adjustRightInd w:val="0"/>
                    <w:snapToGrid w:val="0"/>
                    <w:spacing w:line="240" w:lineRule="auto"/>
                    <w:jc w:val="center"/>
                    <w:textAlignment w:val="auto"/>
                    <w:rPr>
                      <w:rFonts w:hint="default" w:ascii="Times New Roman" w:hAnsi="Times New Roman" w:cs="Times New Roman"/>
                      <w:snapToGrid/>
                      <w:color w:val="000000" w:themeColor="text1"/>
                      <w:kern w:val="2"/>
                      <w:sz w:val="21"/>
                      <w:szCs w:val="21"/>
                      <w:highlight w:val="none"/>
                      <w:lang w:val="en-US" w:eastAsia="zh-CN"/>
                      <w14:textFill>
                        <w14:solidFill>
                          <w14:schemeClr w14:val="tx1"/>
                        </w14:solidFill>
                      </w14:textFill>
                    </w:rPr>
                  </w:pPr>
                  <w:r>
                    <w:rPr>
                      <w:rFonts w:hint="eastAsia" w:ascii="Times New Roman" w:hAnsi="Times New Roman" w:cs="Times New Roman"/>
                      <w:snapToGrid/>
                      <w:color w:val="000000" w:themeColor="text1"/>
                      <w:kern w:val="2"/>
                      <w:sz w:val="21"/>
                      <w:szCs w:val="21"/>
                      <w:highlight w:val="none"/>
                      <w:lang w:val="en-US" w:eastAsia="zh-CN"/>
                      <w14:textFill>
                        <w14:solidFill>
                          <w14:schemeClr w14:val="tx1"/>
                        </w14:solidFill>
                      </w14:textFill>
                    </w:rPr>
                    <w:t>15</w:t>
                  </w:r>
                </w:p>
              </w:tc>
              <w:tc>
                <w:tcPr>
                  <w:tcW w:w="387" w:type="pct"/>
                  <w:tcBorders>
                    <w:right w:val="single" w:color="auto" w:sz="4" w:space="0"/>
                    <w:tl2br w:val="nil"/>
                    <w:tr2bl w:val="nil"/>
                  </w:tcBorders>
                  <w:noWrap w:val="0"/>
                  <w:vAlign w:val="center"/>
                </w:tcPr>
                <w:p w14:paraId="4756A011">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2.1</w:t>
                  </w:r>
                </w:p>
              </w:tc>
              <w:tc>
                <w:tcPr>
                  <w:tcW w:w="344" w:type="pct"/>
                  <w:tcBorders>
                    <w:left w:val="single" w:color="auto" w:sz="4" w:space="0"/>
                    <w:tl2br w:val="nil"/>
                    <w:tr2bl w:val="nil"/>
                  </w:tcBorders>
                  <w:noWrap w:val="0"/>
                  <w:vAlign w:val="center"/>
                </w:tcPr>
                <w:p w14:paraId="35584D53">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14.5</w:t>
                  </w:r>
                </w:p>
              </w:tc>
              <w:tc>
                <w:tcPr>
                  <w:tcW w:w="362" w:type="pct"/>
                  <w:tcBorders>
                    <w:right w:val="single" w:color="auto" w:sz="4" w:space="0"/>
                    <w:tl2br w:val="nil"/>
                    <w:tr2bl w:val="nil"/>
                  </w:tcBorders>
                  <w:noWrap w:val="0"/>
                  <w:vAlign w:val="center"/>
                </w:tcPr>
                <w:p w14:paraId="0939DA2E">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181200</w:t>
                  </w:r>
                </w:p>
              </w:tc>
              <w:tc>
                <w:tcPr>
                  <w:tcW w:w="277" w:type="pct"/>
                  <w:tcBorders>
                    <w:left w:val="single" w:color="auto" w:sz="4" w:space="0"/>
                    <w:tl2br w:val="nil"/>
                    <w:tr2bl w:val="nil"/>
                  </w:tcBorders>
                  <w:noWrap w:val="0"/>
                  <w:vAlign w:val="center"/>
                </w:tcPr>
                <w:p w14:paraId="08E72068">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25</w:t>
                  </w:r>
                  <w:r>
                    <w:rPr>
                      <w:rFonts w:hint="default" w:ascii="Times New Roman" w:hAnsi="Times New Roman" w:cs="Times New Roman"/>
                      <w:b w:val="0"/>
                      <w:bCs w:val="0"/>
                      <w:color w:val="000000" w:themeColor="text1"/>
                      <w:sz w:val="21"/>
                      <w:szCs w:val="21"/>
                      <w:highlight w:val="none"/>
                      <w14:textFill>
                        <w14:solidFill>
                          <w14:schemeClr w14:val="tx1"/>
                        </w14:solidFill>
                      </w14:textFill>
                    </w:rPr>
                    <w:t>℃</w:t>
                  </w:r>
                </w:p>
              </w:tc>
              <w:tc>
                <w:tcPr>
                  <w:tcW w:w="335" w:type="pct"/>
                  <w:tcBorders>
                    <w:tl2br w:val="nil"/>
                    <w:tr2bl w:val="nil"/>
                  </w:tcBorders>
                  <w:noWrap w:val="0"/>
                  <w:vAlign w:val="center"/>
                </w:tcPr>
                <w:p w14:paraId="5C2EE0B3">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1928</w:t>
                  </w:r>
                </w:p>
              </w:tc>
            </w:tr>
            <w:tr w14:paraId="46FD5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346" w:type="pct"/>
                  <w:tcBorders>
                    <w:tl2br w:val="nil"/>
                    <w:tr2bl w:val="nil"/>
                  </w:tcBorders>
                  <w:noWrap w:val="0"/>
                  <w:vAlign w:val="center"/>
                </w:tcPr>
                <w:p w14:paraId="2E2AB2B2">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cs="Times New Roman"/>
                      <w:snapToGrid/>
                      <w:color w:val="000000" w:themeColor="text1"/>
                      <w:kern w:val="2"/>
                      <w:sz w:val="21"/>
                      <w:szCs w:val="21"/>
                      <w:highlight w:val="none"/>
                      <w:lang w:val="en-US" w:eastAsia="zh-CN"/>
                      <w14:textFill>
                        <w14:solidFill>
                          <w14:schemeClr w14:val="tx1"/>
                        </w14:solidFill>
                      </w14:textFill>
                    </w:rPr>
                    <w:t>DA002</w:t>
                  </w:r>
                </w:p>
              </w:tc>
              <w:tc>
                <w:tcPr>
                  <w:tcW w:w="809" w:type="pct"/>
                  <w:tcBorders>
                    <w:tl2br w:val="nil"/>
                    <w:tr2bl w:val="nil"/>
                  </w:tcBorders>
                  <w:noWrap w:val="0"/>
                  <w:vAlign w:val="center"/>
                </w:tcPr>
                <w:p w14:paraId="7F19D574">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固化废气</w:t>
                  </w:r>
                </w:p>
              </w:tc>
              <w:tc>
                <w:tcPr>
                  <w:tcW w:w="696" w:type="pct"/>
                  <w:tcBorders>
                    <w:tl2br w:val="nil"/>
                    <w:tr2bl w:val="nil"/>
                  </w:tcBorders>
                  <w:noWrap w:val="0"/>
                  <w:vAlign w:val="center"/>
                </w:tcPr>
                <w:p w14:paraId="55AF902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113°24′29.459″</w:t>
                  </w:r>
                </w:p>
              </w:tc>
              <w:tc>
                <w:tcPr>
                  <w:tcW w:w="696" w:type="pct"/>
                  <w:tcBorders>
                    <w:tl2br w:val="nil"/>
                    <w:tr2bl w:val="nil"/>
                  </w:tcBorders>
                  <w:noWrap w:val="0"/>
                  <w:vAlign w:val="center"/>
                </w:tcPr>
                <w:p w14:paraId="3998DA6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25°9′24.41</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63" w:type="pct"/>
                  <w:tcBorders>
                    <w:tl2br w:val="nil"/>
                    <w:tr2bl w:val="nil"/>
                  </w:tcBorders>
                  <w:noWrap w:val="0"/>
                  <w:vAlign w:val="center"/>
                </w:tcPr>
                <w:p w14:paraId="6181C2D0">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主要排放口</w:t>
                  </w:r>
                </w:p>
              </w:tc>
              <w:tc>
                <w:tcPr>
                  <w:tcW w:w="281" w:type="pct"/>
                  <w:tcBorders>
                    <w:tl2br w:val="nil"/>
                    <w:tr2bl w:val="nil"/>
                  </w:tcBorders>
                  <w:noWrap w:val="0"/>
                  <w:vAlign w:val="center"/>
                </w:tcPr>
                <w:p w14:paraId="7088B729">
                  <w:pPr>
                    <w:widowControl w:val="0"/>
                    <w:kinsoku/>
                    <w:autoSpaceDE/>
                    <w:autoSpaceDN/>
                    <w:adjustRightInd w:val="0"/>
                    <w:snapToGrid w:val="0"/>
                    <w:spacing w:line="240" w:lineRule="auto"/>
                    <w:jc w:val="center"/>
                    <w:textAlignment w:val="auto"/>
                    <w:rPr>
                      <w:rFonts w:hint="default" w:ascii="Times New Roman" w:hAnsi="Times New Roman" w:cs="Times New Roman"/>
                      <w:snapToGrid/>
                      <w:color w:val="000000" w:themeColor="text1"/>
                      <w:kern w:val="2"/>
                      <w:sz w:val="21"/>
                      <w:szCs w:val="21"/>
                      <w:highlight w:val="none"/>
                      <w:lang w:val="en-US" w:eastAsia="zh-CN"/>
                      <w14:textFill>
                        <w14:solidFill>
                          <w14:schemeClr w14:val="tx1"/>
                        </w14:solidFill>
                      </w14:textFill>
                    </w:rPr>
                  </w:pPr>
                  <w:r>
                    <w:rPr>
                      <w:rFonts w:hint="eastAsia" w:ascii="Times New Roman" w:hAnsi="Times New Roman" w:cs="Times New Roman"/>
                      <w:snapToGrid/>
                      <w:color w:val="000000" w:themeColor="text1"/>
                      <w:kern w:val="2"/>
                      <w:sz w:val="21"/>
                      <w:szCs w:val="21"/>
                      <w:highlight w:val="none"/>
                      <w:lang w:val="en-US" w:eastAsia="zh-CN"/>
                      <w14:textFill>
                        <w14:solidFill>
                          <w14:schemeClr w14:val="tx1"/>
                        </w14:solidFill>
                      </w14:textFill>
                    </w:rPr>
                    <w:t>15</w:t>
                  </w:r>
                </w:p>
              </w:tc>
              <w:tc>
                <w:tcPr>
                  <w:tcW w:w="387" w:type="pct"/>
                  <w:tcBorders>
                    <w:right w:val="single" w:color="auto" w:sz="4" w:space="0"/>
                    <w:tl2br w:val="nil"/>
                    <w:tr2bl w:val="nil"/>
                  </w:tcBorders>
                  <w:noWrap w:val="0"/>
                  <w:vAlign w:val="center"/>
                </w:tcPr>
                <w:p w14:paraId="1460CA56">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1.0</w:t>
                  </w:r>
                </w:p>
              </w:tc>
              <w:tc>
                <w:tcPr>
                  <w:tcW w:w="344" w:type="pct"/>
                  <w:tcBorders>
                    <w:left w:val="single" w:color="auto" w:sz="4" w:space="0"/>
                    <w:tl2br w:val="nil"/>
                    <w:tr2bl w:val="nil"/>
                  </w:tcBorders>
                  <w:noWrap w:val="0"/>
                  <w:vAlign w:val="center"/>
                </w:tcPr>
                <w:p w14:paraId="613BE77C">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14.1</w:t>
                  </w:r>
                </w:p>
              </w:tc>
              <w:tc>
                <w:tcPr>
                  <w:tcW w:w="362" w:type="pct"/>
                  <w:tcBorders>
                    <w:right w:val="single" w:color="auto" w:sz="4" w:space="0"/>
                    <w:tl2br w:val="nil"/>
                    <w:tr2bl w:val="nil"/>
                  </w:tcBorders>
                  <w:noWrap w:val="0"/>
                  <w:vAlign w:val="center"/>
                </w:tcPr>
                <w:p w14:paraId="560870BA">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40000</w:t>
                  </w:r>
                </w:p>
              </w:tc>
              <w:tc>
                <w:tcPr>
                  <w:tcW w:w="277" w:type="pct"/>
                  <w:tcBorders>
                    <w:left w:val="single" w:color="auto" w:sz="4" w:space="0"/>
                    <w:tl2br w:val="nil"/>
                    <w:tr2bl w:val="nil"/>
                  </w:tcBorders>
                  <w:noWrap w:val="0"/>
                  <w:vAlign w:val="center"/>
                </w:tcPr>
                <w:p w14:paraId="1BD6590B">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cs="Times New Roman"/>
                      <w:snapToGrid/>
                      <w:color w:val="000000" w:themeColor="text1"/>
                      <w:kern w:val="2"/>
                      <w:sz w:val="21"/>
                      <w:szCs w:val="21"/>
                      <w:highlight w:val="none"/>
                      <w:lang w:val="en-US" w:eastAsia="zh-CN"/>
                      <w14:textFill>
                        <w14:solidFill>
                          <w14:schemeClr w14:val="tx1"/>
                        </w14:solidFill>
                      </w14:textFill>
                    </w:rPr>
                    <w:t>3</w:t>
                  </w:r>
                  <w:r>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5</w:t>
                  </w:r>
                  <w:r>
                    <w:rPr>
                      <w:rFonts w:hint="default" w:ascii="Times New Roman" w:hAnsi="Times New Roman" w:cs="Times New Roman"/>
                      <w:b w:val="0"/>
                      <w:bCs w:val="0"/>
                      <w:color w:val="000000" w:themeColor="text1"/>
                      <w:sz w:val="21"/>
                      <w:szCs w:val="21"/>
                      <w:highlight w:val="none"/>
                      <w14:textFill>
                        <w14:solidFill>
                          <w14:schemeClr w14:val="tx1"/>
                        </w14:solidFill>
                      </w14:textFill>
                    </w:rPr>
                    <w:t>℃</w:t>
                  </w:r>
                </w:p>
              </w:tc>
              <w:tc>
                <w:tcPr>
                  <w:tcW w:w="335" w:type="pct"/>
                  <w:tcBorders>
                    <w:tl2br w:val="nil"/>
                    <w:tr2bl w:val="nil"/>
                  </w:tcBorders>
                  <w:noWrap w:val="0"/>
                  <w:vAlign w:val="center"/>
                </w:tcPr>
                <w:p w14:paraId="57E7927F">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1928</w:t>
                  </w:r>
                </w:p>
              </w:tc>
            </w:tr>
            <w:tr w14:paraId="78CC67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346" w:type="pct"/>
                  <w:tcBorders>
                    <w:tl2br w:val="nil"/>
                    <w:tr2bl w:val="nil"/>
                  </w:tcBorders>
                  <w:noWrap w:val="0"/>
                  <w:vAlign w:val="center"/>
                </w:tcPr>
                <w:p w14:paraId="52C5D62D">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cs="Times New Roman"/>
                      <w:snapToGrid/>
                      <w:color w:val="000000" w:themeColor="text1"/>
                      <w:kern w:val="2"/>
                      <w:sz w:val="21"/>
                      <w:szCs w:val="21"/>
                      <w:highlight w:val="none"/>
                      <w:lang w:val="en-US" w:eastAsia="zh-CN"/>
                      <w14:textFill>
                        <w14:solidFill>
                          <w14:schemeClr w14:val="tx1"/>
                        </w14:solidFill>
                      </w14:textFill>
                    </w:rPr>
                    <w:t>DA003</w:t>
                  </w:r>
                </w:p>
              </w:tc>
              <w:tc>
                <w:tcPr>
                  <w:tcW w:w="809" w:type="pct"/>
                  <w:tcBorders>
                    <w:tl2br w:val="nil"/>
                    <w:tr2bl w:val="nil"/>
                  </w:tcBorders>
                  <w:noWrap w:val="0"/>
                  <w:vAlign w:val="center"/>
                </w:tcPr>
                <w:p w14:paraId="5F4115AF">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油烟排放口</w:t>
                  </w:r>
                </w:p>
              </w:tc>
              <w:tc>
                <w:tcPr>
                  <w:tcW w:w="696" w:type="pct"/>
                  <w:tcBorders>
                    <w:tl2br w:val="nil"/>
                    <w:tr2bl w:val="nil"/>
                  </w:tcBorders>
                  <w:noWrap w:val="0"/>
                  <w:vAlign w:val="center"/>
                </w:tcPr>
                <w:p w14:paraId="562CAAD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113°24′32.858″</w:t>
                  </w:r>
                </w:p>
              </w:tc>
              <w:tc>
                <w:tcPr>
                  <w:tcW w:w="696" w:type="pct"/>
                  <w:tcBorders>
                    <w:tl2br w:val="nil"/>
                    <w:tr2bl w:val="nil"/>
                  </w:tcBorders>
                  <w:noWrap w:val="0"/>
                  <w:vAlign w:val="center"/>
                </w:tcPr>
                <w:p w14:paraId="6D00DCA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25°9′22.62</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63" w:type="pct"/>
                  <w:tcBorders>
                    <w:tl2br w:val="nil"/>
                    <w:tr2bl w:val="nil"/>
                  </w:tcBorders>
                  <w:noWrap w:val="0"/>
                  <w:vAlign w:val="center"/>
                </w:tcPr>
                <w:p w14:paraId="3BCB44DA">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w:t>
                  </w:r>
                </w:p>
              </w:tc>
              <w:tc>
                <w:tcPr>
                  <w:tcW w:w="281" w:type="pct"/>
                  <w:tcBorders>
                    <w:tl2br w:val="nil"/>
                    <w:tr2bl w:val="nil"/>
                  </w:tcBorders>
                  <w:noWrap w:val="0"/>
                  <w:vAlign w:val="center"/>
                </w:tcPr>
                <w:p w14:paraId="584126CA">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5</w:t>
                  </w:r>
                </w:p>
              </w:tc>
              <w:tc>
                <w:tcPr>
                  <w:tcW w:w="387" w:type="pct"/>
                  <w:tcBorders>
                    <w:right w:val="single" w:color="auto" w:sz="4" w:space="0"/>
                    <w:tl2br w:val="nil"/>
                    <w:tr2bl w:val="nil"/>
                  </w:tcBorders>
                  <w:noWrap w:val="0"/>
                  <w:vAlign w:val="center"/>
                </w:tcPr>
                <w:p w14:paraId="5A7D1FB5">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0.4</w:t>
                  </w:r>
                </w:p>
              </w:tc>
              <w:tc>
                <w:tcPr>
                  <w:tcW w:w="344" w:type="pct"/>
                  <w:tcBorders>
                    <w:left w:val="single" w:color="auto" w:sz="4" w:space="0"/>
                    <w:tl2br w:val="nil"/>
                    <w:tr2bl w:val="nil"/>
                  </w:tcBorders>
                  <w:noWrap w:val="0"/>
                  <w:vAlign w:val="center"/>
                </w:tcPr>
                <w:p w14:paraId="18290C4A">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13.27</w:t>
                  </w:r>
                </w:p>
              </w:tc>
              <w:tc>
                <w:tcPr>
                  <w:tcW w:w="362" w:type="pct"/>
                  <w:tcBorders>
                    <w:right w:val="single" w:color="auto" w:sz="4" w:space="0"/>
                    <w:tl2br w:val="nil"/>
                    <w:tr2bl w:val="nil"/>
                  </w:tcBorders>
                  <w:noWrap w:val="0"/>
                  <w:vAlign w:val="center"/>
                </w:tcPr>
                <w:p w14:paraId="26211BE6">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6000</w:t>
                  </w:r>
                </w:p>
              </w:tc>
              <w:tc>
                <w:tcPr>
                  <w:tcW w:w="277" w:type="pct"/>
                  <w:tcBorders>
                    <w:left w:val="single" w:color="auto" w:sz="4" w:space="0"/>
                    <w:tl2br w:val="nil"/>
                    <w:tr2bl w:val="nil"/>
                  </w:tcBorders>
                  <w:noWrap w:val="0"/>
                  <w:vAlign w:val="center"/>
                </w:tcPr>
                <w:p w14:paraId="53D865BA">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35℃</w:t>
                  </w:r>
                </w:p>
              </w:tc>
              <w:tc>
                <w:tcPr>
                  <w:tcW w:w="335" w:type="pct"/>
                  <w:tcBorders>
                    <w:tl2br w:val="nil"/>
                    <w:tr2bl w:val="nil"/>
                  </w:tcBorders>
                  <w:noWrap w:val="0"/>
                  <w:vAlign w:val="center"/>
                </w:tcPr>
                <w:p w14:paraId="32A7D7C1">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964</w:t>
                  </w:r>
                </w:p>
              </w:tc>
            </w:tr>
            <w:tr w14:paraId="5A44B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5000" w:type="pct"/>
                  <w:gridSpan w:val="11"/>
                  <w:tcBorders>
                    <w:tl2br w:val="nil"/>
                    <w:tr2bl w:val="nil"/>
                  </w:tcBorders>
                  <w:noWrap w:val="0"/>
                  <w:vAlign w:val="center"/>
                </w:tcPr>
                <w:p w14:paraId="6A3AD8AA">
                  <w:pPr>
                    <w:widowControl w:val="0"/>
                    <w:kinsoku/>
                    <w:autoSpaceDE/>
                    <w:autoSpaceDN/>
                    <w:adjustRightInd w:val="0"/>
                    <w:snapToGrid w:val="0"/>
                    <w:spacing w:line="240" w:lineRule="auto"/>
                    <w:jc w:val="left"/>
                    <w:textAlignment w:val="auto"/>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t>注：根据《大气污染物治理工程技术导则》（HJ2000-2010），排气筒的出口直径应根据出口流速确定，流速宜取15m/s左右。因此，本项目排气筒规格的设置均符合要求。</w:t>
                  </w:r>
                </w:p>
              </w:tc>
            </w:tr>
          </w:tbl>
          <w:p w14:paraId="4850CE5E">
            <w:pPr>
              <w:keepNext w:val="0"/>
              <w:keepLines w:val="0"/>
              <w:pageBreakBefore w:val="0"/>
              <w:widowControl w:val="0"/>
              <w:kinsoku/>
              <w:wordWrap/>
              <w:overflowPunct/>
              <w:topLinePunct w:val="0"/>
              <w:autoSpaceDE/>
              <w:autoSpaceDN/>
              <w:bidi w:val="0"/>
              <w:adjustRightInd/>
              <w:snapToGrid/>
              <w:spacing w:line="120" w:lineRule="exact"/>
              <w:ind w:firstLine="464" w:firstLineChars="200"/>
              <w:jc w:val="both"/>
              <w:textAlignment w:val="auto"/>
              <w:rPr>
                <w:rFonts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pPr>
          </w:p>
          <w:p w14:paraId="586B36B4">
            <w:pPr>
              <w:widowControl w:val="0"/>
              <w:kinsoku/>
              <w:autoSpaceDE/>
              <w:autoSpaceDN/>
              <w:adjustRightInd/>
              <w:snapToGrid/>
              <w:spacing w:line="360" w:lineRule="auto"/>
              <w:ind w:firstLine="480" w:firstLineChars="200"/>
              <w:jc w:val="both"/>
              <w:textAlignment w:val="auto"/>
              <w:rPr>
                <w:rFonts w:hint="default" w:ascii="Times New Roman" w:hAnsi="Times New Roman" w:eastAsia="宋体" w:cs="Times New Roman"/>
                <w:snapToGrid/>
                <w:color w:val="000000" w:themeColor="text1"/>
                <w:kern w:val="0"/>
                <w:sz w:val="24"/>
                <w:szCs w:val="24"/>
                <w:highlight w:val="none"/>
                <w:lang w:eastAsia="zh-CN"/>
                <w14:textFill>
                  <w14:solidFill>
                    <w14:schemeClr w14:val="tx1"/>
                  </w14:solidFill>
                </w14:textFill>
              </w:rPr>
            </w:pPr>
            <w:r>
              <w:rPr>
                <w:rFonts w:hint="default" w:ascii="Times New Roman" w:hAnsi="Times New Roman" w:eastAsia="宋体" w:cs="Times New Roman"/>
                <w:snapToGrid/>
                <w:color w:val="000000" w:themeColor="text1"/>
                <w:kern w:val="0"/>
                <w:sz w:val="24"/>
                <w:szCs w:val="24"/>
                <w:highlight w:val="none"/>
                <w:lang w:eastAsia="zh-CN"/>
                <w14:textFill>
                  <w14:solidFill>
                    <w14:schemeClr w14:val="tx1"/>
                  </w14:solidFill>
                </w14:textFill>
              </w:rPr>
              <w:t>根据《排污单位自行监测技术指南</w:t>
            </w:r>
            <w:r>
              <w:rPr>
                <w:rFonts w:hint="eastAsia" w:ascii="Times New Roman" w:hAnsi="Times New Roman" w:eastAsia="宋体" w:cs="Times New Roman"/>
                <w:snapToGrid/>
                <w:color w:val="000000" w:themeColor="text1"/>
                <w:kern w:val="0"/>
                <w:sz w:val="24"/>
                <w:szCs w:val="24"/>
                <w:highlight w:val="none"/>
                <w:lang w:val="en-US" w:eastAsia="zh-CN"/>
                <w14:textFill>
                  <w14:solidFill>
                    <w14:schemeClr w14:val="tx1"/>
                  </w14:solidFill>
                </w14:textFill>
              </w:rPr>
              <w:t xml:space="preserve"> </w:t>
            </w:r>
            <w:r>
              <w:rPr>
                <w:rFonts w:hint="default" w:ascii="Times New Roman" w:hAnsi="Times New Roman" w:eastAsia="宋体" w:cs="Times New Roman"/>
                <w:snapToGrid/>
                <w:color w:val="000000" w:themeColor="text1"/>
                <w:kern w:val="0"/>
                <w:sz w:val="24"/>
                <w:szCs w:val="24"/>
                <w:highlight w:val="none"/>
                <w:lang w:eastAsia="zh-CN"/>
                <w14:textFill>
                  <w14:solidFill>
                    <w14:schemeClr w14:val="tx1"/>
                  </w14:solidFill>
                </w14:textFill>
              </w:rPr>
              <w:t>总则》（HJ</w:t>
            </w:r>
            <w:r>
              <w:rPr>
                <w:rFonts w:hint="eastAsia" w:ascii="Times New Roman" w:hAnsi="Times New Roman" w:eastAsia="宋体" w:cs="Times New Roman"/>
                <w:snapToGrid/>
                <w:color w:val="000000" w:themeColor="text1"/>
                <w:kern w:val="0"/>
                <w:sz w:val="24"/>
                <w:szCs w:val="24"/>
                <w:highlight w:val="none"/>
                <w:lang w:val="en-US" w:eastAsia="zh-CN"/>
                <w14:textFill>
                  <w14:solidFill>
                    <w14:schemeClr w14:val="tx1"/>
                  </w14:solidFill>
                </w14:textFill>
              </w:rPr>
              <w:t xml:space="preserve"> </w:t>
            </w:r>
            <w:r>
              <w:rPr>
                <w:rFonts w:hint="default" w:ascii="Times New Roman" w:hAnsi="Times New Roman" w:eastAsia="宋体" w:cs="Times New Roman"/>
                <w:snapToGrid/>
                <w:color w:val="000000" w:themeColor="text1"/>
                <w:kern w:val="0"/>
                <w:sz w:val="24"/>
                <w:szCs w:val="24"/>
                <w:highlight w:val="none"/>
                <w:lang w:eastAsia="zh-CN"/>
                <w14:textFill>
                  <w14:solidFill>
                    <w14:schemeClr w14:val="tx1"/>
                  </w14:solidFill>
                </w14:textFill>
              </w:rPr>
              <w:t>819-2017）、《排污许可证申请与核发技术规范 工业炉窑》（HJ 1121-2020）</w:t>
            </w:r>
            <w:r>
              <w:rPr>
                <w:rFonts w:hint="eastAsia" w:ascii="Times New Roman" w:hAnsi="Times New Roman" w:eastAsia="宋体" w:cs="Times New Roman"/>
                <w:snapToGrid/>
                <w:color w:val="000000" w:themeColor="text1"/>
                <w:kern w:val="0"/>
                <w:sz w:val="24"/>
                <w:szCs w:val="24"/>
                <w:highlight w:val="none"/>
                <w:lang w:eastAsia="zh-CN"/>
                <w14:textFill>
                  <w14:solidFill>
                    <w14:schemeClr w14:val="tx1"/>
                  </w14:solidFill>
                </w14:textFill>
              </w:rPr>
              <w:t>、《排污单位自行监测技术指南 涂装》（HJ1086-2020）</w:t>
            </w:r>
            <w:r>
              <w:rPr>
                <w:rFonts w:hint="default" w:ascii="Times New Roman" w:hAnsi="Times New Roman" w:eastAsia="宋体" w:cs="Times New Roman"/>
                <w:snapToGrid/>
                <w:color w:val="000000" w:themeColor="text1"/>
                <w:kern w:val="0"/>
                <w:sz w:val="24"/>
                <w:szCs w:val="24"/>
                <w:highlight w:val="none"/>
                <w:lang w:eastAsia="zh-CN"/>
                <w14:textFill>
                  <w14:solidFill>
                    <w14:schemeClr w14:val="tx1"/>
                  </w14:solidFill>
                </w14:textFill>
              </w:rPr>
              <w:t>，本项目废气监测计划见下表：</w:t>
            </w:r>
          </w:p>
          <w:p w14:paraId="310F1BBB">
            <w:pPr>
              <w:pStyle w:val="2"/>
              <w:keepNext w:val="0"/>
              <w:keepLines w:val="0"/>
              <w:numPr>
                <w:ilvl w:val="0"/>
                <w:numId w:val="0"/>
              </w:numPr>
              <w:suppressLineNumbers w:val="0"/>
              <w:tabs>
                <w:tab w:val="left" w:pos="0"/>
              </w:tabs>
              <w:spacing w:before="0" w:beforeAutospacing="0" w:after="0" w:afterAutospacing="0"/>
              <w:ind w:left="0" w:leftChars="0" w:right="0" w:rightChars="0" w:firstLine="40" w:firstLineChars="0"/>
              <w:jc w:val="cente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表4-7</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项目</w:t>
            </w: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废气监测计划</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一览</w:t>
            </w: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表</w:t>
            </w:r>
          </w:p>
          <w:tbl>
            <w:tblPr>
              <w:tblStyle w:val="4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3"/>
              <w:gridCol w:w="1631"/>
              <w:gridCol w:w="4607"/>
              <w:gridCol w:w="1405"/>
              <w:gridCol w:w="3557"/>
            </w:tblGrid>
            <w:tr w14:paraId="38F6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636" w:type="pct"/>
                  <w:vAlign w:val="center"/>
                </w:tcPr>
                <w:p w14:paraId="6C9841B7">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b/>
                      <w:color w:val="000000" w:themeColor="text1"/>
                      <w:spacing w:val="-2"/>
                      <w:sz w:val="21"/>
                      <w:szCs w:val="21"/>
                      <w:highlight w:val="none"/>
                      <w14:textFill>
                        <w14:solidFill>
                          <w14:schemeClr w14:val="tx1"/>
                        </w14:solidFill>
                      </w14:textFill>
                    </w:rPr>
                  </w:pPr>
                  <w:r>
                    <w:rPr>
                      <w:rFonts w:hint="default" w:ascii="Times New Roman" w:hAnsi="Times New Roman" w:eastAsia="宋体" w:cs="Times New Roman"/>
                      <w:b/>
                      <w:color w:val="000000" w:themeColor="text1"/>
                      <w:spacing w:val="-2"/>
                      <w:sz w:val="21"/>
                      <w:szCs w:val="21"/>
                      <w:highlight w:val="none"/>
                      <w14:textFill>
                        <w14:solidFill>
                          <w14:schemeClr w14:val="tx1"/>
                        </w14:solidFill>
                      </w14:textFill>
                    </w:rPr>
                    <w:t>监测位置</w:t>
                  </w:r>
                </w:p>
              </w:tc>
              <w:tc>
                <w:tcPr>
                  <w:tcW w:w="635" w:type="pct"/>
                  <w:vAlign w:val="center"/>
                </w:tcPr>
                <w:p w14:paraId="0FED53E8">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b/>
                      <w:color w:val="000000" w:themeColor="text1"/>
                      <w:spacing w:val="-2"/>
                      <w:sz w:val="21"/>
                      <w:szCs w:val="21"/>
                      <w:highlight w:val="none"/>
                      <w14:textFill>
                        <w14:solidFill>
                          <w14:schemeClr w14:val="tx1"/>
                        </w14:solidFill>
                      </w14:textFill>
                    </w:rPr>
                  </w:pPr>
                  <w:r>
                    <w:rPr>
                      <w:rFonts w:hint="default" w:ascii="Times New Roman" w:hAnsi="Times New Roman" w:eastAsia="宋体" w:cs="Times New Roman"/>
                      <w:b/>
                      <w:color w:val="000000" w:themeColor="text1"/>
                      <w:spacing w:val="-2"/>
                      <w:sz w:val="21"/>
                      <w:szCs w:val="21"/>
                      <w:highlight w:val="none"/>
                      <w14:textFill>
                        <w14:solidFill>
                          <w14:schemeClr w14:val="tx1"/>
                        </w14:solidFill>
                      </w14:textFill>
                    </w:rPr>
                    <w:t>排放口类型</w:t>
                  </w:r>
                </w:p>
              </w:tc>
              <w:tc>
                <w:tcPr>
                  <w:tcW w:w="1794" w:type="pct"/>
                  <w:vAlign w:val="center"/>
                </w:tcPr>
                <w:p w14:paraId="28F88AD5">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b/>
                      <w:color w:val="000000" w:themeColor="text1"/>
                      <w:spacing w:val="-2"/>
                      <w:sz w:val="21"/>
                      <w:szCs w:val="21"/>
                      <w:highlight w:val="none"/>
                      <w14:textFill>
                        <w14:solidFill>
                          <w14:schemeClr w14:val="tx1"/>
                        </w14:solidFill>
                      </w14:textFill>
                    </w:rPr>
                  </w:pPr>
                  <w:r>
                    <w:rPr>
                      <w:rFonts w:hint="default" w:ascii="Times New Roman" w:hAnsi="Times New Roman" w:eastAsia="宋体" w:cs="Times New Roman"/>
                      <w:b/>
                      <w:color w:val="000000" w:themeColor="text1"/>
                      <w:spacing w:val="-2"/>
                      <w:sz w:val="21"/>
                      <w:szCs w:val="21"/>
                      <w:highlight w:val="none"/>
                      <w14:textFill>
                        <w14:solidFill>
                          <w14:schemeClr w14:val="tx1"/>
                        </w14:solidFill>
                      </w14:textFill>
                    </w:rPr>
                    <w:t>监测项目</w:t>
                  </w:r>
                </w:p>
              </w:tc>
              <w:tc>
                <w:tcPr>
                  <w:tcW w:w="547" w:type="pct"/>
                  <w:vAlign w:val="center"/>
                </w:tcPr>
                <w:p w14:paraId="532D7AE6">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b/>
                      <w:color w:val="000000" w:themeColor="text1"/>
                      <w:spacing w:val="-2"/>
                      <w:sz w:val="21"/>
                      <w:szCs w:val="21"/>
                      <w:highlight w:val="none"/>
                      <w14:textFill>
                        <w14:solidFill>
                          <w14:schemeClr w14:val="tx1"/>
                        </w14:solidFill>
                      </w14:textFill>
                    </w:rPr>
                  </w:pPr>
                  <w:r>
                    <w:rPr>
                      <w:rFonts w:hint="default" w:ascii="Times New Roman" w:hAnsi="Times New Roman" w:eastAsia="宋体" w:cs="Times New Roman"/>
                      <w:b/>
                      <w:color w:val="000000" w:themeColor="text1"/>
                      <w:spacing w:val="-2"/>
                      <w:sz w:val="21"/>
                      <w:szCs w:val="21"/>
                      <w:highlight w:val="none"/>
                      <w14:textFill>
                        <w14:solidFill>
                          <w14:schemeClr w14:val="tx1"/>
                        </w14:solidFill>
                      </w14:textFill>
                    </w:rPr>
                    <w:t>监测频率</w:t>
                  </w:r>
                </w:p>
              </w:tc>
              <w:tc>
                <w:tcPr>
                  <w:tcW w:w="1385" w:type="pct"/>
                  <w:vAlign w:val="center"/>
                </w:tcPr>
                <w:p w14:paraId="212DAB4A">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b/>
                      <w:color w:val="000000" w:themeColor="text1"/>
                      <w:spacing w:val="-2"/>
                      <w:sz w:val="21"/>
                      <w:szCs w:val="21"/>
                      <w:highlight w:val="none"/>
                      <w14:textFill>
                        <w14:solidFill>
                          <w14:schemeClr w14:val="tx1"/>
                        </w14:solidFill>
                      </w14:textFill>
                    </w:rPr>
                  </w:pPr>
                  <w:r>
                    <w:rPr>
                      <w:rFonts w:hint="default" w:ascii="Times New Roman" w:hAnsi="Times New Roman" w:eastAsia="宋体" w:cs="Times New Roman"/>
                      <w:b/>
                      <w:color w:val="000000" w:themeColor="text1"/>
                      <w:spacing w:val="-2"/>
                      <w:sz w:val="21"/>
                      <w:szCs w:val="21"/>
                      <w:highlight w:val="none"/>
                      <w14:textFill>
                        <w14:solidFill>
                          <w14:schemeClr w14:val="tx1"/>
                        </w14:solidFill>
                      </w14:textFill>
                    </w:rPr>
                    <w:t>依据</w:t>
                  </w:r>
                </w:p>
              </w:tc>
            </w:tr>
            <w:tr w14:paraId="1D3D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636" w:type="pct"/>
                  <w:vMerge w:val="restart"/>
                  <w:vAlign w:val="center"/>
                </w:tcPr>
                <w:p w14:paraId="16DC2ACD">
                  <w:pPr>
                    <w:keepNext w:val="0"/>
                    <w:keepLines w:val="0"/>
                    <w:pageBreakBefore w:val="0"/>
                    <w:widowControl/>
                    <w:suppressLineNumbers w:val="0"/>
                    <w:kinsoku/>
                    <w:wordWrap w:val="0"/>
                    <w:overflowPunct/>
                    <w:topLinePunct/>
                    <w:autoSpaceDE/>
                    <w:autoSpaceDN/>
                    <w:bidi w:val="0"/>
                    <w:spacing w:beforeAutospacing="0" w:afterAutospacing="0" w:line="240" w:lineRule="auto"/>
                    <w:ind w:left="0" w:right="0" w:firstLine="0" w:firstLineChars="0"/>
                    <w:jc w:val="center"/>
                    <w:textAlignment w:val="auto"/>
                    <w:rPr>
                      <w:rFonts w:hint="eastAsia" w:ascii="Times New Roman" w:hAnsi="Times New Roman" w:eastAsia="宋体" w:cs="Times New Roman"/>
                      <w:color w:val="000000" w:themeColor="text1"/>
                      <w:kern w:val="2"/>
                      <w:sz w:val="21"/>
                      <w:szCs w:val="21"/>
                      <w:highlight w:val="none"/>
                      <w:lang w:eastAsia="zh-CN"/>
                      <w14:textFill>
                        <w14:solidFill>
                          <w14:schemeClr w14:val="tx1"/>
                        </w14:solidFill>
                      </w14:textFill>
                    </w:rPr>
                  </w:pPr>
                  <w:r>
                    <w:rPr>
                      <w:rFonts w:hint="eastAsia" w:cs="Times New Roman"/>
                      <w:color w:val="000000" w:themeColor="text1"/>
                      <w:kern w:val="2"/>
                      <w:sz w:val="21"/>
                      <w:szCs w:val="21"/>
                      <w:highlight w:val="none"/>
                      <w:lang w:eastAsia="zh-CN"/>
                      <w14:textFill>
                        <w14:solidFill>
                          <w14:schemeClr w14:val="tx1"/>
                        </w14:solidFill>
                      </w14:textFill>
                    </w:rPr>
                    <w:t>DA00</w:t>
                  </w:r>
                  <w:r>
                    <w:rPr>
                      <w:rFonts w:hint="eastAsia" w:cs="Times New Roman"/>
                      <w:color w:val="000000" w:themeColor="text1"/>
                      <w:kern w:val="2"/>
                      <w:sz w:val="21"/>
                      <w:szCs w:val="21"/>
                      <w:highlight w:val="none"/>
                      <w:lang w:val="en-US" w:eastAsia="zh-CN"/>
                      <w14:textFill>
                        <w14:solidFill>
                          <w14:schemeClr w14:val="tx1"/>
                        </w14:solidFill>
                      </w14:textFill>
                    </w:rPr>
                    <w:t>1</w:t>
                  </w:r>
                </w:p>
              </w:tc>
              <w:tc>
                <w:tcPr>
                  <w:tcW w:w="635" w:type="pct"/>
                  <w:vMerge w:val="restart"/>
                  <w:vAlign w:val="center"/>
                </w:tcPr>
                <w:p w14:paraId="38C14773">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eastAsia" w:ascii="Times New Roman" w:cs="Times New Roman"/>
                      <w:color w:val="000000" w:themeColor="text1"/>
                      <w:kern w:val="0"/>
                      <w:sz w:val="21"/>
                      <w:szCs w:val="21"/>
                      <w:highlight w:val="none"/>
                      <w:lang w:val="en-US" w:eastAsia="zh-CN"/>
                      <w14:textFill>
                        <w14:solidFill>
                          <w14:schemeClr w14:val="tx1"/>
                        </w14:solidFill>
                      </w14:textFill>
                    </w:rPr>
                    <w:t>主要</w:t>
                  </w: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排放口</w:t>
                  </w:r>
                </w:p>
              </w:tc>
              <w:tc>
                <w:tcPr>
                  <w:tcW w:w="1794" w:type="pct"/>
                  <w:vAlign w:val="center"/>
                </w:tcPr>
                <w:p w14:paraId="4B157D06">
                  <w:pPr>
                    <w:keepNext w:val="0"/>
                    <w:keepLines w:val="0"/>
                    <w:pageBreakBefore w:val="0"/>
                    <w:suppressLineNumbers w:val="0"/>
                    <w:kinsoku/>
                    <w:wordWrap w:val="0"/>
                    <w:overflowPunct/>
                    <w:topLinePunct/>
                    <w:autoSpaceDE/>
                    <w:autoSpaceDN/>
                    <w:bidi w:val="0"/>
                    <w:spacing w:beforeAutospacing="0" w:afterAutospacing="0" w:line="240" w:lineRule="auto"/>
                    <w:ind w:left="0" w:right="0" w:firstLine="0" w:firstLineChars="0"/>
                    <w:jc w:val="center"/>
                    <w:textAlignment w:val="auto"/>
                    <w:rPr>
                      <w:rFonts w:hint="default" w:ascii="Times New Roman" w:hAnsi="Times New Roman" w:eastAsia="宋体" w:cs="Times New Roman"/>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颗粒物、非甲烷总烃、</w:t>
                  </w: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苯系物</w:t>
                  </w:r>
                </w:p>
              </w:tc>
              <w:tc>
                <w:tcPr>
                  <w:tcW w:w="547" w:type="pct"/>
                  <w:vAlign w:val="center"/>
                </w:tcPr>
                <w:p w14:paraId="078B19D9">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2"/>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1次/半年</w:t>
                  </w:r>
                </w:p>
              </w:tc>
              <w:tc>
                <w:tcPr>
                  <w:tcW w:w="1385" w:type="pct"/>
                  <w:vMerge w:val="restart"/>
                  <w:vAlign w:val="center"/>
                </w:tcPr>
                <w:p w14:paraId="4EEF1442">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2"/>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《排污单位自行监测技术指南总则》（HJ819-2017）表1与</w:t>
                  </w: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《排污单位自行监测技术指南 涂装》（HJ1086-2020）表2较严值</w:t>
                  </w:r>
                </w:p>
              </w:tc>
            </w:tr>
            <w:tr w14:paraId="16B9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36" w:type="pct"/>
                  <w:vMerge w:val="continue"/>
                  <w:vAlign w:val="center"/>
                </w:tcPr>
                <w:p w14:paraId="59E08681">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635" w:type="pct"/>
                  <w:vMerge w:val="continue"/>
                  <w:vAlign w:val="center"/>
                </w:tcPr>
                <w:p w14:paraId="0F5EFD2E">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794" w:type="pct"/>
                  <w:vAlign w:val="center"/>
                </w:tcPr>
                <w:p w14:paraId="0CDB5D40">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2"/>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臭气浓度</w:t>
                  </w:r>
                </w:p>
              </w:tc>
              <w:tc>
                <w:tcPr>
                  <w:tcW w:w="547" w:type="pct"/>
                  <w:vAlign w:val="center"/>
                </w:tcPr>
                <w:p w14:paraId="1C239E3B">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2"/>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1次/年</w:t>
                  </w:r>
                </w:p>
              </w:tc>
              <w:tc>
                <w:tcPr>
                  <w:tcW w:w="1385" w:type="pct"/>
                  <w:vMerge w:val="continue"/>
                  <w:vAlign w:val="center"/>
                </w:tcPr>
                <w:p w14:paraId="4A2D7276">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2"/>
                      <w:sz w:val="21"/>
                      <w:szCs w:val="21"/>
                      <w:highlight w:val="none"/>
                      <w14:textFill>
                        <w14:solidFill>
                          <w14:schemeClr w14:val="tx1"/>
                        </w14:solidFill>
                      </w14:textFill>
                    </w:rPr>
                  </w:pPr>
                </w:p>
              </w:tc>
            </w:tr>
            <w:tr w14:paraId="3432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636" w:type="pct"/>
                  <w:vMerge w:val="restart"/>
                  <w:vAlign w:val="center"/>
                </w:tcPr>
                <w:p w14:paraId="79FF19B9">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DA002</w:t>
                  </w:r>
                </w:p>
              </w:tc>
              <w:tc>
                <w:tcPr>
                  <w:tcW w:w="635" w:type="pct"/>
                  <w:vMerge w:val="restart"/>
                  <w:vAlign w:val="center"/>
                </w:tcPr>
                <w:p w14:paraId="7F310D4F">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主要排放口</w:t>
                  </w:r>
                </w:p>
              </w:tc>
              <w:tc>
                <w:tcPr>
                  <w:tcW w:w="1794" w:type="pct"/>
                  <w:vAlign w:val="center"/>
                </w:tcPr>
                <w:p w14:paraId="2E902657">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2"/>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颗粒物、</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非甲烷总烃</w:t>
                  </w:r>
                  <w:r>
                    <w:rPr>
                      <w:rFonts w:hint="eastAsia" w:ascii="Times New Roman" w:cs="Times New Roman"/>
                      <w:color w:val="000000" w:themeColor="text1"/>
                      <w:kern w:val="2"/>
                      <w:sz w:val="21"/>
                      <w:szCs w:val="21"/>
                      <w:highlight w:val="none"/>
                      <w:lang w:eastAsia="zh-CN"/>
                      <w14:textFill>
                        <w14:solidFill>
                          <w14:schemeClr w14:val="tx1"/>
                        </w14:solidFill>
                      </w14:textFill>
                    </w:rPr>
                    <w:t>、</w:t>
                  </w:r>
                  <w:r>
                    <w:rPr>
                      <w:rFonts w:hint="eastAsia" w:ascii="Times New Roman" w:cs="Times New Roman"/>
                      <w:color w:val="000000" w:themeColor="text1"/>
                      <w:kern w:val="2"/>
                      <w:sz w:val="21"/>
                      <w:szCs w:val="21"/>
                      <w:highlight w:val="none"/>
                      <w:lang w:val="en-US" w:eastAsia="zh-CN"/>
                      <w14:textFill>
                        <w14:solidFill>
                          <w14:schemeClr w14:val="tx1"/>
                        </w14:solidFill>
                      </w14:textFill>
                    </w:rPr>
                    <w:t>苯系物</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w:t>
                  </w: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SO</w:t>
                  </w:r>
                  <w:r>
                    <w:rPr>
                      <w:rFonts w:hint="default" w:ascii="Times New Roman" w:hAnsi="Times New Roman" w:eastAsia="宋体" w:cs="Times New Roman"/>
                      <w:color w:val="000000" w:themeColor="text1"/>
                      <w:spacing w:val="-2"/>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、NOx</w:t>
                  </w:r>
                </w:p>
              </w:tc>
              <w:tc>
                <w:tcPr>
                  <w:tcW w:w="547" w:type="pct"/>
                  <w:vAlign w:val="center"/>
                </w:tcPr>
                <w:p w14:paraId="5B0C8800">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2"/>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1次/半年</w:t>
                  </w:r>
                </w:p>
              </w:tc>
              <w:tc>
                <w:tcPr>
                  <w:tcW w:w="1385" w:type="pct"/>
                  <w:vMerge w:val="continue"/>
                  <w:vAlign w:val="center"/>
                </w:tcPr>
                <w:p w14:paraId="6CE81880">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2"/>
                      <w:sz w:val="21"/>
                      <w:szCs w:val="21"/>
                      <w:highlight w:val="none"/>
                      <w14:textFill>
                        <w14:solidFill>
                          <w14:schemeClr w14:val="tx1"/>
                        </w14:solidFill>
                      </w14:textFill>
                    </w:rPr>
                  </w:pPr>
                </w:p>
              </w:tc>
            </w:tr>
            <w:tr w14:paraId="124D7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636" w:type="pct"/>
                  <w:vMerge w:val="continue"/>
                  <w:vAlign w:val="center"/>
                </w:tcPr>
                <w:p w14:paraId="6DE9DFDF">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635" w:type="pct"/>
                  <w:vMerge w:val="continue"/>
                  <w:vAlign w:val="center"/>
                </w:tcPr>
                <w:p w14:paraId="15AC976E">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794" w:type="pct"/>
                  <w:vAlign w:val="center"/>
                </w:tcPr>
                <w:p w14:paraId="1F7222A5">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pacing w:val="-2"/>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臭气浓度</w:t>
                  </w:r>
                </w:p>
              </w:tc>
              <w:tc>
                <w:tcPr>
                  <w:tcW w:w="547" w:type="pct"/>
                  <w:vAlign w:val="center"/>
                </w:tcPr>
                <w:p w14:paraId="404C783A">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pacing w:val="-2"/>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1次/年</w:t>
                  </w:r>
                </w:p>
              </w:tc>
              <w:tc>
                <w:tcPr>
                  <w:tcW w:w="1385" w:type="pct"/>
                  <w:vMerge w:val="continue"/>
                  <w:vAlign w:val="center"/>
                </w:tcPr>
                <w:p w14:paraId="47AE83F2">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2"/>
                      <w:sz w:val="21"/>
                      <w:szCs w:val="21"/>
                      <w:highlight w:val="none"/>
                      <w14:textFill>
                        <w14:solidFill>
                          <w14:schemeClr w14:val="tx1"/>
                        </w14:solidFill>
                      </w14:textFill>
                    </w:rPr>
                  </w:pPr>
                </w:p>
              </w:tc>
            </w:tr>
            <w:tr w14:paraId="642D6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636" w:type="pct"/>
                  <w:vAlign w:val="center"/>
                </w:tcPr>
                <w:p w14:paraId="4333ECE6">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DA003</w:t>
                  </w:r>
                </w:p>
              </w:tc>
              <w:tc>
                <w:tcPr>
                  <w:tcW w:w="635" w:type="pct"/>
                  <w:vAlign w:val="center"/>
                </w:tcPr>
                <w:p w14:paraId="3CF15247">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一般排放口</w:t>
                  </w:r>
                </w:p>
              </w:tc>
              <w:tc>
                <w:tcPr>
                  <w:tcW w:w="1794" w:type="pct"/>
                  <w:vAlign w:val="center"/>
                </w:tcPr>
                <w:p w14:paraId="1863A02C">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t>油烟</w:t>
                  </w:r>
                </w:p>
              </w:tc>
              <w:tc>
                <w:tcPr>
                  <w:tcW w:w="547" w:type="pct"/>
                  <w:vAlign w:val="center"/>
                </w:tcPr>
                <w:p w14:paraId="27201912">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t>1次/年</w:t>
                  </w:r>
                </w:p>
              </w:tc>
              <w:tc>
                <w:tcPr>
                  <w:tcW w:w="1385" w:type="pct"/>
                  <w:vMerge w:val="continue"/>
                  <w:vAlign w:val="center"/>
                </w:tcPr>
                <w:p w14:paraId="5F6C31DE">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2"/>
                      <w:sz w:val="21"/>
                      <w:szCs w:val="21"/>
                      <w:highlight w:val="none"/>
                      <w14:textFill>
                        <w14:solidFill>
                          <w14:schemeClr w14:val="tx1"/>
                        </w14:solidFill>
                      </w14:textFill>
                    </w:rPr>
                  </w:pPr>
                </w:p>
              </w:tc>
            </w:tr>
            <w:tr w14:paraId="4ABF3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36" w:type="pct"/>
                  <w:vAlign w:val="center"/>
                </w:tcPr>
                <w:p w14:paraId="11FE61C6">
                  <w:pPr>
                    <w:keepNext w:val="0"/>
                    <w:keepLines w:val="0"/>
                    <w:pageBreakBefore w:val="0"/>
                    <w:widowControl/>
                    <w:suppressLineNumbers w:val="0"/>
                    <w:kinsoku/>
                    <w:wordWrap w:val="0"/>
                    <w:overflowPunct/>
                    <w:topLinePunct/>
                    <w:autoSpaceDE/>
                    <w:autoSpaceDN/>
                    <w:bidi w:val="0"/>
                    <w:spacing w:beforeAutospacing="0" w:afterAutospacing="0" w:line="240" w:lineRule="auto"/>
                    <w:ind w:left="0" w:right="0" w:firstLine="0" w:firstLineChars="0"/>
                    <w:jc w:val="center"/>
                    <w:textAlignment w:val="auto"/>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厂界</w:t>
                  </w:r>
                </w:p>
              </w:tc>
              <w:tc>
                <w:tcPr>
                  <w:tcW w:w="635" w:type="pct"/>
                  <w:vAlign w:val="center"/>
                </w:tcPr>
                <w:p w14:paraId="61274A26">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w:t>
                  </w:r>
                </w:p>
              </w:tc>
              <w:tc>
                <w:tcPr>
                  <w:tcW w:w="1794" w:type="pct"/>
                  <w:vAlign w:val="center"/>
                </w:tcPr>
                <w:p w14:paraId="75D1FBC7">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颗粒物、苯系物、臭气浓度</w:t>
                  </w:r>
                  <w:r>
                    <w:rPr>
                      <w:rFonts w:hint="eastAsia" w:ascii="Times New Roman" w:cs="Times New Roman"/>
                      <w:color w:val="000000" w:themeColor="text1"/>
                      <w:spacing w:val="-2"/>
                      <w:sz w:val="21"/>
                      <w:szCs w:val="21"/>
                      <w:highlight w:val="none"/>
                      <w:lang w:eastAsia="zh-CN"/>
                      <w14:textFill>
                        <w14:solidFill>
                          <w14:schemeClr w14:val="tx1"/>
                        </w14:solidFill>
                      </w14:textFill>
                    </w:rPr>
                    <w:t>、</w:t>
                  </w:r>
                  <w:r>
                    <w:rPr>
                      <w:rFonts w:hint="eastAsia" w:ascii="Times New Roman" w:cs="Times New Roman"/>
                      <w:color w:val="000000" w:themeColor="text1"/>
                      <w:spacing w:val="-2"/>
                      <w:sz w:val="21"/>
                      <w:szCs w:val="21"/>
                      <w:highlight w:val="none"/>
                      <w:lang w:val="en-US" w:eastAsia="zh-CN"/>
                      <w14:textFill>
                        <w14:solidFill>
                          <w14:schemeClr w14:val="tx1"/>
                        </w14:solidFill>
                      </w14:textFill>
                    </w:rPr>
                    <w:t>氟化物</w:t>
                  </w:r>
                </w:p>
              </w:tc>
              <w:tc>
                <w:tcPr>
                  <w:tcW w:w="547" w:type="pct"/>
                  <w:vAlign w:val="center"/>
                </w:tcPr>
                <w:p w14:paraId="0BCDD8F4">
                  <w:pPr>
                    <w:keepNext w:val="0"/>
                    <w:keepLines w:val="0"/>
                    <w:pageBreakBefore w:val="0"/>
                    <w:suppressLineNumbers w:val="0"/>
                    <w:kinsoku/>
                    <w:wordWrap w:val="0"/>
                    <w:overflowPunct/>
                    <w:topLinePunct/>
                    <w:autoSpaceDE/>
                    <w:autoSpaceDN/>
                    <w:bidi w:val="0"/>
                    <w:spacing w:beforeAutospacing="0" w:afterAutospacing="0" w:line="240" w:lineRule="auto"/>
                    <w:ind w:left="0" w:right="0" w:firstLine="0" w:firstLineChars="0"/>
                    <w:jc w:val="center"/>
                    <w:textAlignment w:val="auto"/>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1次/半年</w:t>
                  </w:r>
                </w:p>
              </w:tc>
              <w:tc>
                <w:tcPr>
                  <w:tcW w:w="1385" w:type="pct"/>
                  <w:vAlign w:val="center"/>
                </w:tcPr>
                <w:p w14:paraId="005BE551">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2"/>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《排污单位自行监测技术指南 涂装》（HJ1086-2020）表3</w:t>
                  </w:r>
                </w:p>
              </w:tc>
            </w:tr>
            <w:tr w14:paraId="073F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36" w:type="pct"/>
                  <w:vAlign w:val="center"/>
                </w:tcPr>
                <w:p w14:paraId="2FE24EE1">
                  <w:pPr>
                    <w:keepNext w:val="0"/>
                    <w:keepLines w:val="0"/>
                    <w:pageBreakBefore w:val="0"/>
                    <w:widowControl/>
                    <w:suppressLineNumbers w:val="0"/>
                    <w:kinsoku/>
                    <w:wordWrap w:val="0"/>
                    <w:overflowPunct/>
                    <w:topLinePunct/>
                    <w:autoSpaceDE/>
                    <w:autoSpaceDN/>
                    <w:bidi w:val="0"/>
                    <w:spacing w:beforeAutospacing="0" w:afterAutospacing="0" w:line="240" w:lineRule="auto"/>
                    <w:ind w:left="0" w:right="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color w:val="000000" w:themeColor="text1"/>
                      <w:kern w:val="2"/>
                      <w:sz w:val="21"/>
                      <w:szCs w:val="21"/>
                      <w:highlight w:val="none"/>
                      <w:lang w:val="en-US" w:eastAsia="zh-CN"/>
                      <w14:textFill>
                        <w14:solidFill>
                          <w14:schemeClr w14:val="tx1"/>
                        </w14:solidFill>
                      </w14:textFill>
                    </w:rPr>
                    <w:t>涂装工段附近</w:t>
                  </w:r>
                </w:p>
              </w:tc>
              <w:tc>
                <w:tcPr>
                  <w:tcW w:w="635" w:type="pct"/>
                  <w:vAlign w:val="center"/>
                </w:tcPr>
                <w:p w14:paraId="65527059">
                  <w:pPr>
                    <w:pStyle w:val="177"/>
                    <w:keepNext w:val="0"/>
                    <w:keepLines w:val="0"/>
                    <w:pageBreakBefore w:val="0"/>
                    <w:suppressLineNumbers w:val="0"/>
                    <w:kinsoku/>
                    <w:wordWrap w:val="0"/>
                    <w:overflowPunct/>
                    <w:topLinePunct/>
                    <w:autoSpaceDE/>
                    <w:autoSpaceDN/>
                    <w:bidi w:val="0"/>
                    <w:spacing w:beforeAutospacing="0" w:afterAutospacing="0" w:line="240" w:lineRule="auto"/>
                    <w:ind w:left="0" w:right="0" w:firstLine="0" w:firstLineChars="0"/>
                    <w:jc w:val="center"/>
                    <w:textAlignment w:val="auto"/>
                    <w:rPr>
                      <w:rFonts w:hint="default" w:ascii="Times New Roman" w:hAnsi="Times New Roman" w:eastAsia="宋体" w:cs="Times New Roman"/>
                      <w:bCs/>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14:textFill>
                        <w14:solidFill>
                          <w14:schemeClr w14:val="tx1"/>
                        </w14:solidFill>
                      </w14:textFill>
                    </w:rPr>
                    <w:t>/</w:t>
                  </w:r>
                </w:p>
              </w:tc>
              <w:tc>
                <w:tcPr>
                  <w:tcW w:w="1794" w:type="pct"/>
                  <w:vAlign w:val="center"/>
                </w:tcPr>
                <w:p w14:paraId="0022278B">
                  <w:pPr>
                    <w:pStyle w:val="177"/>
                    <w:keepNext w:val="0"/>
                    <w:keepLines w:val="0"/>
                    <w:pageBreakBefore w:val="0"/>
                    <w:suppressLineNumbers w:val="0"/>
                    <w:kinsoku/>
                    <w:wordWrap w:val="0"/>
                    <w:overflowPunct/>
                    <w:topLinePunct/>
                    <w:autoSpaceDE/>
                    <w:autoSpaceDN/>
                    <w:bidi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非甲烷总烃、颗粒物、苯系物、臭气浓度</w:t>
                  </w:r>
                </w:p>
              </w:tc>
              <w:tc>
                <w:tcPr>
                  <w:tcW w:w="547" w:type="pct"/>
                  <w:vAlign w:val="center"/>
                </w:tcPr>
                <w:p w14:paraId="2BC6EC6E">
                  <w:pPr>
                    <w:keepNext w:val="0"/>
                    <w:keepLines w:val="0"/>
                    <w:pageBreakBefore w:val="0"/>
                    <w:suppressLineNumbers w:val="0"/>
                    <w:kinsoku/>
                    <w:wordWrap w:val="0"/>
                    <w:overflowPunct/>
                    <w:topLinePunct/>
                    <w:autoSpaceDE/>
                    <w:autoSpaceDN/>
                    <w:bidi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1次/季度</w:t>
                  </w:r>
                </w:p>
              </w:tc>
              <w:tc>
                <w:tcPr>
                  <w:tcW w:w="1385" w:type="pct"/>
                  <w:vAlign w:val="center"/>
                </w:tcPr>
                <w:p w14:paraId="63D7D4FD">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2"/>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《排污单位自行监测技术指南 涂装》（HJ1086-2020）表3</w:t>
                  </w:r>
                </w:p>
              </w:tc>
            </w:tr>
          </w:tbl>
          <w:p w14:paraId="1C545E99">
            <w:pPr>
              <w:widowControl w:val="0"/>
              <w:kinsoku/>
              <w:autoSpaceDE/>
              <w:autoSpaceDN/>
              <w:adjustRightInd/>
              <w:snapToGrid/>
              <w:spacing w:line="360" w:lineRule="auto"/>
              <w:ind w:firstLine="480" w:firstLineChars="200"/>
              <w:jc w:val="both"/>
              <w:textAlignment w:val="auto"/>
              <w:rPr>
                <w:rFonts w:hint="eastAsia" w:ascii="Times New Roman" w:hAnsi="Times New Roman" w:eastAsia="宋体" w:cs="Times New Roman"/>
                <w:snapToGrid/>
                <w:color w:val="000000" w:themeColor="text1"/>
                <w:kern w:val="0"/>
                <w:sz w:val="24"/>
                <w:szCs w:val="24"/>
                <w:highlight w:val="none"/>
                <w:lang w:eastAsia="zh-CN"/>
                <w14:textFill>
                  <w14:solidFill>
                    <w14:schemeClr w14:val="tx1"/>
                  </w14:solidFill>
                </w14:textFill>
              </w:rPr>
            </w:pPr>
          </w:p>
        </w:tc>
      </w:tr>
    </w:tbl>
    <w:p w14:paraId="0AE8F2DB">
      <w:pPr>
        <w:pStyle w:val="76"/>
        <w:rPr>
          <w:rFonts w:hint="eastAsia"/>
          <w:color w:val="000000" w:themeColor="text1"/>
          <w:highlight w:val="none"/>
          <w14:textFill>
            <w14:solidFill>
              <w14:schemeClr w14:val="tx1"/>
            </w14:solidFill>
          </w14:textFill>
        </w:rPr>
        <w:sectPr>
          <w:pgSz w:w="16840" w:h="11907" w:orient="landscape"/>
          <w:pgMar w:top="1417" w:right="1587" w:bottom="1361" w:left="1587"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
        <w:gridCol w:w="8620"/>
      </w:tblGrid>
      <w:tr w14:paraId="1C61F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9" w:hRule="atLeast"/>
        </w:trPr>
        <w:tc>
          <w:tcPr>
            <w:tcW w:w="441" w:type="dxa"/>
            <w:noWrap w:val="0"/>
            <w:vAlign w:val="top"/>
          </w:tcPr>
          <w:p w14:paraId="418FC7EC">
            <w:pPr>
              <w:pStyle w:val="76"/>
              <w:rPr>
                <w:rFonts w:hint="default" w:ascii="Times New Roman" w:hAnsi="Times New Roman" w:cs="Times New Roman"/>
                <w:color w:val="000000" w:themeColor="text1"/>
                <w:highlight w:val="none"/>
                <w:vertAlign w:val="baseline"/>
                <w14:textFill>
                  <w14:solidFill>
                    <w14:schemeClr w14:val="tx1"/>
                  </w14:solidFill>
                </w14:textFill>
              </w:rPr>
            </w:pPr>
          </w:p>
        </w:tc>
        <w:tc>
          <w:tcPr>
            <w:tcW w:w="8620" w:type="dxa"/>
            <w:noWrap w:val="0"/>
            <w:vAlign w:val="top"/>
          </w:tcPr>
          <w:p w14:paraId="19BDB98F">
            <w:pPr>
              <w:keepNext w:val="0"/>
              <w:keepLines w:val="0"/>
              <w:pageBreakBefore w:val="0"/>
              <w:widowControl w:val="0"/>
              <w:kinsoku/>
              <w:wordWrap/>
              <w:overflowPunct/>
              <w:topLinePunct w:val="0"/>
              <w:autoSpaceDE/>
              <w:autoSpaceDN/>
              <w:bidi w:val="0"/>
              <w:adjustRightInd/>
              <w:snapToGrid/>
              <w:spacing w:line="120" w:lineRule="exact"/>
              <w:ind w:firstLine="464" w:firstLineChars="200"/>
              <w:jc w:val="both"/>
              <w:textAlignment w:val="auto"/>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pPr>
          </w:p>
          <w:p w14:paraId="502D52E9">
            <w:pPr>
              <w:widowControl w:val="0"/>
              <w:kinsoku/>
              <w:autoSpaceDE/>
              <w:autoSpaceDN/>
              <w:adjustRightInd/>
              <w:snapToGrid/>
              <w:spacing w:line="360" w:lineRule="auto"/>
              <w:ind w:firstLine="466" w:firstLineChars="200"/>
              <w:jc w:val="both"/>
              <w:textAlignment w:val="auto"/>
              <w:rPr>
                <w:rFonts w:hint="default" w:ascii="Times New Roman" w:hAnsi="Times New Roman" w:eastAsia="宋体" w:cs="Times New Roman"/>
                <w:b/>
                <w:bCs/>
                <w:snapToGrid/>
                <w:color w:val="000000" w:themeColor="text1"/>
                <w:spacing w:val="-4"/>
                <w:kern w:val="2"/>
                <w:sz w:val="24"/>
                <w:szCs w:val="24"/>
                <w:highlight w:val="none"/>
                <w:lang w:eastAsia="zh-CN"/>
                <w14:textFill>
                  <w14:solidFill>
                    <w14:schemeClr w14:val="tx1"/>
                  </w14:solidFill>
                </w14:textFill>
              </w:rPr>
            </w:pPr>
            <w:r>
              <w:rPr>
                <w:rFonts w:hint="eastAsia" w:cs="Times New Roman"/>
                <w:b/>
                <w:bCs/>
                <w:snapToGrid/>
                <w:color w:val="000000" w:themeColor="text1"/>
                <w:spacing w:val="-4"/>
                <w:kern w:val="2"/>
                <w:sz w:val="24"/>
                <w:szCs w:val="24"/>
                <w:highlight w:val="none"/>
                <w:lang w:val="en-US" w:eastAsia="zh-CN"/>
                <w14:textFill>
                  <w14:solidFill>
                    <w14:schemeClr w14:val="tx1"/>
                  </w14:solidFill>
                </w14:textFill>
              </w:rPr>
              <w:t>1</w:t>
            </w:r>
            <w:r>
              <w:rPr>
                <w:rFonts w:hint="default" w:ascii="Times New Roman" w:hAnsi="Times New Roman" w:eastAsia="宋体" w:cs="Times New Roman"/>
                <w:b/>
                <w:bCs/>
                <w:snapToGrid/>
                <w:color w:val="000000" w:themeColor="text1"/>
                <w:spacing w:val="-4"/>
                <w:kern w:val="2"/>
                <w:sz w:val="24"/>
                <w:szCs w:val="24"/>
                <w:highlight w:val="none"/>
                <w:lang w:eastAsia="zh-CN"/>
                <w14:textFill>
                  <w14:solidFill>
                    <w14:schemeClr w14:val="tx1"/>
                  </w14:solidFill>
                </w14:textFill>
              </w:rPr>
              <w:t>.</w:t>
            </w:r>
            <w:r>
              <w:rPr>
                <w:rFonts w:hint="eastAsia" w:cs="Times New Roman"/>
                <w:b/>
                <w:bCs/>
                <w:snapToGrid/>
                <w:color w:val="000000" w:themeColor="text1"/>
                <w:spacing w:val="-4"/>
                <w:kern w:val="2"/>
                <w:sz w:val="24"/>
                <w:szCs w:val="24"/>
                <w:highlight w:val="none"/>
                <w:lang w:val="en-US" w:eastAsia="zh-CN"/>
                <w14:textFill>
                  <w14:solidFill>
                    <w14:schemeClr w14:val="tx1"/>
                  </w14:solidFill>
                </w14:textFill>
              </w:rPr>
              <w:t>2</w:t>
            </w:r>
            <w:r>
              <w:rPr>
                <w:rFonts w:hint="default" w:ascii="Times New Roman" w:hAnsi="Times New Roman" w:eastAsia="宋体" w:cs="Times New Roman"/>
                <w:b/>
                <w:bCs/>
                <w:snapToGrid/>
                <w:color w:val="000000" w:themeColor="text1"/>
                <w:spacing w:val="-4"/>
                <w:kern w:val="2"/>
                <w:sz w:val="24"/>
                <w:szCs w:val="24"/>
                <w:highlight w:val="none"/>
                <w:lang w:eastAsia="zh-CN"/>
                <w14:textFill>
                  <w14:solidFill>
                    <w14:schemeClr w14:val="tx1"/>
                  </w14:solidFill>
                </w14:textFill>
              </w:rPr>
              <w:t>废气源强核算过程</w:t>
            </w:r>
          </w:p>
          <w:p w14:paraId="4884F660">
            <w:pPr>
              <w:widowControl w:val="0"/>
              <w:kinsoku/>
              <w:autoSpaceDE/>
              <w:autoSpaceDN/>
              <w:adjustRightInd/>
              <w:snapToGrid/>
              <w:spacing w:line="360" w:lineRule="auto"/>
              <w:ind w:firstLine="466" w:firstLineChars="200"/>
              <w:jc w:val="both"/>
              <w:textAlignment w:val="auto"/>
              <w:rPr>
                <w:rFonts w:hint="default"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pPr>
            <w:r>
              <w:rPr>
                <w:rFonts w:hint="eastAsia" w:cs="Times New Roman"/>
                <w:b/>
                <w:bCs/>
                <w:snapToGrid/>
                <w:color w:val="000000" w:themeColor="text1"/>
                <w:spacing w:val="-4"/>
                <w:kern w:val="2"/>
                <w:sz w:val="24"/>
                <w:szCs w:val="24"/>
                <w:highlight w:val="none"/>
                <w:lang w:val="en-US" w:eastAsia="zh-CN"/>
                <w14:textFill>
                  <w14:solidFill>
                    <w14:schemeClr w14:val="tx1"/>
                  </w14:solidFill>
                </w14:textFill>
              </w:rPr>
              <w:t>1</w:t>
            </w:r>
            <w:r>
              <w:rPr>
                <w:rFonts w:hint="default" w:ascii="Times New Roman" w:hAnsi="Times New Roman" w:eastAsia="宋体" w:cs="Times New Roman"/>
                <w:b/>
                <w:bCs/>
                <w:snapToGrid/>
                <w:color w:val="000000" w:themeColor="text1"/>
                <w:spacing w:val="-4"/>
                <w:kern w:val="2"/>
                <w:sz w:val="24"/>
                <w:szCs w:val="24"/>
                <w:highlight w:val="none"/>
                <w:lang w:eastAsia="zh-CN"/>
                <w14:textFill>
                  <w14:solidFill>
                    <w14:schemeClr w14:val="tx1"/>
                  </w14:solidFill>
                </w14:textFill>
              </w:rPr>
              <w:t>.</w:t>
            </w:r>
            <w:r>
              <w:rPr>
                <w:rFonts w:hint="eastAsia" w:cs="Times New Roman"/>
                <w:b/>
                <w:bCs/>
                <w:snapToGrid/>
                <w:color w:val="000000" w:themeColor="text1"/>
                <w:spacing w:val="-4"/>
                <w:kern w:val="2"/>
                <w:sz w:val="24"/>
                <w:szCs w:val="24"/>
                <w:highlight w:val="none"/>
                <w:lang w:val="en-US" w:eastAsia="zh-CN"/>
                <w14:textFill>
                  <w14:solidFill>
                    <w14:schemeClr w14:val="tx1"/>
                  </w14:solidFill>
                </w14:textFill>
              </w:rPr>
              <w:t>2</w:t>
            </w:r>
            <w:r>
              <w:rPr>
                <w:rFonts w:hint="default" w:ascii="Times New Roman" w:hAnsi="Times New Roman" w:eastAsia="宋体" w:cs="Times New Roman"/>
                <w:b/>
                <w:bCs/>
                <w:snapToGrid/>
                <w:color w:val="000000" w:themeColor="text1"/>
                <w:spacing w:val="-4"/>
                <w:kern w:val="2"/>
                <w:sz w:val="24"/>
                <w:szCs w:val="24"/>
                <w:highlight w:val="none"/>
                <w:lang w:eastAsia="zh-CN"/>
                <w14:textFill>
                  <w14:solidFill>
                    <w14:schemeClr w14:val="tx1"/>
                  </w14:solidFill>
                </w14:textFill>
              </w:rPr>
              <w:t>.1</w:t>
            </w:r>
            <w:r>
              <w:rPr>
                <w:rFonts w:hint="default" w:ascii="Times New Roman" w:hAnsi="Times New Roman" w:eastAsia="宋体" w:cs="Times New Roman"/>
                <w:b/>
                <w:bCs/>
                <w:snapToGrid/>
                <w:color w:val="000000" w:themeColor="text1"/>
                <w:spacing w:val="-4"/>
                <w:kern w:val="2"/>
                <w:sz w:val="24"/>
                <w:szCs w:val="24"/>
                <w:highlight w:val="none"/>
                <w:lang w:val="en-US" w:eastAsia="zh-CN"/>
                <w14:textFill>
                  <w14:solidFill>
                    <w14:schemeClr w14:val="tx1"/>
                  </w14:solidFill>
                </w14:textFill>
              </w:rPr>
              <w:t>机加工粉尘</w:t>
            </w:r>
          </w:p>
          <w:p w14:paraId="56F1241A">
            <w:pPr>
              <w:widowControl w:val="0"/>
              <w:kinsoku/>
              <w:autoSpaceDE/>
              <w:autoSpaceDN/>
              <w:adjustRightInd/>
              <w:snapToGrid/>
              <w:spacing w:line="360" w:lineRule="auto"/>
              <w:ind w:firstLine="466" w:firstLineChars="200"/>
              <w:jc w:val="both"/>
              <w:textAlignment w:val="auto"/>
              <w:rPr>
                <w:rFonts w:hint="default" w:ascii="Times New Roman" w:hAnsi="Times New Roman" w:eastAsia="宋体" w:cs="Times New Roman"/>
                <w:b/>
                <w:bCs/>
                <w:snapToGrid/>
                <w:color w:val="000000" w:themeColor="text1"/>
                <w:spacing w:val="-4"/>
                <w:kern w:val="2"/>
                <w:sz w:val="24"/>
                <w:szCs w:val="24"/>
                <w:highlight w:val="none"/>
                <w:lang w:val="en-US" w:eastAsia="zh-CN"/>
                <w14:textFill>
                  <w14:solidFill>
                    <w14:schemeClr w14:val="tx1"/>
                  </w14:solidFill>
                </w14:textFill>
              </w:rPr>
            </w:pPr>
            <w:r>
              <w:rPr>
                <w:rFonts w:hint="default" w:ascii="Times New Roman" w:hAnsi="Times New Roman" w:eastAsia="宋体" w:cs="Times New Roman"/>
                <w:b/>
                <w:bCs/>
                <w:snapToGrid/>
                <w:color w:val="000000" w:themeColor="text1"/>
                <w:spacing w:val="-4"/>
                <w:kern w:val="2"/>
                <w:sz w:val="24"/>
                <w:szCs w:val="24"/>
                <w:highlight w:val="none"/>
                <w:lang w:eastAsia="zh-CN"/>
                <w14:textFill>
                  <w14:solidFill>
                    <w14:schemeClr w14:val="tx1"/>
                  </w14:solidFill>
                </w14:textFill>
              </w:rPr>
              <w:t>（</w:t>
            </w:r>
            <w:r>
              <w:rPr>
                <w:rFonts w:hint="default" w:ascii="Times New Roman" w:hAnsi="Times New Roman" w:eastAsia="宋体" w:cs="Times New Roman"/>
                <w:b/>
                <w:bCs/>
                <w:snapToGrid/>
                <w:color w:val="000000" w:themeColor="text1"/>
                <w:spacing w:val="-4"/>
                <w:kern w:val="2"/>
                <w:sz w:val="24"/>
                <w:szCs w:val="24"/>
                <w:highlight w:val="none"/>
                <w:lang w:val="en-US" w:eastAsia="zh-CN"/>
                <w14:textFill>
                  <w14:solidFill>
                    <w14:schemeClr w14:val="tx1"/>
                  </w14:solidFill>
                </w14:textFill>
              </w:rPr>
              <w:t>1</w:t>
            </w:r>
            <w:r>
              <w:rPr>
                <w:rFonts w:hint="default" w:ascii="Times New Roman" w:hAnsi="Times New Roman" w:eastAsia="宋体" w:cs="Times New Roman"/>
                <w:b/>
                <w:bCs/>
                <w:snapToGrid/>
                <w:color w:val="000000" w:themeColor="text1"/>
                <w:spacing w:val="-4"/>
                <w:kern w:val="2"/>
                <w:sz w:val="24"/>
                <w:szCs w:val="24"/>
                <w:highlight w:val="none"/>
                <w:lang w:eastAsia="zh-CN"/>
                <w14:textFill>
                  <w14:solidFill>
                    <w14:schemeClr w14:val="tx1"/>
                  </w14:solidFill>
                </w14:textFill>
              </w:rPr>
              <w:t>）</w:t>
            </w:r>
            <w:r>
              <w:rPr>
                <w:rFonts w:hint="default" w:ascii="Times New Roman" w:hAnsi="Times New Roman" w:eastAsia="宋体" w:cs="Times New Roman"/>
                <w:b/>
                <w:bCs/>
                <w:snapToGrid/>
                <w:color w:val="000000" w:themeColor="text1"/>
                <w:spacing w:val="-4"/>
                <w:kern w:val="2"/>
                <w:sz w:val="24"/>
                <w:szCs w:val="24"/>
                <w:highlight w:val="none"/>
                <w:lang w:val="en-US" w:eastAsia="zh-CN"/>
                <w14:textFill>
                  <w14:solidFill>
                    <w14:schemeClr w14:val="tx1"/>
                  </w14:solidFill>
                </w14:textFill>
              </w:rPr>
              <w:t>切割粉尘</w:t>
            </w:r>
          </w:p>
          <w:p w14:paraId="5C1BD6CB">
            <w:pPr>
              <w:widowControl w:val="0"/>
              <w:kinsoku/>
              <w:autoSpaceDE/>
              <w:autoSpaceDN/>
              <w:adjustRightInd/>
              <w:snapToGrid/>
              <w:spacing w:line="360" w:lineRule="auto"/>
              <w:ind w:firstLine="464" w:firstLineChars="200"/>
              <w:jc w:val="both"/>
              <w:textAlignment w:val="auto"/>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pPr>
            <w:r>
              <w:rPr>
                <w:rFonts w:hint="default"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项目</w:t>
            </w:r>
            <w:r>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t>使用</w:t>
            </w:r>
            <w:r>
              <w:rPr>
                <w:rFonts w:hint="default"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激光切割生产线、数控切割机</w:t>
            </w:r>
            <w:r>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t>对</w:t>
            </w:r>
            <w:r>
              <w:rPr>
                <w:rFonts w:hint="default"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铝卷</w:t>
            </w:r>
            <w:r>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t>板进行</w:t>
            </w:r>
            <w:r>
              <w:rPr>
                <w:rFonts w:hint="default"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开料</w:t>
            </w:r>
            <w:r>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t>，切割过程会产生粉尘，本项目切割</w:t>
            </w:r>
            <w:r>
              <w:rPr>
                <w:rFonts w:hint="default"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铝卷8</w:t>
            </w:r>
            <w:r>
              <w:rPr>
                <w:rFonts w:hint="eastAsia"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91</w:t>
            </w:r>
            <w:r>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t>0t/a，参考《排放源统计调查产排污核算方法和系数手册》—《33-37，431-434机械行业系数手册》中“04下料一钢板、铝板、铝合金板、其他金属材料-等离子切割工艺-颗粒物”的产污系数1.10kg/t原料计，则激光切割粉尘的产生量约为</w:t>
            </w:r>
            <w:r>
              <w:rPr>
                <w:rFonts w:hint="eastAsia"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9.801</w:t>
            </w:r>
            <w:r>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t>t/a。由于金属粉尘比重较大，绝大部分</w:t>
            </w:r>
            <w:r>
              <w:rPr>
                <w:rFonts w:hint="eastAsia" w:cs="Times New Roman"/>
                <w:snapToGrid/>
                <w:color w:val="000000" w:themeColor="text1"/>
                <w:spacing w:val="-4"/>
                <w:kern w:val="2"/>
                <w:sz w:val="24"/>
                <w:szCs w:val="24"/>
                <w:highlight w:val="none"/>
                <w:lang w:eastAsia="zh-CN"/>
                <w14:textFill>
                  <w14:solidFill>
                    <w14:schemeClr w14:val="tx1"/>
                  </w14:solidFill>
                </w14:textFill>
              </w:rPr>
              <w:t>迅速沉降到地面</w:t>
            </w:r>
            <w:r>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t>，参照《未纳入排污许可管理行业适用的排污系数、物料衡算方法（试行）》（原环境保护部公告2017年第81号）中“47锯材加工业”的系数，车间不装除尘设备的情况下，重力沉降法的效率为85%。金属比重大于木材，金属粉尘较木质粉尘更易沉降，沉降率按9</w:t>
            </w:r>
            <w:r>
              <w:rPr>
                <w:rFonts w:hint="default"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5</w:t>
            </w:r>
            <w:r>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t>%计，仅</w:t>
            </w:r>
            <w:r>
              <w:rPr>
                <w:rFonts w:hint="default"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5</w:t>
            </w:r>
            <w:r>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t>%</w:t>
            </w:r>
            <w:r>
              <w:rPr>
                <w:rFonts w:hint="eastAsia" w:cs="Times New Roman"/>
                <w:snapToGrid/>
                <w:color w:val="000000" w:themeColor="text1"/>
                <w:spacing w:val="-4"/>
                <w:kern w:val="2"/>
                <w:sz w:val="24"/>
                <w:szCs w:val="24"/>
                <w:highlight w:val="none"/>
                <w:lang w:eastAsia="zh-CN"/>
                <w14:textFill>
                  <w14:solidFill>
                    <w14:schemeClr w14:val="tx1"/>
                  </w14:solidFill>
                </w14:textFill>
              </w:rPr>
              <w:t>。</w:t>
            </w:r>
            <w:r>
              <w:rPr>
                <w:rFonts w:hint="eastAsia" w:cs="Times New Roman"/>
                <w:snapToGrid/>
                <w:color w:val="000000" w:themeColor="text1"/>
                <w:spacing w:val="-4"/>
                <w:kern w:val="2"/>
                <w:sz w:val="24"/>
                <w:szCs w:val="24"/>
                <w:highlight w:val="none"/>
                <w:lang w:val="en-US" w:eastAsia="zh-CN"/>
                <w14:textFill>
                  <w14:solidFill>
                    <w14:schemeClr w14:val="tx1"/>
                  </w14:solidFill>
                </w14:textFill>
              </w:rPr>
              <w:t>经沉降后</w:t>
            </w:r>
            <w:r>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t>无组织形式在车间内排放，则切割粉尘</w:t>
            </w:r>
            <w:r>
              <w:rPr>
                <w:rFonts w:hint="default"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沉降量</w:t>
            </w:r>
            <w:r>
              <w:rPr>
                <w:rFonts w:hint="eastAsia"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=9.801t/a×95%≈9.310</w:t>
            </w:r>
            <w:r>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t>t/a，无组织</w:t>
            </w:r>
            <w:r>
              <w:rPr>
                <w:rFonts w:hint="eastAsia" w:cs="Times New Roman"/>
                <w:snapToGrid/>
                <w:color w:val="000000" w:themeColor="text1"/>
                <w:spacing w:val="-4"/>
                <w:kern w:val="2"/>
                <w:sz w:val="24"/>
                <w:szCs w:val="24"/>
                <w:highlight w:val="none"/>
                <w:lang w:val="en-US" w:eastAsia="zh-CN"/>
                <w14:textFill>
                  <w14:solidFill>
                    <w14:schemeClr w14:val="tx1"/>
                  </w14:solidFill>
                </w14:textFill>
              </w:rPr>
              <w:t>产生</w:t>
            </w:r>
            <w:r>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t>量</w:t>
            </w:r>
            <w:r>
              <w:rPr>
                <w:rFonts w:hint="eastAsia"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=9.801t/a</w:t>
            </w:r>
            <w:r>
              <w:rPr>
                <w:rFonts w:hint="eastAsia" w:cs="Times New Roman"/>
                <w:snapToGrid/>
                <w:color w:val="000000" w:themeColor="text1"/>
                <w:spacing w:val="-4"/>
                <w:kern w:val="2"/>
                <w:sz w:val="24"/>
                <w:szCs w:val="24"/>
                <w:highlight w:val="none"/>
                <w:lang w:val="en-US" w:eastAsia="zh-CN"/>
                <w14:textFill>
                  <w14:solidFill>
                    <w14:schemeClr w14:val="tx1"/>
                  </w14:solidFill>
                </w14:textFill>
              </w:rPr>
              <w:t>×5%≈</w:t>
            </w:r>
            <w:r>
              <w:rPr>
                <w:rFonts w:hint="eastAsia"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0.49</w:t>
            </w:r>
            <w:r>
              <w:rPr>
                <w:rFonts w:hint="eastAsia" w:cs="Times New Roman"/>
                <w:snapToGrid/>
                <w:color w:val="000000" w:themeColor="text1"/>
                <w:spacing w:val="-4"/>
                <w:kern w:val="2"/>
                <w:sz w:val="24"/>
                <w:szCs w:val="24"/>
                <w:highlight w:val="none"/>
                <w:lang w:val="en-US" w:eastAsia="zh-CN"/>
                <w14:textFill>
                  <w14:solidFill>
                    <w14:schemeClr w14:val="tx1"/>
                  </w14:solidFill>
                </w14:textFill>
              </w:rPr>
              <w:t>0</w:t>
            </w:r>
            <w:r>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t>t/a，每天工作</w:t>
            </w:r>
            <w:r>
              <w:rPr>
                <w:rFonts w:hint="default"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8</w:t>
            </w:r>
            <w:r>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t>小时，年工作</w:t>
            </w:r>
            <w:r>
              <w:rPr>
                <w:rFonts w:hint="default"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241</w:t>
            </w:r>
            <w:r>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t>天，全年工作时间为</w:t>
            </w:r>
            <w:r>
              <w:rPr>
                <w:rFonts w:hint="default"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1928</w:t>
            </w:r>
            <w:r>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t>h，切割粉尘无组织排放速率约为</w:t>
            </w:r>
            <w:r>
              <w:rPr>
                <w:rFonts w:hint="default"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0.</w:t>
            </w:r>
            <w:r>
              <w:rPr>
                <w:rFonts w:hint="eastAsia" w:ascii="Times New Roman" w:hAnsi="Times New Roman" w:eastAsia="宋体" w:cs="Times New Roman"/>
                <w:snapToGrid/>
                <w:color w:val="000000" w:themeColor="text1"/>
                <w:spacing w:val="-4"/>
                <w:kern w:val="2"/>
                <w:sz w:val="24"/>
                <w:szCs w:val="24"/>
                <w:highlight w:val="none"/>
                <w:lang w:val="en-US" w:eastAsia="zh-CN"/>
                <w14:textFill>
                  <w14:solidFill>
                    <w14:schemeClr w14:val="tx1"/>
                  </w14:solidFill>
                </w14:textFill>
              </w:rPr>
              <w:t>25</w:t>
            </w:r>
            <w:r>
              <w:rPr>
                <w:rFonts w:hint="eastAsia" w:cs="Times New Roman"/>
                <w:snapToGrid/>
                <w:color w:val="000000" w:themeColor="text1"/>
                <w:spacing w:val="-4"/>
                <w:kern w:val="2"/>
                <w:sz w:val="24"/>
                <w:szCs w:val="24"/>
                <w:highlight w:val="none"/>
                <w:lang w:val="en-US" w:eastAsia="zh-CN"/>
                <w14:textFill>
                  <w14:solidFill>
                    <w14:schemeClr w14:val="tx1"/>
                  </w14:solidFill>
                </w14:textFill>
              </w:rPr>
              <w:t>4</w:t>
            </w:r>
            <w:r>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t>kg/h。</w:t>
            </w:r>
          </w:p>
          <w:p w14:paraId="78624878">
            <w:pPr>
              <w:pStyle w:val="158"/>
              <w:keepNext w:val="0"/>
              <w:keepLines w:val="0"/>
              <w:suppressLineNumbers w:val="0"/>
              <w:snapToGrid/>
              <w:spacing w:before="0" w:beforeAutospacing="0" w:after="0" w:afterAutospacing="0"/>
              <w:ind w:left="0" w:right="0" w:firstLine="480"/>
              <w:rPr>
                <w:rFonts w:hint="default"/>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考虑到加工工件的特殊性和切割粉尘收集系统的局限性，切割粉尘未处于密闭空间收集，根据《广东省工业源挥发性有机物减排量核算方法》（2023年修订版）中“表3.3-2废气收集集气效率参考值”的说明，外部集气罩的污染物逸散点控制风速不小于0.3m/s，废气收集效率按30%计。参考《滤筒式除尘器》（JB/T10341-2014），滤料的除尘效率应达到99.5%以上，本项目机器自带滤筒除尘器</w:t>
            </w:r>
            <w:r>
              <w:rPr>
                <w:rFonts w:hint="eastAsia"/>
                <w:color w:val="000000" w:themeColor="text1"/>
                <w:highlight w:val="none"/>
                <w:lang w:val="en-US" w:eastAsia="zh-CN"/>
                <w14:textFill>
                  <w14:solidFill>
                    <w14:schemeClr w14:val="tx1"/>
                  </w14:solidFill>
                </w14:textFill>
              </w:rPr>
              <w:t>处理效率</w:t>
            </w:r>
            <w:r>
              <w:rPr>
                <w:rFonts w:hint="eastAsia" w:ascii="Times New Roman" w:hAnsi="Times New Roman" w:eastAsia="宋体" w:cs="Times New Roman"/>
                <w:color w:val="000000" w:themeColor="text1"/>
                <w:highlight w:val="none"/>
                <w:lang w:val="en-US" w:eastAsia="zh-CN"/>
                <w14:textFill>
                  <w14:solidFill>
                    <w14:schemeClr w14:val="tx1"/>
                  </w14:solidFill>
                </w14:textFill>
              </w:rPr>
              <w:t>按9</w:t>
            </w:r>
            <w:r>
              <w:rPr>
                <w:rFonts w:hint="eastAsia" w:cs="Times New Roman"/>
                <w:color w:val="000000" w:themeColor="text1"/>
                <w:highlight w:val="none"/>
                <w:lang w:val="en-US" w:eastAsia="zh-CN"/>
                <w14:textFill>
                  <w14:solidFill>
                    <w14:schemeClr w14:val="tx1"/>
                  </w14:solidFill>
                </w14:textFill>
              </w:rPr>
              <w:t>0</w:t>
            </w:r>
            <w:r>
              <w:rPr>
                <w:rFonts w:hint="eastAsia" w:ascii="Times New Roman" w:hAnsi="Times New Roman" w:eastAsia="宋体" w:cs="Times New Roman"/>
                <w:color w:val="000000" w:themeColor="text1"/>
                <w:highlight w:val="none"/>
                <w:lang w:val="en-US" w:eastAsia="zh-CN"/>
                <w14:textFill>
                  <w14:solidFill>
                    <w14:schemeClr w14:val="tx1"/>
                  </w14:solidFill>
                </w14:textFill>
              </w:rPr>
              <w:t>%计。则切割粉尘无组织排放量为0.490×30%×（1-90%）+0.490×（1-30%）=0.358t/a，无组织排放速率为0.186kg/h。</w:t>
            </w:r>
          </w:p>
          <w:p w14:paraId="12650D53">
            <w:pPr>
              <w:pStyle w:val="158"/>
              <w:keepNext w:val="0"/>
              <w:keepLines w:val="0"/>
              <w:suppressLineNumbers w:val="0"/>
              <w:snapToGrid/>
              <w:spacing w:before="0" w:beforeAutospacing="0" w:after="0" w:afterAutospacing="0"/>
              <w:ind w:left="0" w:right="0" w:firstLine="480"/>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（2）抛光打磨粉尘</w:t>
            </w:r>
          </w:p>
          <w:p w14:paraId="305EA7A7">
            <w:pPr>
              <w:pStyle w:val="158"/>
              <w:keepNext w:val="0"/>
              <w:keepLines w:val="0"/>
              <w:suppressLineNumbers w:val="0"/>
              <w:snapToGrid/>
              <w:spacing w:before="0" w:beforeAutospacing="0" w:after="0" w:afterAutospacing="0"/>
              <w:ind w:left="0" w:right="0" w:firstLine="480"/>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本项目金属粉尘主要来自金属原料抛光打磨过程，该工序主要使用</w:t>
            </w:r>
            <w:r>
              <w:rPr>
                <w:rFonts w:hint="eastAsia" w:cs="Times New Roman"/>
                <w:b w:val="0"/>
                <w:bCs w:val="0"/>
                <w:color w:val="000000" w:themeColor="text1"/>
                <w:sz w:val="24"/>
                <w:szCs w:val="24"/>
                <w:highlight w:val="none"/>
                <w:lang w:val="en-US" w:eastAsia="zh-CN"/>
                <w14:textFill>
                  <w14:solidFill>
                    <w14:schemeClr w14:val="tx1"/>
                  </w14:solidFill>
                </w14:textFill>
              </w:rPr>
              <w:t>手磨机</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在</w:t>
            </w:r>
            <w:r>
              <w:rPr>
                <w:rFonts w:hint="eastAsia" w:cs="Times New Roman"/>
                <w:b w:val="0"/>
                <w:bCs w:val="0"/>
                <w:color w:val="000000" w:themeColor="text1"/>
                <w:sz w:val="24"/>
                <w:szCs w:val="24"/>
                <w:highlight w:val="none"/>
                <w:lang w:val="en-US" w:eastAsia="zh-CN"/>
                <w14:textFill>
                  <w14:solidFill>
                    <w14:schemeClr w14:val="tx1"/>
                  </w14:solidFill>
                </w14:textFill>
              </w:rPr>
              <w:t>工位上</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进行。</w:t>
            </w:r>
          </w:p>
          <w:p w14:paraId="69D3AFC2">
            <w:pPr>
              <w:widowControl w:val="0"/>
              <w:kinsoku/>
              <w:autoSpaceDE/>
              <w:autoSpaceDN/>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参考“《排放源统计调查产排污核算方法和系数手册》33-37机械行业系数手册”中“预处理核算环节-预处理-干式预处理件：抛丸、喷砂、打磨”的产污系数作为</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抛光打磨</w:t>
            </w:r>
            <w:r>
              <w:rPr>
                <w:rFonts w:hint="default" w:ascii="Times New Roman" w:hAnsi="Times New Roman" w:eastAsia="宋体" w:cs="Times New Roman"/>
                <w:color w:val="000000" w:themeColor="text1"/>
                <w:sz w:val="24"/>
                <w:szCs w:val="24"/>
                <w:highlight w:val="none"/>
                <w14:textFill>
                  <w14:solidFill>
                    <w14:schemeClr w14:val="tx1"/>
                  </w14:solidFill>
                </w14:textFill>
              </w:rPr>
              <w:t>粉尘产污源强计算依据</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根据建设单位提供资料，</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本项目</w:t>
            </w:r>
            <w:r>
              <w:rPr>
                <w:rFonts w:hint="eastAsia" w:cs="Times New Roman"/>
                <w:color w:val="000000" w:themeColor="text1"/>
                <w:sz w:val="24"/>
                <w:szCs w:val="24"/>
                <w:highlight w:val="none"/>
                <w:lang w:val="en-US" w:eastAsia="zh-CN"/>
                <w14:textFill>
                  <w14:solidFill>
                    <w14:schemeClr w14:val="tx1"/>
                  </w14:solidFill>
                </w14:textFill>
              </w:rPr>
              <w:t>仅部分工件需要进行表面打磨和焊接口打磨，打磨量占比为12%，即打磨</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原料量为8</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91</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0t/a</w:t>
            </w:r>
            <w:r>
              <w:rPr>
                <w:rFonts w:hint="eastAsia" w:cs="Times New Roman"/>
                <w:b w:val="0"/>
                <w:bCs w:val="0"/>
                <w:color w:val="000000" w:themeColor="text1"/>
                <w:sz w:val="24"/>
                <w:szCs w:val="24"/>
                <w:highlight w:val="none"/>
                <w:lang w:val="en-US" w:eastAsia="zh-CN"/>
                <w14:textFill>
                  <w14:solidFill>
                    <w14:schemeClr w14:val="tx1"/>
                  </w14:solidFill>
                </w14:textFill>
              </w:rPr>
              <w:t>×12%=1069.2t/a</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抛光打磨粉尘产污系数</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均取</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2.19kg/t-原料。</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本项目抛光打磨粉尘属于金属粉末，</w:t>
            </w:r>
            <w:r>
              <w:rPr>
                <w:rFonts w:hint="default" w:ascii="Times New Roman" w:hAnsi="Times New Roman" w:eastAsia="宋体" w:cs="Times New Roman"/>
                <w:color w:val="000000" w:themeColor="text1"/>
                <w:sz w:val="24"/>
                <w:szCs w:val="24"/>
                <w:highlight w:val="none"/>
                <w14:textFill>
                  <w14:solidFill>
                    <w14:schemeClr w14:val="tx1"/>
                  </w14:solidFill>
                </w14:textFill>
              </w:rPr>
              <w:t>尘粒大于100微米，该类粉尘比重和粒径较大，一般80%沉降到工作台附近5m范围内</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20%逸散到</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车间</w:t>
            </w:r>
            <w:r>
              <w:rPr>
                <w:rFonts w:hint="default" w:ascii="Times New Roman" w:hAnsi="Times New Roman" w:eastAsia="宋体" w:cs="Times New Roman"/>
                <w:color w:val="000000" w:themeColor="text1"/>
                <w:sz w:val="24"/>
                <w:szCs w:val="24"/>
                <w:highlight w:val="none"/>
                <w14:textFill>
                  <w14:solidFill>
                    <w14:schemeClr w14:val="tx1"/>
                  </w14:solidFill>
                </w14:textFill>
              </w:rPr>
              <w:t>空气中。</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计算得出抛光打磨粉尘</w:t>
            </w:r>
            <w:r>
              <w:rPr>
                <w:rFonts w:hint="eastAsia" w:cs="Times New Roman"/>
                <w:color w:val="000000" w:themeColor="text1"/>
                <w:sz w:val="24"/>
                <w:szCs w:val="24"/>
                <w:highlight w:val="none"/>
                <w:lang w:val="en-US" w:eastAsia="zh-CN"/>
                <w14:textFill>
                  <w14:solidFill>
                    <w14:schemeClr w14:val="tx1"/>
                  </w14:solidFill>
                </w14:textFill>
              </w:rPr>
              <w:t>无组织排放</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量如下表所示。</w:t>
            </w:r>
          </w:p>
          <w:p w14:paraId="36B3C9DC">
            <w:pPr>
              <w:keepNext w:val="0"/>
              <w:keepLines w:val="0"/>
              <w:numPr>
                <w:ilvl w:val="0"/>
                <w:numId w:val="0"/>
              </w:numPr>
              <w:suppressLineNumbers w:val="0"/>
              <w:tabs>
                <w:tab w:val="left" w:pos="0"/>
              </w:tabs>
              <w:spacing w:before="0" w:beforeAutospacing="0" w:after="0" w:afterAutospacing="0"/>
              <w:ind w:left="0" w:leftChars="0" w:right="0" w:rightChars="0" w:firstLine="40" w:firstLineChars="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kern w:val="2"/>
                <w:sz w:val="21"/>
                <w:szCs w:val="21"/>
                <w:lang w:val="en-US" w:eastAsia="zh-CN" w:bidi="ar-SA"/>
                <w14:textFill>
                  <w14:solidFill>
                    <w14:schemeClr w14:val="tx1"/>
                  </w14:solidFill>
                </w14:textFill>
              </w:rPr>
              <w:t>表4-8</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本项目抛光打磨粉尘逸散到空气产生量</w:t>
            </w:r>
          </w:p>
          <w:tbl>
            <w:tblPr>
              <w:tblStyle w:val="44"/>
              <w:tblW w:w="85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2"/>
              <w:gridCol w:w="1301"/>
              <w:gridCol w:w="1412"/>
              <w:gridCol w:w="910"/>
              <w:gridCol w:w="832"/>
              <w:gridCol w:w="1600"/>
              <w:gridCol w:w="1600"/>
            </w:tblGrid>
            <w:tr w14:paraId="39E58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8" w:hRule="atLeast"/>
                <w:jc w:val="center"/>
              </w:trPr>
              <w:tc>
                <w:tcPr>
                  <w:tcW w:w="527" w:type="pct"/>
                  <w:tcBorders>
                    <w:tl2br w:val="nil"/>
                    <w:tr2bl w:val="nil"/>
                  </w:tcBorders>
                  <w:noWrap w:val="0"/>
                  <w:vAlign w:val="center"/>
                </w:tcPr>
                <w:p w14:paraId="4ACDCA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b/>
                      <w:bCs/>
                      <w:i w:val="0"/>
                      <w:iCs w:val="0"/>
                      <w:color w:val="000000" w:themeColor="text1"/>
                      <w:sz w:val="21"/>
                      <w:szCs w:val="21"/>
                      <w:highlight w:val="none"/>
                      <w:u w:val="none"/>
                      <w:lang w:val="en-US" w:eastAsia="zh-CN"/>
                      <w14:textFill>
                        <w14:solidFill>
                          <w14:schemeClr w14:val="tx1"/>
                        </w14:solidFill>
                      </w14:textFill>
                    </w:rPr>
                    <w:t>废气类别</w:t>
                  </w:r>
                </w:p>
              </w:tc>
              <w:tc>
                <w:tcPr>
                  <w:tcW w:w="760" w:type="pct"/>
                  <w:tcBorders>
                    <w:tl2br w:val="nil"/>
                    <w:tr2bl w:val="nil"/>
                  </w:tcBorders>
                  <w:noWrap w:val="0"/>
                  <w:vAlign w:val="center"/>
                </w:tcPr>
                <w:p w14:paraId="072379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总产生量（t/a）</w:t>
                  </w:r>
                </w:p>
              </w:tc>
              <w:tc>
                <w:tcPr>
                  <w:tcW w:w="825" w:type="pct"/>
                  <w:tcBorders>
                    <w:tl2br w:val="nil"/>
                    <w:tr2bl w:val="nil"/>
                  </w:tcBorders>
                  <w:noWrap w:val="0"/>
                  <w:vAlign w:val="center"/>
                </w:tcPr>
                <w:p w14:paraId="0A29A6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产生速率（kg/h）</w:t>
                  </w:r>
                </w:p>
              </w:tc>
              <w:tc>
                <w:tcPr>
                  <w:tcW w:w="531" w:type="pct"/>
                  <w:tcBorders>
                    <w:tl2br w:val="nil"/>
                    <w:tr2bl w:val="nil"/>
                  </w:tcBorders>
                  <w:noWrap w:val="0"/>
                  <w:vAlign w:val="center"/>
                </w:tcPr>
                <w:p w14:paraId="4FED43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沉降率</w:t>
                  </w:r>
                </w:p>
              </w:tc>
              <w:tc>
                <w:tcPr>
                  <w:tcW w:w="486" w:type="pct"/>
                  <w:tcBorders>
                    <w:tl2br w:val="nil"/>
                    <w:tr2bl w:val="nil"/>
                  </w:tcBorders>
                  <w:noWrap w:val="0"/>
                  <w:vAlign w:val="center"/>
                </w:tcPr>
                <w:p w14:paraId="0BDA2F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沉降量（t/a）</w:t>
                  </w:r>
                </w:p>
              </w:tc>
              <w:tc>
                <w:tcPr>
                  <w:tcW w:w="934" w:type="pct"/>
                  <w:tcBorders>
                    <w:tl2br w:val="nil"/>
                    <w:tr2bl w:val="nil"/>
                  </w:tcBorders>
                  <w:noWrap w:val="0"/>
                  <w:vAlign w:val="center"/>
                </w:tcPr>
                <w:p w14:paraId="624156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粉尘</w:t>
                  </w:r>
                  <w:r>
                    <w:rPr>
                      <w:rFonts w:hint="eastAsia" w:cs="Times New Roman"/>
                      <w:b/>
                      <w:bCs/>
                      <w:i w:val="0"/>
                      <w:iCs w:val="0"/>
                      <w:color w:val="000000" w:themeColor="text1"/>
                      <w:kern w:val="0"/>
                      <w:sz w:val="21"/>
                      <w:szCs w:val="21"/>
                      <w:highlight w:val="none"/>
                      <w:u w:val="none"/>
                      <w:lang w:val="en-US" w:eastAsia="zh-CN" w:bidi="ar"/>
                      <w14:textFill>
                        <w14:solidFill>
                          <w14:schemeClr w14:val="tx1"/>
                        </w14:solidFill>
                      </w14:textFill>
                    </w:rPr>
                    <w:t>无组织排放</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量（t/a）</w:t>
                  </w:r>
                </w:p>
              </w:tc>
              <w:tc>
                <w:tcPr>
                  <w:tcW w:w="934" w:type="pct"/>
                  <w:tcBorders>
                    <w:tl2br w:val="nil"/>
                    <w:tr2bl w:val="nil"/>
                  </w:tcBorders>
                  <w:noWrap w:val="0"/>
                  <w:vAlign w:val="center"/>
                </w:tcPr>
                <w:p w14:paraId="4E338A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b/>
                      <w:bCs/>
                      <w:i w:val="0"/>
                      <w:iCs w:val="0"/>
                      <w:color w:val="000000" w:themeColor="text1"/>
                      <w:kern w:val="0"/>
                      <w:sz w:val="21"/>
                      <w:szCs w:val="21"/>
                      <w:highlight w:val="none"/>
                      <w:u w:val="none"/>
                      <w:lang w:val="en-US" w:eastAsia="zh-CN" w:bidi="ar"/>
                      <w14:textFill>
                        <w14:solidFill>
                          <w14:schemeClr w14:val="tx1"/>
                        </w14:solidFill>
                      </w14:textFill>
                    </w:rPr>
                    <w:t>无组织排放速率（kg/h）</w:t>
                  </w:r>
                </w:p>
              </w:tc>
            </w:tr>
            <w:tr w14:paraId="6338A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9" w:hRule="atLeast"/>
                <w:jc w:val="center"/>
              </w:trPr>
              <w:tc>
                <w:tcPr>
                  <w:tcW w:w="527" w:type="pct"/>
                  <w:tcBorders>
                    <w:tl2br w:val="nil"/>
                    <w:tr2bl w:val="nil"/>
                  </w:tcBorders>
                  <w:noWrap w:val="0"/>
                  <w:vAlign w:val="center"/>
                </w:tcPr>
                <w:p w14:paraId="5A236C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bookmarkStart w:id="21" w:name="OLE_LINK29" w:colFirst="1" w:colLast="5"/>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打磨粉尘</w:t>
                  </w:r>
                </w:p>
              </w:tc>
              <w:tc>
                <w:tcPr>
                  <w:tcW w:w="760" w:type="pct"/>
                  <w:tcBorders>
                    <w:tl2br w:val="nil"/>
                    <w:tr2bl w:val="nil"/>
                  </w:tcBorders>
                  <w:noWrap w:val="0"/>
                  <w:vAlign w:val="center"/>
                </w:tcPr>
                <w:p w14:paraId="095214B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2.342 </w:t>
                  </w:r>
                </w:p>
              </w:tc>
              <w:tc>
                <w:tcPr>
                  <w:tcW w:w="825" w:type="pct"/>
                  <w:tcBorders>
                    <w:tl2br w:val="nil"/>
                    <w:tr2bl w:val="nil"/>
                  </w:tcBorders>
                  <w:noWrap w:val="0"/>
                  <w:vAlign w:val="center"/>
                </w:tcPr>
                <w:p w14:paraId="7FDB590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1.214 </w:t>
                  </w:r>
                </w:p>
              </w:tc>
              <w:tc>
                <w:tcPr>
                  <w:tcW w:w="531" w:type="pct"/>
                  <w:tcBorders>
                    <w:tl2br w:val="nil"/>
                    <w:tr2bl w:val="nil"/>
                  </w:tcBorders>
                  <w:noWrap w:val="0"/>
                  <w:vAlign w:val="center"/>
                </w:tcPr>
                <w:p w14:paraId="592E99D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w:t>
                  </w:r>
                </w:p>
              </w:tc>
              <w:tc>
                <w:tcPr>
                  <w:tcW w:w="486" w:type="pct"/>
                  <w:tcBorders>
                    <w:tl2br w:val="nil"/>
                    <w:tr2bl w:val="nil"/>
                  </w:tcBorders>
                  <w:noWrap w:val="0"/>
                  <w:vAlign w:val="center"/>
                </w:tcPr>
                <w:p w14:paraId="3045973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1.8732 </w:t>
                  </w:r>
                </w:p>
              </w:tc>
              <w:tc>
                <w:tcPr>
                  <w:tcW w:w="934" w:type="pct"/>
                  <w:tcBorders>
                    <w:tl2br w:val="nil"/>
                    <w:tr2bl w:val="nil"/>
                  </w:tcBorders>
                  <w:noWrap/>
                  <w:vAlign w:val="center"/>
                </w:tcPr>
                <w:p w14:paraId="52844CC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0.4683 </w:t>
                  </w:r>
                </w:p>
              </w:tc>
              <w:tc>
                <w:tcPr>
                  <w:tcW w:w="934" w:type="pct"/>
                  <w:tcBorders>
                    <w:tl2br w:val="nil"/>
                    <w:tr2bl w:val="nil"/>
                  </w:tcBorders>
                  <w:noWrap/>
                  <w:vAlign w:val="center"/>
                </w:tcPr>
                <w:p w14:paraId="12EC17C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0.243</w:t>
                  </w:r>
                </w:p>
              </w:tc>
            </w:tr>
            <w:bookmarkEnd w:id="21"/>
          </w:tbl>
          <w:p w14:paraId="41059B0C">
            <w:pPr>
              <w:pStyle w:val="158"/>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100" w:lineRule="exact"/>
              <w:ind w:left="0" w:right="0" w:firstLine="480"/>
              <w:textAlignment w:val="auto"/>
              <w:rPr>
                <w:rFonts w:hint="default" w:ascii="Times New Roman" w:hAnsi="Times New Roman" w:eastAsia="宋体" w:cs="Times New Roman"/>
                <w:color w:val="000000" w:themeColor="text1"/>
                <w:highlight w:val="none"/>
                <w14:textFill>
                  <w14:solidFill>
                    <w14:schemeClr w14:val="tx1"/>
                  </w14:solidFill>
                </w14:textFill>
              </w:rPr>
            </w:pPr>
          </w:p>
          <w:p w14:paraId="54211C10">
            <w:pPr>
              <w:pStyle w:val="158"/>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100" w:lineRule="exact"/>
              <w:ind w:left="0" w:right="0" w:firstLine="480"/>
              <w:textAlignment w:val="auto"/>
              <w:rPr>
                <w:rFonts w:hint="default" w:ascii="Times New Roman" w:hAnsi="Times New Roman" w:eastAsia="宋体" w:cs="Times New Roman"/>
                <w:color w:val="000000" w:themeColor="text1"/>
                <w:highlight w:val="none"/>
                <w14:textFill>
                  <w14:solidFill>
                    <w14:schemeClr w14:val="tx1"/>
                  </w14:solidFill>
                </w14:textFill>
              </w:rPr>
            </w:pPr>
          </w:p>
          <w:p w14:paraId="42F06430">
            <w:pPr>
              <w:pStyle w:val="158"/>
              <w:keepNext w:val="0"/>
              <w:keepLines w:val="0"/>
              <w:suppressLineNumbers w:val="0"/>
              <w:snapToGrid/>
              <w:spacing w:before="0" w:beforeAutospacing="0" w:after="0" w:afterAutospacing="0" w:line="360" w:lineRule="auto"/>
              <w:ind w:left="0" w:right="0" w:firstLine="480"/>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cs="Times New Roman"/>
                <w:b/>
                <w:bCs/>
                <w:color w:val="000000" w:themeColor="text1"/>
                <w:spacing w:val="-3"/>
                <w:sz w:val="24"/>
                <w:szCs w:val="24"/>
                <w:highlight w:val="none"/>
                <w:lang w:val="en-US" w:eastAsia="zh-CN"/>
                <w14:textFill>
                  <w14:solidFill>
                    <w14:schemeClr w14:val="tx1"/>
                  </w14:solidFill>
                </w14:textFill>
              </w:rPr>
              <w:t>1</w:t>
            </w:r>
            <w:r>
              <w:rPr>
                <w:rFonts w:hint="default" w:ascii="Times New Roman" w:hAnsi="Times New Roman" w:eastAsia="宋体" w:cs="Times New Roman"/>
                <w:b/>
                <w:bCs/>
                <w:color w:val="000000" w:themeColor="text1"/>
                <w:spacing w:val="-3"/>
                <w:sz w:val="24"/>
                <w:szCs w:val="24"/>
                <w:highlight w:val="none"/>
                <w14:textFill>
                  <w14:solidFill>
                    <w14:schemeClr w14:val="tx1"/>
                  </w14:solidFill>
                </w14:textFill>
              </w:rPr>
              <w:t>.</w:t>
            </w:r>
            <w:r>
              <w:rPr>
                <w:rFonts w:hint="eastAsia" w:cs="Times New Roman"/>
                <w:b/>
                <w:bCs/>
                <w:color w:val="000000" w:themeColor="text1"/>
                <w:spacing w:val="-3"/>
                <w:sz w:val="24"/>
                <w:szCs w:val="24"/>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pacing w:val="-3"/>
                <w:sz w:val="24"/>
                <w:szCs w:val="24"/>
                <w:highlight w:val="none"/>
                <w14:textFill>
                  <w14:solidFill>
                    <w14:schemeClr w14:val="tx1"/>
                  </w14:solidFill>
                </w14:textFill>
              </w:rPr>
              <w:t>.2</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焊接烟尘</w:t>
            </w:r>
          </w:p>
          <w:p w14:paraId="15DB49F5">
            <w:pPr>
              <w:pStyle w:val="158"/>
              <w:keepNext w:val="0"/>
              <w:keepLines w:val="0"/>
              <w:suppressLineNumbers w:val="0"/>
              <w:snapToGrid/>
              <w:spacing w:before="0" w:beforeAutospacing="0" w:after="0" w:afterAutospacing="0" w:line="360" w:lineRule="auto"/>
              <w:ind w:left="0" w:right="0" w:firstLine="480"/>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项目需要对钣金制品工件进行焊接，焊接工序会产生焊接烟尘，焊接烟尘是</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焊丝</w:t>
            </w:r>
            <w:r>
              <w:rPr>
                <w:rFonts w:hint="default" w:ascii="Times New Roman" w:hAnsi="Times New Roman" w:eastAsia="宋体" w:cs="Times New Roman"/>
                <w:color w:val="000000" w:themeColor="text1"/>
                <w:sz w:val="24"/>
                <w:szCs w:val="24"/>
                <w:highlight w:val="none"/>
                <w14:textFill>
                  <w14:solidFill>
                    <w14:schemeClr w14:val="tx1"/>
                  </w14:solidFill>
                </w14:textFill>
              </w:rPr>
              <w:t>在加热条件下产生的蒸汽经氧化和冷凝而形成的，主要</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污染物指标为颗粒物</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p>
          <w:p w14:paraId="768D6ED7">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本项目利用焊丝作为焊接材料，按单件产品焊接长度为0.5m（取钣金件长宽的平均值）、宽度为0.01m，厚度为0.001m计算，计算得单件产品所需焊丝为0.000005m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，项目设计年加工工件约</w:t>
            </w:r>
            <w:r>
              <w:rPr>
                <w:rFonts w:hint="eastAsia" w:ascii="Times New Roman" w:hAnsi="Times New Roman" w:cs="Times New Roman"/>
                <w:color w:val="000000" w:themeColor="text1"/>
                <w:sz w:val="24"/>
                <w:szCs w:val="24"/>
                <w:highlight w:val="none"/>
                <w:vertAlign w:val="baseline"/>
                <w:lang w:val="en-US" w:eastAsia="zh-CN"/>
                <w14:textFill>
                  <w14:solidFill>
                    <w14:schemeClr w14:val="tx1"/>
                  </w14:solidFill>
                </w14:textFill>
              </w:rPr>
              <w:t>458.333</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万件（年加工1</w:t>
            </w:r>
            <w:r>
              <w:rPr>
                <w:rFonts w:hint="eastAsia" w:ascii="Times New Roman" w:hAnsi="Times New Roman" w:cs="Times New Roman"/>
                <w:color w:val="000000" w:themeColor="text1"/>
                <w:sz w:val="24"/>
                <w:szCs w:val="24"/>
                <w:highlight w:val="none"/>
                <w:vertAlign w:val="baseline"/>
                <w:lang w:val="en-US" w:eastAsia="zh-CN"/>
                <w14:textFill>
                  <w14:solidFill>
                    <w14:schemeClr w14:val="tx1"/>
                  </w14:solidFill>
                </w14:textFill>
              </w:rPr>
              <w:t>1</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0万</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，单件工件按0.24</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折算），约</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30%的产品需要进行焊接，</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则</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焊接工件</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约为458.333万件×30%≈137.5</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万件，</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计算得出所需焊丝年用量</w:t>
            </w:r>
            <w:r>
              <w:rPr>
                <w:rFonts w:hint="eastAsia" w:ascii="Times New Roman" w:hAnsi="Times New Roman" w:cs="Times New Roman"/>
                <w:color w:val="000000" w:themeColor="text1"/>
                <w:sz w:val="24"/>
                <w:szCs w:val="24"/>
                <w:highlight w:val="none"/>
                <w:vertAlign w:val="baseline"/>
                <w:lang w:val="en-US" w:eastAsia="zh-CN"/>
                <w14:textFill>
                  <w14:solidFill>
                    <w14:schemeClr w14:val="tx1"/>
                  </w14:solidFill>
                </w14:textFill>
              </w:rPr>
              <w:t>=137.5万件×</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0.000005m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24"/>
                <w:highlight w:val="none"/>
                <w:vertAlign w:val="baseline"/>
                <w:lang w:val="en-US" w:eastAsia="zh-CN"/>
                <w14:textFill>
                  <w14:solidFill>
                    <w14:schemeClr w14:val="tx1"/>
                  </w14:solidFill>
                </w14:textFill>
              </w:rPr>
              <w:t>=6.875</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，铝焊丝密度按2.7t/m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计算，折合焊丝年用量为</w:t>
            </w:r>
            <w:r>
              <w:rPr>
                <w:rFonts w:hint="eastAsia" w:ascii="Times New Roman" w:hAnsi="Times New Roman" w:cs="Times New Roman"/>
                <w:color w:val="000000" w:themeColor="text1"/>
                <w:sz w:val="24"/>
                <w:szCs w:val="24"/>
                <w:highlight w:val="none"/>
                <w:vertAlign w:val="baseline"/>
                <w:lang w:val="en-US" w:eastAsia="zh-CN"/>
                <w14:textFill>
                  <w14:solidFill>
                    <w14:schemeClr w14:val="tx1"/>
                  </w14:solidFill>
                </w14:textFill>
              </w:rPr>
              <w:t>18.5625</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t。</w:t>
            </w:r>
          </w:p>
          <w:p w14:paraId="08E62447">
            <w:pPr>
              <w:pStyle w:val="158"/>
              <w:keepNext w:val="0"/>
              <w:keepLines w:val="0"/>
              <w:suppressLineNumbers w:val="0"/>
              <w:snapToGrid/>
              <w:spacing w:before="0" w:beforeAutospacing="0" w:after="0" w:afterAutospacing="0" w:line="360" w:lineRule="auto"/>
              <w:ind w:left="0" w:right="0" w:firstLine="48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参考“《排放源统计调查产排污核算方法和系数手册》33-37机械行业系数手册”中“焊接核算环节-焊接-焊接原料：实芯焊丝”的产污系数作为焊接烟尘产污源强计算依据。本项目焊接烟尘（颗粒物）产污系数为</w:t>
            </w:r>
            <w:r>
              <w:rPr>
                <w:rFonts w:hint="default" w:ascii="Times New Roman" w:hAnsi="Times New Roman" w:eastAsia="宋体" w:cs="Times New Roman"/>
                <w:color w:val="000000" w:themeColor="text1"/>
                <w:highlight w:val="none"/>
                <w:lang w:val="en-US" w:eastAsia="zh-CN"/>
                <w14:textFill>
                  <w14:solidFill>
                    <w14:schemeClr w14:val="tx1"/>
                  </w14:solidFill>
                </w14:textFill>
              </w:rPr>
              <w:t>9.19</w:t>
            </w:r>
            <w:r>
              <w:rPr>
                <w:rFonts w:hint="default" w:ascii="Times New Roman" w:hAnsi="Times New Roman" w:eastAsia="宋体" w:cs="Times New Roman"/>
                <w:color w:val="000000" w:themeColor="text1"/>
                <w:highlight w:val="none"/>
                <w14:textFill>
                  <w14:solidFill>
                    <w14:schemeClr w14:val="tx1"/>
                  </w14:solidFill>
                </w14:textFill>
              </w:rPr>
              <w:t>kg/t-原料</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经设备自带的移动式焊烟净化器处理后</w:t>
            </w:r>
            <w:r>
              <w:rPr>
                <w:rFonts w:hint="default" w:ascii="Times New Roman" w:hAnsi="Times New Roman" w:eastAsia="宋体" w:cs="Times New Roman"/>
                <w:color w:val="000000" w:themeColor="text1"/>
                <w:sz w:val="24"/>
                <w:szCs w:val="24"/>
                <w:highlight w:val="none"/>
                <w14:textFill>
                  <w14:solidFill>
                    <w14:schemeClr w14:val="tx1"/>
                  </w14:solidFill>
                </w14:textFill>
              </w:rPr>
              <w:t>于车间内无组织排放</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项目年工作1928小时。</w:t>
            </w:r>
          </w:p>
          <w:p w14:paraId="4E5CFE7C">
            <w:pPr>
              <w:pStyle w:val="158"/>
              <w:keepNext w:val="0"/>
              <w:keepLines w:val="0"/>
              <w:suppressLineNumbers w:val="0"/>
              <w:snapToGrid/>
              <w:spacing w:before="0" w:beforeAutospacing="0" w:after="0" w:afterAutospacing="0"/>
              <w:ind w:left="0" w:right="0" w:firstLine="480"/>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考虑到工艺的特殊性和焊接烟尘收集系统的局限性，焊烟未处于密闭空间收集，</w:t>
            </w:r>
            <w:bookmarkStart w:id="22" w:name="OLE_LINK48"/>
            <w:r>
              <w:rPr>
                <w:rFonts w:hint="eastAsia" w:ascii="Times New Roman" w:hAnsi="Times New Roman" w:eastAsia="宋体" w:cs="Times New Roman"/>
                <w:color w:val="000000" w:themeColor="text1"/>
                <w:highlight w:val="none"/>
                <w:lang w:val="en-US" w:eastAsia="zh-CN"/>
                <w14:textFill>
                  <w14:solidFill>
                    <w14:schemeClr w14:val="tx1"/>
                  </w14:solidFill>
                </w14:textFill>
              </w:rPr>
              <w:t>根据《广东省工业源挥发性有机物减排量核算方法》（2023年修订版）中“表3.3-2废气收集集气效率参考值”的说明，外部集气罩的污染物逸散点控制风速不小于0.3m/s，废气收集效率按30%计。</w:t>
            </w:r>
            <w:bookmarkEnd w:id="22"/>
          </w:p>
          <w:p w14:paraId="7BA4ECC9">
            <w:pPr>
              <w:pStyle w:val="158"/>
              <w:keepNext w:val="0"/>
              <w:keepLines w:val="0"/>
              <w:suppressLineNumbers w:val="0"/>
              <w:snapToGrid/>
              <w:spacing w:before="0" w:beforeAutospacing="0" w:after="0" w:afterAutospacing="0"/>
              <w:ind w:left="0" w:right="0" w:firstLine="480"/>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参考《滤筒式除尘器》（JB/T10341-2014），滤料的除尘效率应达到99.5%以上，本项目</w:t>
            </w:r>
            <w:r>
              <w:rPr>
                <w:rFonts w:hint="eastAsia"/>
                <w:color w:val="000000" w:themeColor="text1"/>
                <w:highlight w:val="none"/>
                <w14:textFill>
                  <w14:solidFill>
                    <w14:schemeClr w14:val="tx1"/>
                  </w14:solidFill>
                </w14:textFill>
              </w:rPr>
              <w:t>移动式焊烟净化器</w:t>
            </w:r>
            <w:r>
              <w:rPr>
                <w:rFonts w:hint="eastAsia"/>
                <w:color w:val="000000" w:themeColor="text1"/>
                <w:highlight w:val="none"/>
                <w:lang w:val="en-US" w:eastAsia="zh-CN"/>
                <w14:textFill>
                  <w14:solidFill>
                    <w14:schemeClr w14:val="tx1"/>
                  </w14:solidFill>
                </w14:textFill>
              </w:rPr>
              <w:t>处理效率</w:t>
            </w:r>
            <w:r>
              <w:rPr>
                <w:rFonts w:hint="eastAsia" w:ascii="Times New Roman" w:hAnsi="Times New Roman" w:eastAsia="宋体" w:cs="Times New Roman"/>
                <w:color w:val="000000" w:themeColor="text1"/>
                <w:highlight w:val="none"/>
                <w:lang w:val="en-US" w:eastAsia="zh-CN"/>
                <w14:textFill>
                  <w14:solidFill>
                    <w14:schemeClr w14:val="tx1"/>
                  </w14:solidFill>
                </w14:textFill>
              </w:rPr>
              <w:t>按9</w:t>
            </w:r>
            <w:r>
              <w:rPr>
                <w:rFonts w:hint="eastAsia" w:cs="Times New Roman"/>
                <w:color w:val="000000" w:themeColor="text1"/>
                <w:highlight w:val="none"/>
                <w:lang w:val="en-US" w:eastAsia="zh-CN"/>
                <w14:textFill>
                  <w14:solidFill>
                    <w14:schemeClr w14:val="tx1"/>
                  </w14:solidFill>
                </w14:textFill>
              </w:rPr>
              <w:t>0</w:t>
            </w:r>
            <w:r>
              <w:rPr>
                <w:rFonts w:hint="eastAsia" w:ascii="Times New Roman" w:hAnsi="Times New Roman" w:eastAsia="宋体" w:cs="Times New Roman"/>
                <w:color w:val="000000" w:themeColor="text1"/>
                <w:highlight w:val="none"/>
                <w:lang w:val="en-US" w:eastAsia="zh-CN"/>
                <w14:textFill>
                  <w14:solidFill>
                    <w14:schemeClr w14:val="tx1"/>
                  </w14:solidFill>
                </w14:textFill>
              </w:rPr>
              <w:t>%计。本项目焊接烟尘排放情况如下表所示。</w:t>
            </w:r>
          </w:p>
          <w:p w14:paraId="2CBC38DD">
            <w:pPr>
              <w:keepNext w:val="0"/>
              <w:keepLines w:val="0"/>
              <w:numPr>
                <w:ilvl w:val="0"/>
                <w:numId w:val="0"/>
              </w:numPr>
              <w:suppressLineNumbers w:val="0"/>
              <w:tabs>
                <w:tab w:val="left" w:pos="0"/>
              </w:tabs>
              <w:spacing w:before="0" w:beforeAutospacing="0" w:after="0" w:afterAutospacing="0"/>
              <w:ind w:left="0" w:leftChars="0" w:right="0" w:rightChars="0" w:firstLine="40" w:firstLineChars="0"/>
              <w:jc w:val="cente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w:t>
            </w:r>
            <w:r>
              <w:rPr>
                <w:rFonts w:hint="eastAsia" w:cs="Times New Roman"/>
                <w:b/>
                <w:bCs/>
                <w:color w:val="000000" w:themeColor="text1"/>
                <w:kern w:val="2"/>
                <w:sz w:val="21"/>
                <w:szCs w:val="21"/>
                <w:lang w:val="en-US" w:eastAsia="zh-CN" w:bidi="ar-SA"/>
                <w14:textFill>
                  <w14:solidFill>
                    <w14:schemeClr w14:val="tx1"/>
                  </w14:solidFill>
                </w14:textFill>
              </w:rPr>
              <w:t>9</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本项目焊接烟尘产生情况</w:t>
            </w:r>
          </w:p>
          <w:tbl>
            <w:tblPr>
              <w:tblStyle w:val="44"/>
              <w:tblW w:w="0" w:type="auto"/>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5"/>
              <w:gridCol w:w="1067"/>
              <w:gridCol w:w="917"/>
              <w:gridCol w:w="1050"/>
              <w:gridCol w:w="833"/>
              <w:gridCol w:w="700"/>
              <w:gridCol w:w="717"/>
              <w:gridCol w:w="966"/>
              <w:gridCol w:w="1072"/>
            </w:tblGrid>
            <w:tr w14:paraId="496F0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7" w:hRule="atLeast"/>
              </w:trPr>
              <w:tc>
                <w:tcPr>
                  <w:tcW w:w="9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6731B6">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焊丝用量（</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t/a</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D12679">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产污系数（</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kg/t-</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原料）</w:t>
                  </w:r>
                </w:p>
              </w:tc>
              <w:tc>
                <w:tcPr>
                  <w:tcW w:w="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26CB5E">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产生量（</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t/a</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DAF2D1">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产生速率（</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kg/h</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p>
              </w:tc>
              <w:tc>
                <w:tcPr>
                  <w:tcW w:w="8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93D99">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年工作小时</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h</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A599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收集效率</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7FA8E">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处理效率</w:t>
                  </w:r>
                </w:p>
              </w:tc>
              <w:tc>
                <w:tcPr>
                  <w:tcW w:w="20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DE52F">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无组织排放</w:t>
                  </w:r>
                </w:p>
              </w:tc>
            </w:tr>
            <w:tr w14:paraId="5FF3A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387C2">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9FBFC">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86336">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0A3AE">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E436B">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A93BB">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37574">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6EB19">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排放量（t/a）</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9C020">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排放速率（kg/h）</w:t>
                  </w:r>
                </w:p>
              </w:tc>
            </w:tr>
            <w:tr w14:paraId="5B599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090C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18.5625 </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26DF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9.19</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4427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0.171 </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CEB9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0.088 </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2C36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1928</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7C7B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EA96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90%</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846D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0.125 </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5C30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0.065 </w:t>
                  </w:r>
                </w:p>
              </w:tc>
            </w:tr>
          </w:tbl>
          <w:p w14:paraId="0E747713">
            <w:pPr>
              <w:keepNext w:val="0"/>
              <w:keepLines w:val="0"/>
              <w:pageBreakBefore w:val="0"/>
              <w:widowControl w:val="0"/>
              <w:kinsoku/>
              <w:wordWrap/>
              <w:overflowPunct/>
              <w:topLinePunct w:val="0"/>
              <w:autoSpaceDE/>
              <w:autoSpaceDN/>
              <w:bidi w:val="0"/>
              <w:adjustRightInd/>
              <w:snapToGrid/>
              <w:spacing w:line="100" w:lineRule="exact"/>
              <w:ind w:firstLine="482" w:firstLineChars="200"/>
              <w:jc w:val="both"/>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p>
          <w:p w14:paraId="66156AD7">
            <w:pPr>
              <w:widowControl w:val="0"/>
              <w:kinsoku/>
              <w:autoSpaceDE/>
              <w:autoSpaceDN/>
              <w:adjustRightInd/>
              <w:snapToGrid/>
              <w:spacing w:line="360" w:lineRule="auto"/>
              <w:ind w:firstLine="482" w:firstLineChars="200"/>
              <w:jc w:val="both"/>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w:t>
            </w:r>
            <w:r>
              <w:rPr>
                <w:rFonts w:hint="eastAsia" w:cs="Times New Roman"/>
                <w:b/>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.3</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天然气燃烧废气</w:t>
            </w:r>
          </w:p>
          <w:p w14:paraId="5DD9DD75">
            <w:pPr>
              <w:widowControl w:val="0"/>
              <w:kinsoku/>
              <w:autoSpaceDE/>
              <w:autoSpaceDN/>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GB"/>
                <w14:textFill>
                  <w14:solidFill>
                    <w14:schemeClr w14:val="tx1"/>
                  </w14:solidFill>
                </w14:textFill>
              </w:rPr>
              <w:t>本项目</w:t>
            </w:r>
            <w:r>
              <w:rPr>
                <w:rFonts w:hint="eastAsia" w:cs="Times New Roman"/>
                <w:color w:val="000000" w:themeColor="text1"/>
                <w:sz w:val="24"/>
                <w:szCs w:val="24"/>
                <w:highlight w:val="none"/>
                <w:lang w:val="en-US" w:eastAsia="zh-CN"/>
                <w14:textFill>
                  <w14:solidFill>
                    <w14:schemeClr w14:val="tx1"/>
                  </w14:solidFill>
                </w14:textFill>
              </w:rPr>
              <w:t>固化</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工序</w:t>
            </w:r>
            <w:r>
              <w:rPr>
                <w:rFonts w:hint="default" w:ascii="Times New Roman" w:hAnsi="Times New Roman" w:cs="Times New Roman"/>
                <w:color w:val="000000" w:themeColor="text1"/>
                <w:sz w:val="24"/>
                <w:szCs w:val="24"/>
                <w:highlight w:val="none"/>
                <w:lang w:val="en-GB"/>
                <w14:textFill>
                  <w14:solidFill>
                    <w14:schemeClr w14:val="tx1"/>
                  </w14:solidFill>
                </w14:textFill>
              </w:rPr>
              <w:t>以天然气为燃料，</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本项目天然气用量为182248m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/a。本项目使用天然气属于《天然气》（GB17820-2018）中的二类气体，其含硫量≤100mg/m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。天然气燃烧过程中，氮氧化物、二氧化硫和工业废气量参考《排放源统计调查产排污核算方法和系数手册》中“机械行业系数手册”内“14涂装天然气工业炉窑”产污系数。</w:t>
            </w:r>
            <w:r>
              <w:rPr>
                <w:rFonts w:hint="default" w:ascii="Times New Roman" w:hAnsi="Times New Roman" w:cs="Times New Roman"/>
                <w:color w:val="000000" w:themeColor="text1"/>
                <w:kern w:val="0"/>
                <w:sz w:val="24"/>
                <w:szCs w:val="24"/>
                <w:highlight w:val="none"/>
                <w:lang w:bidi="ar"/>
                <w14:textFill>
                  <w14:solidFill>
                    <w14:schemeClr w14:val="tx1"/>
                  </w14:solidFill>
                </w14:textFill>
              </w:rPr>
              <w:t>本项目</w:t>
            </w:r>
            <w:r>
              <w:rPr>
                <w:rFonts w:hint="eastAsia" w:cs="Times New Roman"/>
                <w:color w:val="000000" w:themeColor="text1"/>
                <w:kern w:val="0"/>
                <w:sz w:val="24"/>
                <w:szCs w:val="24"/>
                <w:highlight w:val="none"/>
                <w:lang w:val="en-US" w:eastAsia="zh-CN" w:bidi="ar"/>
                <w14:textFill>
                  <w14:solidFill>
                    <w14:schemeClr w14:val="tx1"/>
                  </w14:solidFill>
                </w14:textFill>
              </w:rPr>
              <w:t>固化工序</w:t>
            </w:r>
            <w:r>
              <w:rPr>
                <w:rFonts w:hint="default" w:ascii="Times New Roman" w:hAnsi="Times New Roman" w:cs="Times New Roman"/>
                <w:color w:val="000000" w:themeColor="text1"/>
                <w:kern w:val="0"/>
                <w:sz w:val="24"/>
                <w:szCs w:val="24"/>
                <w:highlight w:val="none"/>
                <w:lang w:bidi="ar"/>
                <w14:textFill>
                  <w14:solidFill>
                    <w14:schemeClr w14:val="tx1"/>
                  </w14:solidFill>
                </w14:textFill>
              </w:rPr>
              <w:t>年工作时间</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1928</w:t>
            </w:r>
            <w:r>
              <w:rPr>
                <w:rFonts w:hint="default" w:ascii="Times New Roman" w:hAnsi="Times New Roman" w:cs="Times New Roman"/>
                <w:color w:val="000000" w:themeColor="text1"/>
                <w:kern w:val="0"/>
                <w:sz w:val="24"/>
                <w:szCs w:val="24"/>
                <w:highlight w:val="none"/>
                <w:lang w:bidi="ar"/>
                <w14:textFill>
                  <w14:solidFill>
                    <w14:schemeClr w14:val="tx1"/>
                  </w14:solidFill>
                </w14:textFill>
              </w:rPr>
              <w:t>h</w:t>
            </w:r>
            <w:r>
              <w:rPr>
                <w:rFonts w:hint="default" w:ascii="Times New Roman" w:hAnsi="Times New Roman" w:cs="Times New Roman"/>
                <w:color w:val="000000" w:themeColor="text1"/>
                <w:kern w:val="0"/>
                <w:sz w:val="24"/>
                <w:szCs w:val="24"/>
                <w:highlight w:val="none"/>
                <w:lang w:eastAsia="zh-CN" w:bidi="ar"/>
                <w14:textFill>
                  <w14:solidFill>
                    <w14:schemeClr w14:val="tx1"/>
                  </w14:solidFill>
                </w14:textFill>
              </w:rPr>
              <w:t>。</w:t>
            </w:r>
          </w:p>
          <w:p w14:paraId="2C3CB9E5">
            <w:pPr>
              <w:widowControl w:val="0"/>
              <w:kinsoku/>
              <w:autoSpaceDE/>
              <w:autoSpaceDN/>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燃烧机燃烧天然气的污染物产生情况如下：</w:t>
            </w:r>
          </w:p>
          <w:p w14:paraId="7F263F9F">
            <w:pPr>
              <w:keepNext w:val="0"/>
              <w:keepLines w:val="0"/>
              <w:widowControl/>
              <w:numPr>
                <w:ilvl w:val="0"/>
                <w:numId w:val="0"/>
              </w:numPr>
              <w:suppressLineNumbers w:val="0"/>
              <w:tabs>
                <w:tab w:val="left" w:pos="0"/>
              </w:tabs>
              <w:spacing w:before="0" w:beforeAutospacing="0" w:after="0" w:afterAutospacing="0" w:line="240" w:lineRule="auto"/>
              <w:ind w:left="0" w:leftChars="0" w:right="0" w:rightChars="0" w:firstLine="4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color w:val="000000" w:themeColor="text1"/>
                <w:kern w:val="2"/>
                <w:sz w:val="21"/>
                <w:szCs w:val="21"/>
                <w:lang w:val="en-US" w:eastAsia="zh-CN" w:bidi="ar-SA"/>
                <w14:textFill>
                  <w14:solidFill>
                    <w14:schemeClr w14:val="tx1"/>
                  </w14:solidFill>
                </w14:textFill>
              </w:rPr>
              <w:t>表4-1</w:t>
            </w:r>
            <w:r>
              <w:rPr>
                <w:rFonts w:hint="eastAsia" w:cs="Times New Roman"/>
                <w:b/>
                <w:color w:val="000000" w:themeColor="text1"/>
                <w:kern w:val="2"/>
                <w:sz w:val="21"/>
                <w:szCs w:val="21"/>
                <w:lang w:val="en-US" w:eastAsia="zh-CN" w:bidi="ar-SA"/>
                <w14:textFill>
                  <w14:solidFill>
                    <w14:schemeClr w14:val="tx1"/>
                  </w14:solidFill>
                </w14:textFill>
              </w:rPr>
              <w:t>0</w:t>
            </w:r>
            <w:r>
              <w:rPr>
                <w:rFonts w:hint="default" w:ascii="Times New Roman" w:hAnsi="Times New Roman" w:cs="Times New Roman"/>
                <w:b/>
                <w:bCs/>
                <w:color w:val="000000" w:themeColor="text1"/>
                <w:sz w:val="21"/>
                <w:szCs w:val="21"/>
                <w:highlight w:val="none"/>
                <w:lang w:bidi="ar"/>
                <w14:textFill>
                  <w14:solidFill>
                    <w14:schemeClr w14:val="tx1"/>
                  </w14:solidFill>
                </w14:textFill>
              </w:rPr>
              <w:t>天然气燃烧废气产生情况一览表</w:t>
            </w:r>
          </w:p>
          <w:tbl>
            <w:tblPr>
              <w:tblStyle w:val="45"/>
              <w:tblW w:w="48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
              <w:gridCol w:w="1013"/>
              <w:gridCol w:w="884"/>
              <w:gridCol w:w="995"/>
              <w:gridCol w:w="2447"/>
              <w:gridCol w:w="1170"/>
              <w:gridCol w:w="1183"/>
            </w:tblGrid>
            <w:tr w14:paraId="0A6B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exact"/>
              </w:trPr>
              <w:tc>
                <w:tcPr>
                  <w:tcW w:w="317" w:type="pct"/>
                  <w:noWrap w:val="0"/>
                  <w:vAlign w:val="center"/>
                </w:tcPr>
                <w:p w14:paraId="10FB02C7">
                  <w:pPr>
                    <w:wordWrap w:val="0"/>
                    <w:topLinePunct/>
                    <w:autoSpaceDE w:val="0"/>
                    <w:autoSpaceDN w:val="0"/>
                    <w:jc w:val="center"/>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序号</w:t>
                  </w:r>
                </w:p>
              </w:tc>
              <w:tc>
                <w:tcPr>
                  <w:tcW w:w="617" w:type="pct"/>
                  <w:noWrap w:val="0"/>
                  <w:vAlign w:val="center"/>
                </w:tcPr>
                <w:p w14:paraId="78B9D53C">
                  <w:pPr>
                    <w:wordWrap w:val="0"/>
                    <w:topLinePunct/>
                    <w:autoSpaceDE w:val="0"/>
                    <w:autoSpaceDN w:val="0"/>
                    <w:jc w:val="center"/>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废气产生点</w:t>
                  </w:r>
                </w:p>
              </w:tc>
              <w:tc>
                <w:tcPr>
                  <w:tcW w:w="538" w:type="pct"/>
                  <w:noWrap w:val="0"/>
                  <w:vAlign w:val="center"/>
                </w:tcPr>
                <w:p w14:paraId="699107DB">
                  <w:pPr>
                    <w:wordWrap w:val="0"/>
                    <w:topLinePunct/>
                    <w:autoSpaceDE w:val="0"/>
                    <w:autoSpaceDN w:val="0"/>
                    <w:jc w:val="center"/>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天然气消耗量（m</w:t>
                  </w:r>
                  <w:r>
                    <w:rPr>
                      <w:b/>
                      <w:bCs/>
                      <w:color w:val="000000" w:themeColor="text1"/>
                      <w:sz w:val="21"/>
                      <w:szCs w:val="21"/>
                      <w:highlight w:val="none"/>
                      <w:vertAlign w:val="superscript"/>
                      <w14:textFill>
                        <w14:solidFill>
                          <w14:schemeClr w14:val="tx1"/>
                        </w14:solidFill>
                      </w14:textFill>
                    </w:rPr>
                    <w:t>3</w:t>
                  </w:r>
                  <w:r>
                    <w:rPr>
                      <w:b/>
                      <w:bCs/>
                      <w:color w:val="000000" w:themeColor="text1"/>
                      <w:sz w:val="21"/>
                      <w:szCs w:val="21"/>
                      <w:highlight w:val="none"/>
                      <w14:textFill>
                        <w14:solidFill>
                          <w14:schemeClr w14:val="tx1"/>
                        </w14:solidFill>
                      </w14:textFill>
                    </w:rPr>
                    <w:t>）</w:t>
                  </w:r>
                </w:p>
              </w:tc>
              <w:tc>
                <w:tcPr>
                  <w:tcW w:w="606" w:type="pct"/>
                  <w:noWrap w:val="0"/>
                  <w:vAlign w:val="center"/>
                </w:tcPr>
                <w:p w14:paraId="267F4353">
                  <w:pPr>
                    <w:wordWrap w:val="0"/>
                    <w:topLinePunct/>
                    <w:autoSpaceDE w:val="0"/>
                    <w:autoSpaceDN w:val="0"/>
                    <w:jc w:val="center"/>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参数</w:t>
                  </w:r>
                </w:p>
              </w:tc>
              <w:tc>
                <w:tcPr>
                  <w:tcW w:w="1490" w:type="pct"/>
                  <w:noWrap w:val="0"/>
                  <w:vAlign w:val="center"/>
                </w:tcPr>
                <w:p w14:paraId="64DFC1B4">
                  <w:pPr>
                    <w:wordWrap w:val="0"/>
                    <w:topLinePunct/>
                    <w:autoSpaceDE w:val="0"/>
                    <w:autoSpaceDN w:val="0"/>
                    <w:jc w:val="center"/>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产污系数</w:t>
                  </w:r>
                </w:p>
              </w:tc>
              <w:tc>
                <w:tcPr>
                  <w:tcW w:w="712" w:type="pct"/>
                  <w:noWrap w:val="0"/>
                  <w:vAlign w:val="center"/>
                </w:tcPr>
                <w:p w14:paraId="688431C7">
                  <w:pPr>
                    <w:wordWrap w:val="0"/>
                    <w:topLinePunct/>
                    <w:autoSpaceDE w:val="0"/>
                    <w:autoSpaceDN w:val="0"/>
                    <w:jc w:val="center"/>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产生量（t/a）</w:t>
                  </w:r>
                </w:p>
              </w:tc>
              <w:tc>
                <w:tcPr>
                  <w:tcW w:w="717" w:type="pct"/>
                  <w:noWrap w:val="0"/>
                  <w:vAlign w:val="center"/>
                </w:tcPr>
                <w:p w14:paraId="593293DE">
                  <w:pPr>
                    <w:wordWrap w:val="0"/>
                    <w:topLinePunct/>
                    <w:autoSpaceDE w:val="0"/>
                    <w:autoSpaceDN w:val="0"/>
                    <w:jc w:val="center"/>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产生速率（kg/h）</w:t>
                  </w:r>
                </w:p>
              </w:tc>
            </w:tr>
            <w:tr w14:paraId="72FB1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exact"/>
              </w:trPr>
              <w:tc>
                <w:tcPr>
                  <w:tcW w:w="317" w:type="pct"/>
                  <w:noWrap w:val="0"/>
                  <w:vAlign w:val="center"/>
                </w:tcPr>
                <w:p w14:paraId="70810442">
                  <w:pPr>
                    <w:numPr>
                      <w:ilvl w:val="0"/>
                      <w:numId w:val="15"/>
                    </w:numPr>
                    <w:wordWrap w:val="0"/>
                    <w:topLinePunct/>
                    <w:autoSpaceDE w:val="0"/>
                    <w:autoSpaceDN w:val="0"/>
                    <w:jc w:val="center"/>
                    <w:rPr>
                      <w:color w:val="000000" w:themeColor="text1"/>
                      <w:sz w:val="21"/>
                      <w:szCs w:val="21"/>
                      <w:highlight w:val="none"/>
                      <w14:textFill>
                        <w14:solidFill>
                          <w14:schemeClr w14:val="tx1"/>
                        </w14:solidFill>
                      </w14:textFill>
                    </w:rPr>
                  </w:pPr>
                </w:p>
              </w:tc>
              <w:tc>
                <w:tcPr>
                  <w:tcW w:w="617" w:type="pct"/>
                  <w:vMerge w:val="restart"/>
                  <w:noWrap w:val="0"/>
                  <w:vAlign w:val="center"/>
                </w:tcPr>
                <w:p w14:paraId="2FAE90E5">
                  <w:pPr>
                    <w:wordWrap w:val="0"/>
                    <w:topLinePunct/>
                    <w:autoSpaceDE w:val="0"/>
                    <w:autoSpaceDN w:val="0"/>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漆粉</w:t>
                  </w:r>
                  <w:r>
                    <w:rPr>
                      <w:color w:val="000000" w:themeColor="text1"/>
                      <w:sz w:val="21"/>
                      <w:szCs w:val="21"/>
                      <w:highlight w:val="none"/>
                      <w14:textFill>
                        <w14:solidFill>
                          <w14:schemeClr w14:val="tx1"/>
                        </w14:solidFill>
                      </w14:textFill>
                    </w:rPr>
                    <w:t>烘干固化</w:t>
                  </w:r>
                  <w:r>
                    <w:rPr>
                      <w:rFonts w:hint="eastAsia"/>
                      <w:color w:val="000000" w:themeColor="text1"/>
                      <w:sz w:val="21"/>
                      <w:szCs w:val="21"/>
                      <w:highlight w:val="none"/>
                      <w:lang w:val="en-US" w:eastAsia="zh-CN"/>
                      <w14:textFill>
                        <w14:solidFill>
                          <w14:schemeClr w14:val="tx1"/>
                        </w14:solidFill>
                      </w14:textFill>
                    </w:rPr>
                    <w:t>(DA002)</w:t>
                  </w:r>
                </w:p>
              </w:tc>
              <w:tc>
                <w:tcPr>
                  <w:tcW w:w="538" w:type="pct"/>
                  <w:vMerge w:val="restart"/>
                  <w:noWrap w:val="0"/>
                  <w:vAlign w:val="center"/>
                </w:tcPr>
                <w:p w14:paraId="5FCF7549">
                  <w:pPr>
                    <w:keepNext w:val="0"/>
                    <w:keepLines w:val="0"/>
                    <w:widowControl/>
                    <w:suppressLineNumbers w:val="0"/>
                    <w:jc w:val="center"/>
                    <w:textAlignment w:val="center"/>
                    <w:rPr>
                      <w:rFonts w:hint="default" w:eastAsia="宋体"/>
                      <w:color w:val="000000" w:themeColor="text1"/>
                      <w:sz w:val="21"/>
                      <w:szCs w:val="21"/>
                      <w:highlight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182248</w:t>
                  </w:r>
                </w:p>
              </w:tc>
              <w:tc>
                <w:tcPr>
                  <w:tcW w:w="606" w:type="pct"/>
                  <w:noWrap w:val="0"/>
                  <w:vAlign w:val="center"/>
                </w:tcPr>
                <w:p w14:paraId="2610CD0C">
                  <w:pPr>
                    <w:keepNext w:val="0"/>
                    <w:keepLines w:val="0"/>
                    <w:widowControl/>
                    <w:suppressLineNumbers w:val="0"/>
                    <w:jc w:val="center"/>
                    <w:textAlignment w:val="center"/>
                    <w:rPr>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工业废气量</w:t>
                  </w:r>
                </w:p>
              </w:tc>
              <w:tc>
                <w:tcPr>
                  <w:tcW w:w="1490" w:type="pct"/>
                  <w:noWrap w:val="0"/>
                  <w:vAlign w:val="center"/>
                </w:tcPr>
                <w:p w14:paraId="4AF334BB">
                  <w:pPr>
                    <w:keepNext w:val="0"/>
                    <w:keepLines w:val="0"/>
                    <w:widowControl/>
                    <w:suppressLineNumbers w:val="0"/>
                    <w:jc w:val="center"/>
                    <w:textAlignment w:val="center"/>
                    <w:rPr>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13.6</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Nm</w:t>
                  </w:r>
                  <w:r>
                    <w:rPr>
                      <w:rFonts w:hint="default" w:ascii="Times New Roman" w:hAnsi="Times New Roman" w:eastAsia="宋体" w:cs="Times New Roman"/>
                      <w:i w:val="0"/>
                      <w:iCs w:val="0"/>
                      <w:color w:val="000000" w:themeColor="text1"/>
                      <w:kern w:val="0"/>
                      <w:sz w:val="21"/>
                      <w:szCs w:val="21"/>
                      <w:u w:val="none"/>
                      <w:vertAlign w:val="super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/m</w:t>
                  </w:r>
                  <w:r>
                    <w:rPr>
                      <w:rFonts w:hint="default" w:ascii="Times New Roman" w:hAnsi="Times New Roman" w:eastAsia="宋体" w:cs="Times New Roman"/>
                      <w:i w:val="0"/>
                      <w:iCs w:val="0"/>
                      <w:color w:val="000000" w:themeColor="text1"/>
                      <w:kern w:val="0"/>
                      <w:sz w:val="21"/>
                      <w:szCs w:val="21"/>
                      <w:u w:val="none"/>
                      <w:vertAlign w:val="super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燃料）</w:t>
                  </w:r>
                </w:p>
              </w:tc>
              <w:tc>
                <w:tcPr>
                  <w:tcW w:w="712" w:type="pct"/>
                  <w:shd w:val="clear" w:color="auto" w:fill="auto"/>
                  <w:noWrap w:val="0"/>
                  <w:vAlign w:val="center"/>
                </w:tcPr>
                <w:p w14:paraId="0BDE643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717" w:type="pct"/>
                  <w:shd w:val="clear" w:color="auto" w:fill="auto"/>
                  <w:noWrap w:val="0"/>
                  <w:vAlign w:val="center"/>
                </w:tcPr>
                <w:p w14:paraId="6F7B187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40000m</w:t>
                  </w:r>
                  <w:r>
                    <w:rPr>
                      <w:rFonts w:hint="default" w:ascii="Times New Roman" w:hAnsi="Times New Roman" w:eastAsia="宋体" w:cs="Times New Roman"/>
                      <w:i w:val="0"/>
                      <w:iCs w:val="0"/>
                      <w:color w:val="000000" w:themeColor="text1"/>
                      <w:kern w:val="0"/>
                      <w:sz w:val="21"/>
                      <w:szCs w:val="21"/>
                      <w:u w:val="none"/>
                      <w:vertAlign w:val="super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/h</w:t>
                  </w:r>
                </w:p>
              </w:tc>
            </w:tr>
            <w:tr w14:paraId="4743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trPr>
              <w:tc>
                <w:tcPr>
                  <w:tcW w:w="317" w:type="pct"/>
                  <w:noWrap w:val="0"/>
                  <w:vAlign w:val="center"/>
                </w:tcPr>
                <w:p w14:paraId="0F1DEFDF">
                  <w:pPr>
                    <w:numPr>
                      <w:ilvl w:val="0"/>
                      <w:numId w:val="15"/>
                    </w:numPr>
                    <w:wordWrap w:val="0"/>
                    <w:topLinePunct/>
                    <w:autoSpaceDE w:val="0"/>
                    <w:autoSpaceDN w:val="0"/>
                    <w:jc w:val="center"/>
                    <w:rPr>
                      <w:color w:val="000000" w:themeColor="text1"/>
                      <w:sz w:val="21"/>
                      <w:szCs w:val="21"/>
                      <w:highlight w:val="none"/>
                      <w14:textFill>
                        <w14:solidFill>
                          <w14:schemeClr w14:val="tx1"/>
                        </w14:solidFill>
                      </w14:textFill>
                    </w:rPr>
                  </w:pPr>
                </w:p>
              </w:tc>
              <w:tc>
                <w:tcPr>
                  <w:tcW w:w="617" w:type="pct"/>
                  <w:vMerge w:val="continue"/>
                  <w:noWrap w:val="0"/>
                  <w:vAlign w:val="center"/>
                </w:tcPr>
                <w:p w14:paraId="2F751DC9">
                  <w:pPr>
                    <w:wordWrap w:val="0"/>
                    <w:topLinePunct/>
                    <w:autoSpaceDE w:val="0"/>
                    <w:autoSpaceDN w:val="0"/>
                    <w:jc w:val="center"/>
                    <w:rPr>
                      <w:color w:val="000000" w:themeColor="text1"/>
                      <w:sz w:val="21"/>
                      <w:szCs w:val="21"/>
                      <w:highlight w:val="none"/>
                      <w14:textFill>
                        <w14:solidFill>
                          <w14:schemeClr w14:val="tx1"/>
                        </w14:solidFill>
                      </w14:textFill>
                    </w:rPr>
                  </w:pPr>
                </w:p>
              </w:tc>
              <w:tc>
                <w:tcPr>
                  <w:tcW w:w="538" w:type="pct"/>
                  <w:vMerge w:val="continue"/>
                  <w:noWrap w:val="0"/>
                  <w:vAlign w:val="center"/>
                </w:tcPr>
                <w:p w14:paraId="4BF297BB">
                  <w:pPr>
                    <w:jc w:val="center"/>
                    <w:rPr>
                      <w:color w:val="000000" w:themeColor="text1"/>
                      <w:sz w:val="21"/>
                      <w:szCs w:val="21"/>
                      <w:highlight w:val="none"/>
                      <w:lang w:bidi="ar"/>
                      <w14:textFill>
                        <w14:solidFill>
                          <w14:schemeClr w14:val="tx1"/>
                        </w14:solidFill>
                      </w14:textFill>
                    </w:rPr>
                  </w:pPr>
                </w:p>
              </w:tc>
              <w:tc>
                <w:tcPr>
                  <w:tcW w:w="606" w:type="pct"/>
                  <w:noWrap w:val="0"/>
                  <w:vAlign w:val="center"/>
                </w:tcPr>
                <w:p w14:paraId="0FD1E8D0">
                  <w:pPr>
                    <w:keepNext w:val="0"/>
                    <w:keepLines w:val="0"/>
                    <w:widowControl/>
                    <w:suppressLineNumbers w:val="0"/>
                    <w:jc w:val="center"/>
                    <w:textAlignment w:val="center"/>
                    <w:rPr>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SO</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2</w:t>
                  </w:r>
                </w:p>
              </w:tc>
              <w:tc>
                <w:tcPr>
                  <w:tcW w:w="1490" w:type="pct"/>
                  <w:noWrap w:val="0"/>
                  <w:vAlign w:val="center"/>
                </w:tcPr>
                <w:p w14:paraId="428DC05B">
                  <w:pPr>
                    <w:keepNext w:val="0"/>
                    <w:keepLines w:val="0"/>
                    <w:widowControl/>
                    <w:suppressLineNumbers w:val="0"/>
                    <w:jc w:val="center"/>
                    <w:textAlignment w:val="center"/>
                    <w:rPr>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0.000002S</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kg/m</w:t>
                  </w:r>
                  <w:r>
                    <w:rPr>
                      <w:rFonts w:hint="default" w:ascii="Times New Roman" w:hAnsi="Times New Roman" w:eastAsia="宋体" w:cs="Times New Roman"/>
                      <w:i w:val="0"/>
                      <w:iCs w:val="0"/>
                      <w:color w:val="000000" w:themeColor="text1"/>
                      <w:kern w:val="0"/>
                      <w:sz w:val="21"/>
                      <w:szCs w:val="21"/>
                      <w:u w:val="none"/>
                      <w:vertAlign w:val="super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燃料）</w:t>
                  </w:r>
                </w:p>
              </w:tc>
              <w:tc>
                <w:tcPr>
                  <w:tcW w:w="712" w:type="pct"/>
                  <w:noWrap w:val="0"/>
                  <w:vAlign w:val="center"/>
                </w:tcPr>
                <w:p w14:paraId="4AC41222">
                  <w:pPr>
                    <w:keepNext w:val="0"/>
                    <w:keepLines w:val="0"/>
                    <w:widowControl/>
                    <w:suppressLineNumbers w:val="0"/>
                    <w:jc w:val="center"/>
                    <w:textAlignment w:val="center"/>
                    <w:rPr>
                      <w:color w:val="000000" w:themeColor="text1"/>
                      <w:sz w:val="21"/>
                      <w:szCs w:val="21"/>
                      <w:highlight w:val="none"/>
                      <w:lang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0.036 </w:t>
                  </w:r>
                </w:p>
              </w:tc>
              <w:tc>
                <w:tcPr>
                  <w:tcW w:w="717" w:type="pct"/>
                  <w:noWrap w:val="0"/>
                  <w:vAlign w:val="center"/>
                </w:tcPr>
                <w:p w14:paraId="03F2E90E">
                  <w:pPr>
                    <w:keepNext w:val="0"/>
                    <w:keepLines w:val="0"/>
                    <w:widowControl/>
                    <w:suppressLineNumbers w:val="0"/>
                    <w:jc w:val="center"/>
                    <w:textAlignment w:val="center"/>
                    <w:rPr>
                      <w:color w:val="000000" w:themeColor="text1"/>
                      <w:sz w:val="21"/>
                      <w:szCs w:val="21"/>
                      <w:highlight w:val="none"/>
                      <w:lang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0.019 </w:t>
                  </w:r>
                </w:p>
              </w:tc>
            </w:tr>
            <w:tr w14:paraId="61780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trPr>
              <w:tc>
                <w:tcPr>
                  <w:tcW w:w="317" w:type="pct"/>
                  <w:noWrap w:val="0"/>
                  <w:vAlign w:val="center"/>
                </w:tcPr>
                <w:p w14:paraId="55A74C1E">
                  <w:pPr>
                    <w:numPr>
                      <w:ilvl w:val="0"/>
                      <w:numId w:val="15"/>
                    </w:numPr>
                    <w:wordWrap w:val="0"/>
                    <w:topLinePunct/>
                    <w:autoSpaceDE w:val="0"/>
                    <w:autoSpaceDN w:val="0"/>
                    <w:jc w:val="center"/>
                    <w:rPr>
                      <w:color w:val="000000" w:themeColor="text1"/>
                      <w:sz w:val="21"/>
                      <w:szCs w:val="21"/>
                      <w:highlight w:val="none"/>
                      <w14:textFill>
                        <w14:solidFill>
                          <w14:schemeClr w14:val="tx1"/>
                        </w14:solidFill>
                      </w14:textFill>
                    </w:rPr>
                  </w:pPr>
                </w:p>
              </w:tc>
              <w:tc>
                <w:tcPr>
                  <w:tcW w:w="617" w:type="pct"/>
                  <w:vMerge w:val="continue"/>
                  <w:noWrap w:val="0"/>
                  <w:vAlign w:val="center"/>
                </w:tcPr>
                <w:p w14:paraId="63CF8B82">
                  <w:pPr>
                    <w:wordWrap w:val="0"/>
                    <w:topLinePunct/>
                    <w:autoSpaceDE w:val="0"/>
                    <w:autoSpaceDN w:val="0"/>
                    <w:jc w:val="center"/>
                    <w:rPr>
                      <w:color w:val="000000" w:themeColor="text1"/>
                      <w:sz w:val="21"/>
                      <w:szCs w:val="21"/>
                      <w:highlight w:val="none"/>
                      <w14:textFill>
                        <w14:solidFill>
                          <w14:schemeClr w14:val="tx1"/>
                        </w14:solidFill>
                      </w14:textFill>
                    </w:rPr>
                  </w:pPr>
                </w:p>
              </w:tc>
              <w:tc>
                <w:tcPr>
                  <w:tcW w:w="538" w:type="pct"/>
                  <w:vMerge w:val="continue"/>
                  <w:noWrap w:val="0"/>
                  <w:vAlign w:val="center"/>
                </w:tcPr>
                <w:p w14:paraId="1AA2325B">
                  <w:pPr>
                    <w:jc w:val="center"/>
                    <w:rPr>
                      <w:color w:val="000000" w:themeColor="text1"/>
                      <w:sz w:val="21"/>
                      <w:szCs w:val="21"/>
                      <w:highlight w:val="none"/>
                      <w:lang w:bidi="ar"/>
                      <w14:textFill>
                        <w14:solidFill>
                          <w14:schemeClr w14:val="tx1"/>
                        </w14:solidFill>
                      </w14:textFill>
                    </w:rPr>
                  </w:pPr>
                </w:p>
              </w:tc>
              <w:tc>
                <w:tcPr>
                  <w:tcW w:w="606" w:type="pct"/>
                  <w:noWrap w:val="0"/>
                  <w:vAlign w:val="center"/>
                </w:tcPr>
                <w:p w14:paraId="33E28755">
                  <w:pPr>
                    <w:keepNext w:val="0"/>
                    <w:keepLines w:val="0"/>
                    <w:widowControl/>
                    <w:suppressLineNumbers w:val="0"/>
                    <w:jc w:val="center"/>
                    <w:textAlignment w:val="center"/>
                    <w:rPr>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NO</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2</w:t>
                  </w:r>
                </w:p>
              </w:tc>
              <w:tc>
                <w:tcPr>
                  <w:tcW w:w="1490" w:type="pct"/>
                  <w:noWrap w:val="0"/>
                  <w:vAlign w:val="center"/>
                </w:tcPr>
                <w:p w14:paraId="5719A461">
                  <w:pPr>
                    <w:keepNext w:val="0"/>
                    <w:keepLines w:val="0"/>
                    <w:widowControl/>
                    <w:suppressLineNumbers w:val="0"/>
                    <w:jc w:val="center"/>
                    <w:textAlignment w:val="center"/>
                    <w:rPr>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0.00187</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kg/m</w:t>
                  </w:r>
                  <w:r>
                    <w:rPr>
                      <w:rFonts w:hint="default" w:ascii="Times New Roman" w:hAnsi="Times New Roman" w:eastAsia="宋体" w:cs="Times New Roman"/>
                      <w:i w:val="0"/>
                      <w:iCs w:val="0"/>
                      <w:color w:val="000000" w:themeColor="text1"/>
                      <w:kern w:val="0"/>
                      <w:sz w:val="21"/>
                      <w:szCs w:val="21"/>
                      <w:u w:val="none"/>
                      <w:vertAlign w:val="super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燃料）</w:t>
                  </w:r>
                </w:p>
              </w:tc>
              <w:tc>
                <w:tcPr>
                  <w:tcW w:w="712" w:type="pct"/>
                  <w:noWrap w:val="0"/>
                  <w:vAlign w:val="center"/>
                </w:tcPr>
                <w:p w14:paraId="77409FE1">
                  <w:pPr>
                    <w:keepNext w:val="0"/>
                    <w:keepLines w:val="0"/>
                    <w:widowControl/>
                    <w:suppressLineNumbers w:val="0"/>
                    <w:jc w:val="center"/>
                    <w:textAlignment w:val="center"/>
                    <w:rPr>
                      <w:color w:val="000000" w:themeColor="text1"/>
                      <w:sz w:val="21"/>
                      <w:szCs w:val="21"/>
                      <w:highlight w:val="none"/>
                      <w:lang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0.341 </w:t>
                  </w:r>
                </w:p>
              </w:tc>
              <w:tc>
                <w:tcPr>
                  <w:tcW w:w="717" w:type="pct"/>
                  <w:noWrap w:val="0"/>
                  <w:vAlign w:val="center"/>
                </w:tcPr>
                <w:p w14:paraId="330E2703">
                  <w:pPr>
                    <w:keepNext w:val="0"/>
                    <w:keepLines w:val="0"/>
                    <w:widowControl/>
                    <w:suppressLineNumbers w:val="0"/>
                    <w:jc w:val="center"/>
                    <w:textAlignment w:val="center"/>
                    <w:rPr>
                      <w:color w:val="000000" w:themeColor="text1"/>
                      <w:sz w:val="21"/>
                      <w:szCs w:val="21"/>
                      <w:highlight w:val="none"/>
                      <w:lang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0.177 </w:t>
                  </w:r>
                </w:p>
              </w:tc>
            </w:tr>
            <w:tr w14:paraId="14E4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exact"/>
              </w:trPr>
              <w:tc>
                <w:tcPr>
                  <w:tcW w:w="317" w:type="pct"/>
                  <w:noWrap w:val="0"/>
                  <w:vAlign w:val="center"/>
                </w:tcPr>
                <w:p w14:paraId="1E0C229E">
                  <w:pPr>
                    <w:numPr>
                      <w:ilvl w:val="0"/>
                      <w:numId w:val="15"/>
                    </w:numPr>
                    <w:wordWrap w:val="0"/>
                    <w:topLinePunct/>
                    <w:autoSpaceDE w:val="0"/>
                    <w:autoSpaceDN w:val="0"/>
                    <w:jc w:val="center"/>
                    <w:rPr>
                      <w:color w:val="000000" w:themeColor="text1"/>
                      <w:sz w:val="21"/>
                      <w:szCs w:val="21"/>
                      <w:highlight w:val="none"/>
                      <w14:textFill>
                        <w14:solidFill>
                          <w14:schemeClr w14:val="tx1"/>
                        </w14:solidFill>
                      </w14:textFill>
                    </w:rPr>
                  </w:pPr>
                </w:p>
              </w:tc>
              <w:tc>
                <w:tcPr>
                  <w:tcW w:w="617" w:type="pct"/>
                  <w:vMerge w:val="continue"/>
                  <w:noWrap w:val="0"/>
                  <w:vAlign w:val="center"/>
                </w:tcPr>
                <w:p w14:paraId="58FF3706">
                  <w:pPr>
                    <w:wordWrap w:val="0"/>
                    <w:topLinePunct/>
                    <w:autoSpaceDE w:val="0"/>
                    <w:autoSpaceDN w:val="0"/>
                    <w:jc w:val="center"/>
                    <w:rPr>
                      <w:color w:val="000000" w:themeColor="text1"/>
                      <w:sz w:val="21"/>
                      <w:szCs w:val="21"/>
                      <w:highlight w:val="none"/>
                      <w14:textFill>
                        <w14:solidFill>
                          <w14:schemeClr w14:val="tx1"/>
                        </w14:solidFill>
                      </w14:textFill>
                    </w:rPr>
                  </w:pPr>
                </w:p>
              </w:tc>
              <w:tc>
                <w:tcPr>
                  <w:tcW w:w="538" w:type="pct"/>
                  <w:vMerge w:val="continue"/>
                  <w:noWrap w:val="0"/>
                  <w:vAlign w:val="center"/>
                </w:tcPr>
                <w:p w14:paraId="2AC7E96C">
                  <w:pPr>
                    <w:jc w:val="center"/>
                    <w:rPr>
                      <w:color w:val="000000" w:themeColor="text1"/>
                      <w:sz w:val="21"/>
                      <w:szCs w:val="21"/>
                      <w:highlight w:val="none"/>
                      <w:lang w:bidi="ar"/>
                      <w14:textFill>
                        <w14:solidFill>
                          <w14:schemeClr w14:val="tx1"/>
                        </w14:solidFill>
                      </w14:textFill>
                    </w:rPr>
                  </w:pPr>
                </w:p>
              </w:tc>
              <w:tc>
                <w:tcPr>
                  <w:tcW w:w="606" w:type="pct"/>
                  <w:noWrap w:val="0"/>
                  <w:vAlign w:val="center"/>
                </w:tcPr>
                <w:p w14:paraId="2EB0D0C4">
                  <w:pPr>
                    <w:keepNext w:val="0"/>
                    <w:keepLines w:val="0"/>
                    <w:widowControl/>
                    <w:suppressLineNumbers w:val="0"/>
                    <w:jc w:val="center"/>
                    <w:textAlignment w:val="center"/>
                    <w:rPr>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烟尘</w:t>
                  </w:r>
                </w:p>
              </w:tc>
              <w:tc>
                <w:tcPr>
                  <w:tcW w:w="1490" w:type="pct"/>
                  <w:noWrap w:val="0"/>
                  <w:vAlign w:val="center"/>
                </w:tcPr>
                <w:p w14:paraId="6F57B5EC">
                  <w:pPr>
                    <w:keepNext w:val="0"/>
                    <w:keepLines w:val="0"/>
                    <w:widowControl/>
                    <w:suppressLineNumbers w:val="0"/>
                    <w:jc w:val="center"/>
                    <w:textAlignment w:val="center"/>
                    <w:rPr>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0.000286</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kg/m</w:t>
                  </w:r>
                  <w:r>
                    <w:rPr>
                      <w:rFonts w:hint="default" w:ascii="Times New Roman" w:hAnsi="Times New Roman" w:eastAsia="宋体" w:cs="Times New Roman"/>
                      <w:i w:val="0"/>
                      <w:iCs w:val="0"/>
                      <w:color w:val="000000" w:themeColor="text1"/>
                      <w:kern w:val="0"/>
                      <w:sz w:val="21"/>
                      <w:szCs w:val="21"/>
                      <w:u w:val="none"/>
                      <w:vertAlign w:val="super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燃料）</w:t>
                  </w:r>
                </w:p>
              </w:tc>
              <w:tc>
                <w:tcPr>
                  <w:tcW w:w="712" w:type="pct"/>
                  <w:noWrap w:val="0"/>
                  <w:vAlign w:val="center"/>
                </w:tcPr>
                <w:p w14:paraId="5E0F3E27">
                  <w:pPr>
                    <w:keepNext w:val="0"/>
                    <w:keepLines w:val="0"/>
                    <w:widowControl/>
                    <w:suppressLineNumbers w:val="0"/>
                    <w:jc w:val="center"/>
                    <w:textAlignment w:val="center"/>
                    <w:rPr>
                      <w:color w:val="000000" w:themeColor="text1"/>
                      <w:sz w:val="21"/>
                      <w:szCs w:val="21"/>
                      <w:highlight w:val="none"/>
                      <w:lang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0.052 </w:t>
                  </w:r>
                </w:p>
              </w:tc>
              <w:tc>
                <w:tcPr>
                  <w:tcW w:w="717" w:type="pct"/>
                  <w:noWrap w:val="0"/>
                  <w:vAlign w:val="center"/>
                </w:tcPr>
                <w:p w14:paraId="774D00A2">
                  <w:pPr>
                    <w:keepNext w:val="0"/>
                    <w:keepLines w:val="0"/>
                    <w:widowControl/>
                    <w:suppressLineNumbers w:val="0"/>
                    <w:jc w:val="center"/>
                    <w:textAlignment w:val="center"/>
                    <w:rPr>
                      <w:color w:val="000000" w:themeColor="text1"/>
                      <w:sz w:val="21"/>
                      <w:szCs w:val="21"/>
                      <w:highlight w:val="none"/>
                      <w:lang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0.027 </w:t>
                  </w:r>
                </w:p>
              </w:tc>
            </w:tr>
            <w:tr w14:paraId="343D6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exact"/>
              </w:trPr>
              <w:tc>
                <w:tcPr>
                  <w:tcW w:w="5000" w:type="pct"/>
                  <w:gridSpan w:val="7"/>
                  <w:noWrap w:val="0"/>
                  <w:vAlign w:val="center"/>
                </w:tcPr>
                <w:p w14:paraId="25C9A244">
                  <w:pPr>
                    <w:widowControl/>
                    <w:jc w:val="left"/>
                    <w:textAlignment w:val="center"/>
                    <w:rPr>
                      <w:color w:val="000000" w:themeColor="text1"/>
                      <w:sz w:val="21"/>
                      <w:szCs w:val="21"/>
                      <w:highlight w:val="none"/>
                      <w:lang w:bidi="ar"/>
                      <w14:textFill>
                        <w14:solidFill>
                          <w14:schemeClr w14:val="tx1"/>
                        </w14:solidFill>
                      </w14:textFill>
                    </w:rPr>
                  </w:pPr>
                  <w:r>
                    <w:rPr>
                      <w:color w:val="000000" w:themeColor="text1"/>
                      <w:sz w:val="21"/>
                      <w:szCs w:val="21"/>
                      <w:highlight w:val="none"/>
                      <w14:textFill>
                        <w14:solidFill>
                          <w14:schemeClr w14:val="tx1"/>
                        </w14:solidFill>
                      </w14:textFill>
                    </w:rPr>
                    <w:t>注：</w:t>
                  </w:r>
                  <w:r>
                    <w:rPr>
                      <w:rFonts w:hint="eastAsia" w:ascii="宋体" w:hAnsi="宋体" w:cs="宋体"/>
                      <w:color w:val="000000" w:themeColor="text1"/>
                      <w:sz w:val="21"/>
                      <w:szCs w:val="21"/>
                      <w:highlight w:val="none"/>
                      <w14:textFill>
                        <w14:solidFill>
                          <w14:schemeClr w14:val="tx1"/>
                        </w14:solidFill>
                      </w14:textFill>
                    </w:rPr>
                    <w:t>①</w:t>
                  </w:r>
                  <w:r>
                    <w:rPr>
                      <w:color w:val="000000" w:themeColor="text1"/>
                      <w:sz w:val="21"/>
                      <w:szCs w:val="21"/>
                      <w:highlight w:val="none"/>
                      <w14:textFill>
                        <w14:solidFill>
                          <w14:schemeClr w14:val="tx1"/>
                        </w14:solidFill>
                      </w14:textFill>
                    </w:rPr>
                    <w:t>SO</w:t>
                  </w:r>
                  <w:r>
                    <w:rPr>
                      <w:color w:val="000000" w:themeColor="text1"/>
                      <w:sz w:val="21"/>
                      <w:szCs w:val="21"/>
                      <w:highlight w:val="none"/>
                      <w:vertAlign w:val="subscript"/>
                      <w14:textFill>
                        <w14:solidFill>
                          <w14:schemeClr w14:val="tx1"/>
                        </w14:solidFill>
                      </w14:textFill>
                    </w:rPr>
                    <w:t>2</w:t>
                  </w:r>
                  <w:r>
                    <w:rPr>
                      <w:color w:val="000000" w:themeColor="text1"/>
                      <w:sz w:val="21"/>
                      <w:szCs w:val="21"/>
                      <w:highlight w:val="none"/>
                      <w14:textFill>
                        <w14:solidFill>
                          <w14:schemeClr w14:val="tx1"/>
                        </w14:solidFill>
                      </w14:textFill>
                    </w:rPr>
                    <w:t>的产生系数为0.000002S，其中S为燃料中的含硫量，根据《天然气》（GB17820-2018）中的二类标准含S量最高不超100mg/m</w:t>
                  </w:r>
                  <w:r>
                    <w:rPr>
                      <w:color w:val="000000" w:themeColor="text1"/>
                      <w:sz w:val="21"/>
                      <w:szCs w:val="21"/>
                      <w:highlight w:val="none"/>
                      <w:vertAlign w:val="superscript"/>
                      <w14:textFill>
                        <w14:solidFill>
                          <w14:schemeClr w14:val="tx1"/>
                        </w14:solidFill>
                      </w14:textFill>
                    </w:rPr>
                    <w:t>3</w:t>
                  </w:r>
                  <w:r>
                    <w:rPr>
                      <w:color w:val="000000" w:themeColor="text1"/>
                      <w:sz w:val="21"/>
                      <w:szCs w:val="21"/>
                      <w:highlight w:val="none"/>
                      <w14:textFill>
                        <w14:solidFill>
                          <w14:schemeClr w14:val="tx1"/>
                        </w14:solidFill>
                      </w14:textFill>
                    </w:rPr>
                    <w:t>计算，即S取100；</w:t>
                  </w:r>
                </w:p>
              </w:tc>
            </w:tr>
          </w:tbl>
          <w:p w14:paraId="261C5929">
            <w:pPr>
              <w:keepNext w:val="0"/>
              <w:keepLines w:val="0"/>
              <w:pageBreakBefore w:val="0"/>
              <w:widowControl w:val="0"/>
              <w:kinsoku/>
              <w:wordWrap/>
              <w:overflowPunct/>
              <w:topLinePunct w:val="0"/>
              <w:autoSpaceDE/>
              <w:autoSpaceDN/>
              <w:bidi w:val="0"/>
              <w:adjustRightInd/>
              <w:snapToGrid/>
              <w:spacing w:line="100" w:lineRule="exact"/>
              <w:ind w:firstLine="482" w:firstLineChars="200"/>
              <w:jc w:val="both"/>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p>
          <w:p w14:paraId="3616BE8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固化工序</w:t>
            </w:r>
            <w:r>
              <w:rPr>
                <w:rFonts w:hint="default" w:ascii="Times New Roman" w:hAnsi="Times New Roman" w:cs="Times New Roman"/>
                <w:color w:val="000000" w:themeColor="text1"/>
                <w:sz w:val="24"/>
                <w:highlight w:val="none"/>
                <w14:textFill>
                  <w14:solidFill>
                    <w14:schemeClr w14:val="tx1"/>
                  </w14:solidFill>
                </w14:textFill>
              </w:rPr>
              <w:t>燃烧机燃烧天然气产生的热烟气，经</w:t>
            </w:r>
            <w:r>
              <w:rPr>
                <w:rFonts w:hint="eastAsia" w:cs="Times New Roman"/>
                <w:color w:val="000000" w:themeColor="text1"/>
                <w:sz w:val="24"/>
                <w:highlight w:val="none"/>
                <w:lang w:val="en-US" w:eastAsia="zh-CN"/>
                <w14:textFill>
                  <w14:solidFill>
                    <w14:schemeClr w14:val="tx1"/>
                  </w14:solidFill>
                </w14:textFill>
              </w:rPr>
              <w:t>固化</w:t>
            </w:r>
            <w:r>
              <w:rPr>
                <w:rFonts w:hint="default" w:ascii="Times New Roman" w:hAnsi="Times New Roman" w:cs="Times New Roman"/>
                <w:color w:val="000000" w:themeColor="text1"/>
                <w:sz w:val="24"/>
                <w:highlight w:val="none"/>
                <w14:textFill>
                  <w14:solidFill>
                    <w14:schemeClr w14:val="tx1"/>
                  </w14:solidFill>
                </w14:textFill>
              </w:rPr>
              <w:t>通道首尾两端设置的集气罩收集，与</w:t>
            </w:r>
            <w:r>
              <w:rPr>
                <w:rFonts w:hint="eastAsia" w:cs="Times New Roman"/>
                <w:color w:val="000000" w:themeColor="text1"/>
                <w:sz w:val="24"/>
                <w:highlight w:val="none"/>
                <w:lang w:val="en-US" w:eastAsia="zh-CN"/>
                <w14:textFill>
                  <w14:solidFill>
                    <w14:schemeClr w14:val="tx1"/>
                  </w14:solidFill>
                </w14:textFill>
              </w:rPr>
              <w:t>固化</w:t>
            </w:r>
            <w:r>
              <w:rPr>
                <w:rFonts w:hint="default" w:ascii="Times New Roman" w:hAnsi="Times New Roman" w:cs="Times New Roman"/>
                <w:color w:val="000000" w:themeColor="text1"/>
                <w:sz w:val="24"/>
                <w:highlight w:val="none"/>
                <w14:textFill>
                  <w14:solidFill>
                    <w14:schemeClr w14:val="tx1"/>
                  </w14:solidFill>
                </w14:textFill>
              </w:rPr>
              <w:t>通道设置的直连排风管一并引至15m高排气筒</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DA00</w:t>
            </w:r>
            <w:r>
              <w:rPr>
                <w:rFonts w:hint="default" w:ascii="Times New Roman" w:hAnsi="Times New Roman" w:cs="Times New Roman"/>
                <w:color w:val="000000" w:themeColor="text1"/>
                <w:sz w:val="24"/>
                <w:highlight w:val="none"/>
                <w:lang w:val="en-US" w:eastAsia="zh-CN"/>
                <w14:textFill>
                  <w14:solidFill>
                    <w14:schemeClr w14:val="tx1"/>
                  </w14:solidFill>
                </w14:textFill>
              </w:rPr>
              <w:t>2</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高空排放。</w:t>
            </w:r>
          </w:p>
          <w:p w14:paraId="66BEC51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根据建设项目提供环保工程资料，</w:t>
            </w:r>
            <w:r>
              <w:rPr>
                <w:rFonts w:hint="eastAsia" w:cs="Times New Roman"/>
                <w:color w:val="000000" w:themeColor="text1"/>
                <w:sz w:val="24"/>
                <w:highlight w:val="none"/>
                <w:lang w:val="en-US" w:eastAsia="zh-CN"/>
                <w14:textFill>
                  <w14:solidFill>
                    <w14:schemeClr w14:val="tx1"/>
                  </w14:solidFill>
                </w14:textFill>
              </w:rPr>
              <w:t>固化</w:t>
            </w:r>
            <w:r>
              <w:rPr>
                <w:rFonts w:hint="default" w:ascii="Times New Roman" w:hAnsi="Times New Roman" w:cs="Times New Roman"/>
                <w:color w:val="000000" w:themeColor="text1"/>
                <w:sz w:val="24"/>
                <w:highlight w:val="none"/>
                <w:lang w:val="en-US" w:eastAsia="zh-CN"/>
                <w14:textFill>
                  <w14:solidFill>
                    <w14:schemeClr w14:val="tx1"/>
                  </w14:solidFill>
                </w14:textFill>
              </w:rPr>
              <w:t>通道</w:t>
            </w:r>
            <w:r>
              <w:rPr>
                <w:rFonts w:hint="default" w:ascii="Times New Roman" w:hAnsi="Times New Roman" w:cs="Times New Roman"/>
                <w:color w:val="000000" w:themeColor="text1"/>
                <w:sz w:val="24"/>
                <w:highlight w:val="none"/>
                <w14:textFill>
                  <w14:solidFill>
                    <w14:schemeClr w14:val="tx1"/>
                  </w14:solidFill>
                </w14:textFill>
              </w:rPr>
              <w:t>集气罩尺寸配置及风量计算如下表所示。</w:t>
            </w:r>
          </w:p>
          <w:p w14:paraId="38943203">
            <w:pPr>
              <w:keepNext w:val="0"/>
              <w:keepLines w:val="0"/>
              <w:widowControl/>
              <w:numPr>
                <w:ilvl w:val="0"/>
                <w:numId w:val="0"/>
              </w:numPr>
              <w:suppressLineNumbers w:val="0"/>
              <w:tabs>
                <w:tab w:val="left" w:pos="0"/>
              </w:tabs>
              <w:spacing w:before="0" w:beforeAutospacing="0" w:after="0" w:afterAutospacing="0" w:line="240" w:lineRule="auto"/>
              <w:ind w:left="0" w:leftChars="0" w:right="0" w:rightChars="0" w:firstLine="40" w:firstLineChars="0"/>
              <w:jc w:val="center"/>
              <w:rPr>
                <w:rFonts w:hint="default" w:ascii="Times New Roman" w:hAnsi="Times New Roman" w:eastAsia="宋体" w:cs="Times New Roman"/>
                <w:b/>
                <w:bCs/>
                <w:color w:val="000000" w:themeColor="text1"/>
                <w:sz w:val="21"/>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
                <w14:textFill>
                  <w14:solidFill>
                    <w14:schemeClr w14:val="tx1"/>
                  </w14:solidFill>
                </w14:textFill>
              </w:rPr>
              <w:t>表4-1</w:t>
            </w:r>
            <w:r>
              <w:rPr>
                <w:rFonts w:hint="eastAsia" w:cs="Times New Roman"/>
                <w:b/>
                <w:bCs/>
                <w:color w:val="000000" w:themeColor="text1"/>
                <w:kern w:val="2"/>
                <w:sz w:val="21"/>
                <w:szCs w:val="21"/>
                <w:lang w:val="en-US" w:eastAsia="zh-CN" w:bidi="ar"/>
                <w14:textFill>
                  <w14:solidFill>
                    <w14:schemeClr w14:val="tx1"/>
                  </w14:solidFill>
                </w14:textFill>
              </w:rPr>
              <w:t>1</w:t>
            </w:r>
            <w:r>
              <w:rPr>
                <w:rFonts w:hint="default" w:ascii="Times New Roman" w:hAnsi="Times New Roman" w:eastAsia="宋体" w:cs="Times New Roman"/>
                <w:b/>
                <w:bCs/>
                <w:color w:val="000000" w:themeColor="text1"/>
                <w:sz w:val="21"/>
                <w:szCs w:val="21"/>
                <w:highlight w:val="none"/>
                <w:lang w:val="en-US" w:eastAsia="zh-CN" w:bidi="ar"/>
                <w14:textFill>
                  <w14:solidFill>
                    <w14:schemeClr w14:val="tx1"/>
                  </w14:solidFill>
                </w14:textFill>
              </w:rPr>
              <w:t>天然气燃烧</w:t>
            </w:r>
            <w:r>
              <w:rPr>
                <w:rFonts w:hint="default" w:ascii="Times New Roman" w:hAnsi="Times New Roman" w:eastAsia="宋体" w:cs="Times New Roman"/>
                <w:b/>
                <w:bCs/>
                <w:color w:val="000000" w:themeColor="text1"/>
                <w:sz w:val="21"/>
                <w:szCs w:val="21"/>
                <w:highlight w:val="none"/>
                <w:lang w:bidi="ar"/>
                <w14:textFill>
                  <w14:solidFill>
                    <w14:schemeClr w14:val="tx1"/>
                  </w14:solidFill>
                </w14:textFill>
              </w:rPr>
              <w:t>废气集气罩风量一览表</w:t>
            </w:r>
          </w:p>
          <w:tbl>
            <w:tblPr>
              <w:tblStyle w:val="44"/>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12"/>
              <w:gridCol w:w="694"/>
              <w:gridCol w:w="657"/>
              <w:gridCol w:w="700"/>
              <w:gridCol w:w="669"/>
              <w:gridCol w:w="905"/>
              <w:gridCol w:w="880"/>
              <w:gridCol w:w="877"/>
              <w:gridCol w:w="674"/>
              <w:gridCol w:w="1131"/>
            </w:tblGrid>
            <w:tr w14:paraId="367BD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22" w:type="pct"/>
                  <w:vMerge w:val="restart"/>
                  <w:tcBorders>
                    <w:top w:val="single" w:color="000000" w:sz="4" w:space="0"/>
                    <w:left w:val="single" w:color="000000" w:sz="4" w:space="0"/>
                    <w:bottom w:val="single" w:color="000000" w:sz="4" w:space="0"/>
                    <w:right w:val="single" w:color="000000" w:sz="4" w:space="0"/>
                  </w:tcBorders>
                  <w:noWrap w:val="0"/>
                  <w:vAlign w:val="center"/>
                </w:tcPr>
                <w:p w14:paraId="751840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产污类别</w:t>
                  </w:r>
                </w:p>
              </w:tc>
              <w:tc>
                <w:tcPr>
                  <w:tcW w:w="413" w:type="pct"/>
                  <w:vMerge w:val="restart"/>
                  <w:tcBorders>
                    <w:top w:val="single" w:color="000000" w:sz="4" w:space="0"/>
                    <w:left w:val="single" w:color="000000" w:sz="4" w:space="0"/>
                    <w:bottom w:val="single" w:color="000000" w:sz="4" w:space="0"/>
                    <w:right w:val="single" w:color="000000" w:sz="4" w:space="0"/>
                  </w:tcBorders>
                  <w:noWrap w:val="0"/>
                  <w:vAlign w:val="center"/>
                </w:tcPr>
                <w:p w14:paraId="13400F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产污设备</w:t>
                  </w:r>
                </w:p>
              </w:tc>
              <w:tc>
                <w:tcPr>
                  <w:tcW w:w="391" w:type="pct"/>
                  <w:vMerge w:val="restart"/>
                  <w:tcBorders>
                    <w:top w:val="single" w:color="000000" w:sz="4" w:space="0"/>
                    <w:left w:val="single" w:color="000000" w:sz="4" w:space="0"/>
                    <w:bottom w:val="single" w:color="000000" w:sz="4" w:space="0"/>
                    <w:right w:val="single" w:color="000000" w:sz="4" w:space="0"/>
                  </w:tcBorders>
                  <w:noWrap w:val="0"/>
                  <w:vAlign w:val="center"/>
                </w:tcPr>
                <w:p w14:paraId="7CC850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设备数量</w:t>
                  </w:r>
                </w:p>
              </w:tc>
              <w:tc>
                <w:tcPr>
                  <w:tcW w:w="1878" w:type="pct"/>
                  <w:gridSpan w:val="4"/>
                  <w:tcBorders>
                    <w:top w:val="single" w:color="000000" w:sz="4" w:space="0"/>
                    <w:left w:val="single" w:color="000000" w:sz="4" w:space="0"/>
                    <w:bottom w:val="single" w:color="000000" w:sz="4" w:space="0"/>
                    <w:right w:val="single" w:color="000000" w:sz="4" w:space="0"/>
                  </w:tcBorders>
                  <w:noWrap w:val="0"/>
                  <w:vAlign w:val="center"/>
                </w:tcPr>
                <w:p w14:paraId="08D8A6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集气罩参数</w:t>
                  </w:r>
                </w:p>
              </w:tc>
              <w:tc>
                <w:tcPr>
                  <w:tcW w:w="522" w:type="pct"/>
                  <w:vMerge w:val="restart"/>
                  <w:tcBorders>
                    <w:top w:val="single" w:color="000000" w:sz="4" w:space="0"/>
                    <w:left w:val="single" w:color="000000" w:sz="4" w:space="0"/>
                    <w:bottom w:val="single" w:color="000000" w:sz="4" w:space="0"/>
                    <w:right w:val="single" w:color="000000" w:sz="4" w:space="0"/>
                  </w:tcBorders>
                  <w:noWrap w:val="0"/>
                  <w:vAlign w:val="center"/>
                </w:tcPr>
                <w:p w14:paraId="07E7EF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单个集气罩风量m</w:t>
                  </w:r>
                  <w:r>
                    <w:rPr>
                      <w:rFonts w:hint="default" w:ascii="Times New Roman" w:hAnsi="Times New Roman" w:eastAsia="宋体" w:cs="Times New Roman"/>
                      <w:b/>
                      <w:bCs/>
                      <w:i w:val="0"/>
                      <w:iCs w:val="0"/>
                      <w:color w:val="000000" w:themeColor="text1"/>
                      <w:kern w:val="0"/>
                      <w:sz w:val="21"/>
                      <w:szCs w:val="21"/>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/h</w:t>
                  </w:r>
                </w:p>
              </w:tc>
              <w:tc>
                <w:tcPr>
                  <w:tcW w:w="401" w:type="pct"/>
                  <w:vMerge w:val="restart"/>
                  <w:tcBorders>
                    <w:top w:val="single" w:color="000000" w:sz="4" w:space="0"/>
                    <w:left w:val="single" w:color="000000" w:sz="4" w:space="0"/>
                    <w:bottom w:val="single" w:color="000000" w:sz="4" w:space="0"/>
                    <w:right w:val="single" w:color="000000" w:sz="4" w:space="0"/>
                  </w:tcBorders>
                  <w:noWrap w:val="0"/>
                  <w:vAlign w:val="center"/>
                </w:tcPr>
                <w:p w14:paraId="121342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总集气罩数量</w:t>
                  </w:r>
                </w:p>
              </w:tc>
              <w:tc>
                <w:tcPr>
                  <w:tcW w:w="670" w:type="pct"/>
                  <w:vMerge w:val="restart"/>
                  <w:tcBorders>
                    <w:top w:val="single" w:color="000000" w:sz="4" w:space="0"/>
                    <w:left w:val="single" w:color="000000" w:sz="4" w:space="0"/>
                    <w:bottom w:val="single" w:color="000000" w:sz="4" w:space="0"/>
                    <w:right w:val="single" w:color="000000" w:sz="4" w:space="0"/>
                  </w:tcBorders>
                  <w:noWrap w:val="0"/>
                  <w:vAlign w:val="center"/>
                </w:tcPr>
                <w:p w14:paraId="6076AF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集气罩计算总风量m</w:t>
                  </w:r>
                  <w:r>
                    <w:rPr>
                      <w:rFonts w:hint="default" w:ascii="Times New Roman" w:hAnsi="Times New Roman" w:eastAsia="宋体" w:cs="Times New Roman"/>
                      <w:b/>
                      <w:bCs/>
                      <w:i w:val="0"/>
                      <w:iCs w:val="0"/>
                      <w:color w:val="000000" w:themeColor="text1"/>
                      <w:kern w:val="0"/>
                      <w:sz w:val="21"/>
                      <w:szCs w:val="21"/>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/h</w:t>
                  </w:r>
                </w:p>
              </w:tc>
            </w:tr>
            <w:tr w14:paraId="0F1DE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D4C83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p>
              </w:tc>
              <w:tc>
                <w:tcPr>
                  <w:tcW w:w="413" w:type="pct"/>
                  <w:vMerge w:val="continue"/>
                  <w:tcBorders>
                    <w:top w:val="single" w:color="000000" w:sz="4" w:space="0"/>
                    <w:left w:val="single" w:color="000000" w:sz="4" w:space="0"/>
                    <w:bottom w:val="single" w:color="000000" w:sz="4" w:space="0"/>
                    <w:right w:val="single" w:color="000000" w:sz="4" w:space="0"/>
                  </w:tcBorders>
                  <w:noWrap w:val="0"/>
                  <w:vAlign w:val="center"/>
                </w:tcPr>
                <w:p w14:paraId="0E48B5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p>
              </w:tc>
              <w:tc>
                <w:tcPr>
                  <w:tcW w:w="391" w:type="pct"/>
                  <w:vMerge w:val="continue"/>
                  <w:tcBorders>
                    <w:top w:val="single" w:color="000000" w:sz="4" w:space="0"/>
                    <w:left w:val="single" w:color="000000" w:sz="4" w:space="0"/>
                    <w:bottom w:val="single" w:color="000000" w:sz="4" w:space="0"/>
                    <w:right w:val="single" w:color="000000" w:sz="4" w:space="0"/>
                  </w:tcBorders>
                  <w:noWrap w:val="0"/>
                  <w:vAlign w:val="center"/>
                </w:tcPr>
                <w:p w14:paraId="578111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p>
              </w:tc>
              <w:tc>
                <w:tcPr>
                  <w:tcW w:w="417" w:type="pct"/>
                  <w:tcBorders>
                    <w:top w:val="single" w:color="000000" w:sz="4" w:space="0"/>
                    <w:left w:val="single" w:color="000000" w:sz="4" w:space="0"/>
                    <w:bottom w:val="single" w:color="000000" w:sz="4" w:space="0"/>
                    <w:right w:val="single" w:color="000000" w:sz="4" w:space="0"/>
                  </w:tcBorders>
                  <w:noWrap w:val="0"/>
                  <w:vAlign w:val="center"/>
                </w:tcPr>
                <w:p w14:paraId="03229B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长度m</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029267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宽度m</w:t>
                  </w:r>
                </w:p>
              </w:tc>
              <w:tc>
                <w:tcPr>
                  <w:tcW w:w="539" w:type="pct"/>
                  <w:tcBorders>
                    <w:top w:val="single" w:color="000000" w:sz="4" w:space="0"/>
                    <w:left w:val="single" w:color="000000" w:sz="4" w:space="0"/>
                    <w:bottom w:val="single" w:color="000000" w:sz="4" w:space="0"/>
                    <w:right w:val="single" w:color="000000" w:sz="4" w:space="0"/>
                  </w:tcBorders>
                  <w:noWrap w:val="0"/>
                  <w:vAlign w:val="center"/>
                </w:tcPr>
                <w:p w14:paraId="3044A3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至罩口距离m</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244C51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控制风速m/s</w:t>
                  </w:r>
                </w:p>
              </w:tc>
              <w:tc>
                <w:tcPr>
                  <w:tcW w:w="52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01FF8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p>
              </w:tc>
              <w:tc>
                <w:tcPr>
                  <w:tcW w:w="401"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2A73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p>
              </w:tc>
              <w:tc>
                <w:tcPr>
                  <w:tcW w:w="670" w:type="pct"/>
                  <w:vMerge w:val="continue"/>
                  <w:tcBorders>
                    <w:top w:val="single" w:color="000000" w:sz="4" w:space="0"/>
                    <w:left w:val="single" w:color="000000" w:sz="4" w:space="0"/>
                    <w:bottom w:val="single" w:color="000000" w:sz="4" w:space="0"/>
                    <w:right w:val="single" w:color="000000" w:sz="4" w:space="0"/>
                  </w:tcBorders>
                  <w:noWrap w:val="0"/>
                  <w:vAlign w:val="center"/>
                </w:tcPr>
                <w:p w14:paraId="4719E4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p>
              </w:tc>
            </w:tr>
            <w:tr w14:paraId="1A622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22" w:type="pct"/>
                  <w:tcBorders>
                    <w:top w:val="single" w:color="000000" w:sz="4" w:space="0"/>
                    <w:left w:val="single" w:color="000000" w:sz="4" w:space="0"/>
                    <w:bottom w:val="single" w:color="000000" w:sz="4" w:space="0"/>
                    <w:right w:val="single" w:color="000000" w:sz="4" w:space="0"/>
                  </w:tcBorders>
                  <w:noWrap w:val="0"/>
                  <w:vAlign w:val="center"/>
                </w:tcPr>
                <w:p w14:paraId="4EE83C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天然气燃烧废气（</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DA002</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413" w:type="pct"/>
                  <w:tcBorders>
                    <w:top w:val="single" w:color="000000" w:sz="4" w:space="0"/>
                    <w:left w:val="single" w:color="000000" w:sz="4" w:space="0"/>
                    <w:bottom w:val="single" w:color="000000" w:sz="4" w:space="0"/>
                    <w:right w:val="single" w:color="000000" w:sz="4" w:space="0"/>
                  </w:tcBorders>
                  <w:noWrap/>
                  <w:vAlign w:val="center"/>
                </w:tcPr>
                <w:p w14:paraId="1E4EBC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固化炉</w:t>
                  </w:r>
                </w:p>
              </w:tc>
              <w:tc>
                <w:tcPr>
                  <w:tcW w:w="391" w:type="pct"/>
                  <w:tcBorders>
                    <w:top w:val="single" w:color="000000" w:sz="4" w:space="0"/>
                    <w:left w:val="single" w:color="000000" w:sz="4" w:space="0"/>
                    <w:bottom w:val="single" w:color="000000" w:sz="4" w:space="0"/>
                    <w:right w:val="single" w:color="000000" w:sz="4" w:space="0"/>
                  </w:tcBorders>
                  <w:noWrap/>
                  <w:vAlign w:val="center"/>
                </w:tcPr>
                <w:p w14:paraId="490FF57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417" w:type="pct"/>
                  <w:tcBorders>
                    <w:top w:val="single" w:color="000000" w:sz="4" w:space="0"/>
                    <w:left w:val="single" w:color="000000" w:sz="4" w:space="0"/>
                    <w:bottom w:val="single" w:color="000000" w:sz="4" w:space="0"/>
                    <w:right w:val="single" w:color="000000" w:sz="4" w:space="0"/>
                  </w:tcBorders>
                  <w:noWrap/>
                  <w:vAlign w:val="center"/>
                </w:tcPr>
                <w:p w14:paraId="62CA369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428E388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539" w:type="pct"/>
                  <w:tcBorders>
                    <w:top w:val="single" w:color="000000" w:sz="4" w:space="0"/>
                    <w:left w:val="single" w:color="000000" w:sz="4" w:space="0"/>
                    <w:bottom w:val="single" w:color="000000" w:sz="4" w:space="0"/>
                    <w:right w:val="single" w:color="000000" w:sz="4" w:space="0"/>
                  </w:tcBorders>
                  <w:noWrap/>
                  <w:vAlign w:val="center"/>
                </w:tcPr>
                <w:p w14:paraId="61BB303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w:t>
                  </w:r>
                </w:p>
              </w:tc>
              <w:tc>
                <w:tcPr>
                  <w:tcW w:w="522" w:type="pct"/>
                  <w:tcBorders>
                    <w:top w:val="single" w:color="000000" w:sz="4" w:space="0"/>
                    <w:left w:val="single" w:color="000000" w:sz="4" w:space="0"/>
                    <w:bottom w:val="single" w:color="000000" w:sz="4" w:space="0"/>
                    <w:right w:val="single" w:color="000000" w:sz="4" w:space="0"/>
                  </w:tcBorders>
                  <w:noWrap/>
                  <w:vAlign w:val="center"/>
                </w:tcPr>
                <w:p w14:paraId="1462077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w:t>
                  </w:r>
                </w:p>
              </w:tc>
              <w:tc>
                <w:tcPr>
                  <w:tcW w:w="522" w:type="pct"/>
                  <w:tcBorders>
                    <w:top w:val="single" w:color="000000" w:sz="4" w:space="0"/>
                    <w:left w:val="single" w:color="000000" w:sz="4" w:space="0"/>
                    <w:bottom w:val="single" w:color="000000" w:sz="4" w:space="0"/>
                    <w:right w:val="single" w:color="000000" w:sz="4" w:space="0"/>
                  </w:tcBorders>
                  <w:noWrap/>
                  <w:vAlign w:val="center"/>
                </w:tcPr>
                <w:p w14:paraId="46762A4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4536</w:t>
                  </w:r>
                </w:p>
              </w:tc>
              <w:tc>
                <w:tcPr>
                  <w:tcW w:w="401" w:type="pct"/>
                  <w:tcBorders>
                    <w:top w:val="single" w:color="000000" w:sz="4" w:space="0"/>
                    <w:left w:val="single" w:color="000000" w:sz="4" w:space="0"/>
                    <w:bottom w:val="single" w:color="000000" w:sz="4" w:space="0"/>
                    <w:right w:val="single" w:color="000000" w:sz="4" w:space="0"/>
                  </w:tcBorders>
                  <w:noWrap/>
                  <w:vAlign w:val="center"/>
                </w:tcPr>
                <w:p w14:paraId="550F6FF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w:t>
                  </w:r>
                </w:p>
              </w:tc>
              <w:tc>
                <w:tcPr>
                  <w:tcW w:w="670" w:type="pct"/>
                  <w:tcBorders>
                    <w:top w:val="single" w:color="000000" w:sz="4" w:space="0"/>
                    <w:left w:val="single" w:color="000000" w:sz="4" w:space="0"/>
                    <w:bottom w:val="single" w:color="000000" w:sz="4" w:space="0"/>
                    <w:right w:val="single" w:color="000000" w:sz="4" w:space="0"/>
                  </w:tcBorders>
                  <w:noWrap/>
                  <w:vAlign w:val="center"/>
                </w:tcPr>
                <w:p w14:paraId="46DC7C8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36288</w:t>
                  </w:r>
                </w:p>
              </w:tc>
            </w:tr>
            <w:tr w14:paraId="07EAD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5000" w:type="pct"/>
                  <w:gridSpan w:val="10"/>
                  <w:tcBorders>
                    <w:top w:val="single" w:color="000000" w:sz="4" w:space="0"/>
                    <w:left w:val="single" w:color="000000" w:sz="4" w:space="0"/>
                    <w:bottom w:val="single" w:color="000000" w:sz="4" w:space="0"/>
                    <w:right w:val="single" w:color="000000" w:sz="4" w:space="0"/>
                  </w:tcBorders>
                  <w:noWrap w:val="0"/>
                  <w:vAlign w:val="center"/>
                </w:tcPr>
                <w:p w14:paraId="54CD76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注：在</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固化</w:t>
                  </w: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通道两端各设置1只集气罩。</w:t>
                  </w:r>
                </w:p>
                <w:p w14:paraId="4E315C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Style w:val="159"/>
                      <w:rFonts w:hint="default" w:ascii="Times New Roman" w:hAnsi="Times New Roman" w:cs="Times New Roman"/>
                      <w:color w:val="000000" w:themeColor="text1"/>
                      <w:sz w:val="21"/>
                      <w:szCs w:val="21"/>
                      <w:highlight w:val="none"/>
                      <w14:textFill>
                        <w14:solidFill>
                          <w14:schemeClr w14:val="tx1"/>
                        </w14:solidFill>
                      </w14:textFill>
                    </w:rPr>
                  </w:pPr>
                  <w:r>
                    <w:rPr>
                      <w:rStyle w:val="159"/>
                      <w:rFonts w:hint="default" w:ascii="Times New Roman" w:hAnsi="Times New Roman" w:cs="Times New Roman"/>
                      <w:color w:val="000000" w:themeColor="text1"/>
                      <w:sz w:val="21"/>
                      <w:szCs w:val="21"/>
                      <w:highlight w:val="none"/>
                      <w14:textFill>
                        <w14:solidFill>
                          <w14:schemeClr w14:val="tx1"/>
                        </w14:solidFill>
                      </w14:textFill>
                    </w:rPr>
                    <w:t>依据《简明通风设计手册》[主编：孙一坚（湖南大学），中国建筑工业出版社出版]，上吸式集气罩的排风量计算公式为：</w:t>
                  </w:r>
                </w:p>
                <w:p w14:paraId="20F1D6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30" w:firstLineChars="30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Q=</w:t>
                  </w:r>
                  <w:r>
                    <w:rPr>
                      <w:rFonts w:hint="default" w:ascii="Times New Roman" w:hAnsi="Times New Roman" w:cs="Times New Roman"/>
                      <w:color w:val="000000" w:themeColor="text1"/>
                      <w:sz w:val="21"/>
                      <w:szCs w:val="21"/>
                      <w:highlight w:val="none"/>
                      <w14:textFill>
                        <w14:solidFill>
                          <w14:schemeClr w14:val="tx1"/>
                        </w14:solidFill>
                      </w14:textFill>
                    </w:rPr>
                    <w:t>K×P×H×</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υ</w:t>
                  </w:r>
                  <w:r>
                    <w:rPr>
                      <w:rStyle w:val="49"/>
                      <w:rFonts w:hint="default" w:ascii="Times New Roman" w:hAnsi="Times New Roman" w:eastAsia="宋体" w:cs="Times New Roman"/>
                      <w:i w:val="0"/>
                      <w:iCs w:val="0"/>
                      <w:caps w:val="0"/>
                      <w:color w:val="000000" w:themeColor="text1"/>
                      <w:spacing w:val="0"/>
                      <w:sz w:val="21"/>
                      <w:szCs w:val="21"/>
                      <w:shd w:val="clear" w:color="auto" w:fill="FFFFFF"/>
                      <w:vertAlign w:val="subscript"/>
                      <w14:textFill>
                        <w14:solidFill>
                          <w14:schemeClr w14:val="tx1"/>
                        </w14:solidFill>
                      </w14:textFill>
                    </w:rPr>
                    <w:t>x</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×3600</w:t>
                  </w:r>
                </w:p>
                <w:p w14:paraId="206E80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Style w:val="159"/>
                      <w:rFonts w:hint="default" w:ascii="Times New Roman" w:hAnsi="Times New Roman" w:cs="Times New Roman"/>
                      <w:color w:val="000000" w:themeColor="text1"/>
                      <w:sz w:val="21"/>
                      <w:szCs w:val="21"/>
                      <w:highlight w:val="none"/>
                      <w14:textFill>
                        <w14:solidFill>
                          <w14:schemeClr w14:val="tx1"/>
                        </w14:solidFill>
                      </w14:textFill>
                    </w:rPr>
                  </w:pPr>
                  <w:r>
                    <w:rPr>
                      <w:rStyle w:val="159"/>
                      <w:rFonts w:hint="default" w:ascii="Times New Roman" w:hAnsi="Times New Roman" w:cs="Times New Roman"/>
                      <w:color w:val="000000" w:themeColor="text1"/>
                      <w:sz w:val="21"/>
                      <w:szCs w:val="21"/>
                      <w:highlight w:val="none"/>
                      <w14:textFill>
                        <w14:solidFill>
                          <w14:schemeClr w14:val="tx1"/>
                        </w14:solidFill>
                      </w14:textFill>
                    </w:rPr>
                    <w:t>式中：</w:t>
                  </w:r>
                </w:p>
                <w:p w14:paraId="0B1A51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Style w:val="159"/>
                      <w:rFonts w:hint="default" w:ascii="Times New Roman" w:hAnsi="Times New Roman" w:cs="Times New Roman"/>
                      <w:color w:val="000000" w:themeColor="text1"/>
                      <w:sz w:val="21"/>
                      <w:szCs w:val="21"/>
                      <w:highlight w:val="none"/>
                      <w14:textFill>
                        <w14:solidFill>
                          <w14:schemeClr w14:val="tx1"/>
                        </w14:solidFill>
                      </w14:textFill>
                    </w:rPr>
                  </w:pPr>
                  <w:r>
                    <w:rPr>
                      <w:rStyle w:val="162"/>
                      <w:rFonts w:hint="default" w:ascii="Times New Roman" w:hAnsi="Times New Roman" w:cs="Times New Roman"/>
                      <w:color w:val="000000" w:themeColor="text1"/>
                      <w:sz w:val="21"/>
                      <w:szCs w:val="21"/>
                      <w:highlight w:val="none"/>
                      <w14:textFill>
                        <w14:solidFill>
                          <w14:schemeClr w14:val="tx1"/>
                        </w14:solidFill>
                      </w14:textFill>
                    </w:rPr>
                    <w:t>Q</w:t>
                  </w:r>
                  <w:r>
                    <w:rPr>
                      <w:rStyle w:val="159"/>
                      <w:rFonts w:hint="default" w:ascii="Times New Roman" w:hAnsi="Times New Roman" w:cs="Times New Roman"/>
                      <w:color w:val="000000" w:themeColor="text1"/>
                      <w:sz w:val="21"/>
                      <w:szCs w:val="21"/>
                      <w:highlight w:val="none"/>
                      <w14:textFill>
                        <w14:solidFill>
                          <w14:schemeClr w14:val="tx1"/>
                        </w14:solidFill>
                      </w14:textFill>
                    </w:rPr>
                    <w:t>：集气罩排风量，</w:t>
                  </w:r>
                  <w:r>
                    <w:rPr>
                      <w:rStyle w:val="162"/>
                      <w:rFonts w:hint="default" w:ascii="Times New Roman" w:hAnsi="Times New Roman" w:cs="Times New Roman"/>
                      <w:color w:val="000000" w:themeColor="text1"/>
                      <w:sz w:val="21"/>
                      <w:szCs w:val="21"/>
                      <w:highlight w:val="none"/>
                      <w14:textFill>
                        <w14:solidFill>
                          <w14:schemeClr w14:val="tx1"/>
                        </w14:solidFill>
                      </w14:textFill>
                    </w:rPr>
                    <w:t>m</w:t>
                  </w:r>
                  <w:r>
                    <w:rPr>
                      <w:rStyle w:val="162"/>
                      <w:rFonts w:hint="default" w:ascii="Times New Roman" w:hAnsi="Times New Roman" w:cs="Times New Roman"/>
                      <w:color w:val="000000" w:themeColor="text1"/>
                      <w:sz w:val="21"/>
                      <w:szCs w:val="21"/>
                      <w:highlight w:val="none"/>
                      <w:vertAlign w:val="superscript"/>
                      <w14:textFill>
                        <w14:solidFill>
                          <w14:schemeClr w14:val="tx1"/>
                        </w14:solidFill>
                      </w14:textFill>
                    </w:rPr>
                    <w:t>3</w:t>
                  </w:r>
                  <w:r>
                    <w:rPr>
                      <w:rStyle w:val="162"/>
                      <w:rFonts w:hint="default" w:ascii="Times New Roman" w:hAnsi="Times New Roman" w:cs="Times New Roman"/>
                      <w:color w:val="000000" w:themeColor="text1"/>
                      <w:sz w:val="21"/>
                      <w:szCs w:val="21"/>
                      <w:highlight w:val="none"/>
                      <w14:textFill>
                        <w14:solidFill>
                          <w14:schemeClr w14:val="tx1"/>
                        </w14:solidFill>
                      </w14:textFill>
                    </w:rPr>
                    <w:t>/h</w:t>
                  </w:r>
                  <w:r>
                    <w:rPr>
                      <w:rStyle w:val="159"/>
                      <w:rFonts w:hint="default" w:ascii="Times New Roman" w:hAnsi="Times New Roman" w:cs="Times New Roman"/>
                      <w:color w:val="000000" w:themeColor="text1"/>
                      <w:sz w:val="21"/>
                      <w:szCs w:val="21"/>
                      <w:highlight w:val="none"/>
                      <w14:textFill>
                        <w14:solidFill>
                          <w14:schemeClr w14:val="tx1"/>
                        </w14:solidFill>
                      </w14:textFill>
                    </w:rPr>
                    <w:t>；</w:t>
                  </w:r>
                </w:p>
                <w:p w14:paraId="65B288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K：考虑沿高度分布不均匀的安全系数，通常取1.4；</w:t>
                  </w:r>
                </w:p>
                <w:p w14:paraId="574981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P：集气罩的周长，m；P=2（a+b），a和b分别为集气罩罩口的长宽尺寸，应确保集气罩罩口的长宽大于废气发生源的长宽，a和b可按照废气发生源长宽的110%～120%进行设计。</w:t>
                  </w:r>
                </w:p>
                <w:p w14:paraId="7BBE3B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H：控制点（废气发生源）至罩口的距离，m；</w:t>
                  </w:r>
                  <w:r>
                    <w:rPr>
                      <w:rFonts w:hint="default" w:ascii="Times New Roman" w:hAnsi="Times New Roman" w:eastAsia="宋体" w:cs="Times New Roman"/>
                      <w:color w:val="000000" w:themeColor="text1"/>
                      <w:sz w:val="21"/>
                      <w:szCs w:val="21"/>
                      <w:highlight w:val="none"/>
                      <w14:textFill>
                        <w14:solidFill>
                          <w14:schemeClr w14:val="tx1"/>
                        </w14:solidFill>
                      </w14:textFill>
                    </w:rPr>
                    <w:t>为确保集气罩对废气有较高的收集效率，H应尽可能小于集气罩长边0.3倍，</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即</w:t>
                  </w:r>
                  <w:r>
                    <w:rPr>
                      <w:rFonts w:hint="default" w:ascii="Times New Roman" w:hAnsi="Times New Roman" w:eastAsia="宋体" w:cs="Times New Roman"/>
                      <w:color w:val="000000" w:themeColor="text1"/>
                      <w:sz w:val="21"/>
                      <w:szCs w:val="21"/>
                      <w:highlight w:val="none"/>
                      <w14:textFill>
                        <w14:solidFill>
                          <w14:schemeClr w14:val="tx1"/>
                        </w14:solidFill>
                      </w14:textFill>
                    </w:rPr>
                    <w:t>H≤0.3a。</w:t>
                  </w:r>
                </w:p>
                <w:p w14:paraId="28E640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Style w:val="159"/>
                      <w:rFonts w:hint="default" w:ascii="Times New Roman" w:hAnsi="Times New Roman" w:cs="Times New Roman"/>
                      <w:color w:val="000000" w:themeColor="text1"/>
                      <w:sz w:val="21"/>
                      <w:szCs w:val="21"/>
                      <w:highlight w:val="none"/>
                      <w14:textFill>
                        <w14:solidFill>
                          <w14:schemeClr w14:val="tx1"/>
                        </w14:solidFill>
                      </w14:textFill>
                    </w:rPr>
                  </w:pPr>
                  <w:r>
                    <w:rPr>
                      <w:rStyle w:val="162"/>
                      <w:rFonts w:hint="default" w:ascii="Times New Roman" w:hAnsi="Times New Roman" w:cs="Times New Roman"/>
                      <w:color w:val="000000" w:themeColor="text1"/>
                      <w:sz w:val="21"/>
                      <w:szCs w:val="21"/>
                      <w:highlight w:val="none"/>
                      <w14:textFill>
                        <w14:solidFill>
                          <w14:schemeClr w14:val="tx1"/>
                        </w14:solidFill>
                      </w14:textFill>
                    </w:rPr>
                    <w:t>V</w:t>
                  </w:r>
                  <w:r>
                    <w:rPr>
                      <w:rStyle w:val="162"/>
                      <w:rFonts w:hint="default" w:ascii="Times New Roman" w:hAnsi="Times New Roman" w:cs="Times New Roman"/>
                      <w:color w:val="000000" w:themeColor="text1"/>
                      <w:sz w:val="21"/>
                      <w:szCs w:val="21"/>
                      <w:highlight w:val="none"/>
                      <w:vertAlign w:val="subscript"/>
                      <w14:textFill>
                        <w14:solidFill>
                          <w14:schemeClr w14:val="tx1"/>
                        </w14:solidFill>
                      </w14:textFill>
                    </w:rPr>
                    <w:t>x</w:t>
                  </w:r>
                  <w:r>
                    <w:rPr>
                      <w:rStyle w:val="159"/>
                      <w:rFonts w:hint="default" w:ascii="Times New Roman" w:hAnsi="Times New Roman" w:cs="Times New Roman"/>
                      <w:color w:val="000000" w:themeColor="text1"/>
                      <w:sz w:val="21"/>
                      <w:szCs w:val="21"/>
                      <w:highlight w:val="none"/>
                      <w14:textFill>
                        <w14:solidFill>
                          <w14:schemeClr w14:val="tx1"/>
                        </w14:solidFill>
                      </w14:textFill>
                    </w:rPr>
                    <w:t>：控制风速，m/s；本项目取0.</w:t>
                  </w:r>
                  <w:r>
                    <w:rPr>
                      <w:rStyle w:val="159"/>
                      <w:rFonts w:hint="default" w:ascii="Times New Roman" w:hAnsi="Times New Roman" w:cs="Times New Roman"/>
                      <w:color w:val="000000" w:themeColor="text1"/>
                      <w:sz w:val="21"/>
                      <w:szCs w:val="21"/>
                      <w:highlight w:val="none"/>
                      <w:lang w:val="en-US" w:eastAsia="zh-CN"/>
                      <w14:textFill>
                        <w14:solidFill>
                          <w14:schemeClr w14:val="tx1"/>
                        </w14:solidFill>
                      </w14:textFill>
                    </w:rPr>
                    <w:t>5</w:t>
                  </w:r>
                  <w:r>
                    <w:rPr>
                      <w:rStyle w:val="159"/>
                      <w:rFonts w:hint="default" w:ascii="Times New Roman" w:hAnsi="Times New Roman" w:cs="Times New Roman"/>
                      <w:color w:val="000000" w:themeColor="text1"/>
                      <w:sz w:val="21"/>
                      <w:szCs w:val="21"/>
                      <w:highlight w:val="none"/>
                      <w14:textFill>
                        <w14:solidFill>
                          <w14:schemeClr w14:val="tx1"/>
                        </w14:solidFill>
                      </w14:textFill>
                    </w:rPr>
                    <w:t>m/s</w:t>
                  </w:r>
                </w:p>
                <w:p w14:paraId="27606B32">
                  <w:pPr>
                    <w:pStyle w:val="2"/>
                    <w:ind w:firstLine="420" w:firstLineChars="200"/>
                    <w:rPr>
                      <w:rFonts w:hint="default" w:eastAsia="宋体....."/>
                      <w:color w:val="000000" w:themeColor="text1"/>
                      <w:lang w:val="en-US" w:eastAsia="zh-CN"/>
                      <w14:textFill>
                        <w14:solidFill>
                          <w14:schemeClr w14:val="tx1"/>
                        </w14:solidFill>
                      </w14:textFill>
                    </w:rPr>
                  </w:pPr>
                  <w:r>
                    <w:rPr>
                      <w:rStyle w:val="159"/>
                      <w:rFonts w:hint="eastAsia" w:ascii="Times New Roman" w:cs="Times New Roman"/>
                      <w:color w:val="000000" w:themeColor="text1"/>
                      <w:sz w:val="21"/>
                      <w:szCs w:val="21"/>
                      <w:highlight w:val="none"/>
                      <w:lang w:val="en-US" w:eastAsia="zh-CN"/>
                      <w14:textFill>
                        <w14:solidFill>
                          <w14:schemeClr w14:val="tx1"/>
                        </w14:solidFill>
                      </w14:textFill>
                    </w:rPr>
                    <w:t>每个固化通道设置固化炉2个。</w:t>
                  </w:r>
                </w:p>
              </w:tc>
            </w:tr>
          </w:tbl>
          <w:p w14:paraId="4AFCE5A3">
            <w:pPr>
              <w:keepNext w:val="0"/>
              <w:keepLines w:val="0"/>
              <w:widowControl/>
              <w:numPr>
                <w:ilvl w:val="0"/>
                <w:numId w:val="0"/>
              </w:numPr>
              <w:suppressLineNumbers w:val="0"/>
              <w:tabs>
                <w:tab w:val="left" w:pos="0"/>
              </w:tabs>
              <w:spacing w:before="0" w:beforeAutospacing="0" w:after="0" w:afterAutospacing="0" w:line="240" w:lineRule="auto"/>
              <w:ind w:left="40" w:leftChars="0" w:right="0" w:rightChars="0"/>
              <w:jc w:val="both"/>
              <w:rPr>
                <w:rFonts w:hint="default" w:ascii="Times New Roman" w:hAnsi="Times New Roman" w:eastAsia="宋体" w:cs="Times New Roman"/>
                <w:b/>
                <w:bCs/>
                <w:color w:val="000000" w:themeColor="text1"/>
                <w:sz w:val="21"/>
                <w:szCs w:val="21"/>
                <w:highlight w:val="none"/>
                <w:lang w:bidi="ar"/>
                <w14:textFill>
                  <w14:solidFill>
                    <w14:schemeClr w14:val="tx1"/>
                  </w14:solidFill>
                </w14:textFill>
              </w:rPr>
            </w:pPr>
          </w:p>
          <w:p w14:paraId="3487BF42">
            <w:pPr>
              <w:keepNext w:val="0"/>
              <w:keepLines w:val="0"/>
              <w:pageBreakBefore w:val="0"/>
              <w:widowControl w:val="0"/>
              <w:kinsoku/>
              <w:wordWrap/>
              <w:overflowPunct/>
              <w:topLinePunct w:val="0"/>
              <w:autoSpaceDE/>
              <w:autoSpaceDN/>
              <w:bidi w:val="0"/>
              <w:adjustRightInd/>
              <w:snapToGrid/>
              <w:spacing w:line="100" w:lineRule="exact"/>
              <w:ind w:firstLine="482" w:firstLineChars="200"/>
              <w:jc w:val="both"/>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p>
          <w:p w14:paraId="72BD0D4F">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lang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固化</w:t>
            </w:r>
            <w:r>
              <w:rPr>
                <w:rFonts w:hint="default" w:ascii="Times New Roman" w:hAnsi="Times New Roman" w:cs="Times New Roman"/>
                <w:color w:val="000000" w:themeColor="text1"/>
                <w:sz w:val="24"/>
                <w:szCs w:val="24"/>
                <w:highlight w:val="none"/>
                <w14:textFill>
                  <w14:solidFill>
                    <w14:schemeClr w14:val="tx1"/>
                  </w14:solidFill>
                </w14:textFill>
              </w:rPr>
              <w:t>通道设置的</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1条</w:t>
            </w:r>
            <w:r>
              <w:rPr>
                <w:rFonts w:hint="default" w:ascii="Times New Roman" w:hAnsi="Times New Roman" w:cs="Times New Roman"/>
                <w:color w:val="000000" w:themeColor="text1"/>
                <w:sz w:val="24"/>
                <w:szCs w:val="24"/>
                <w:highlight w:val="none"/>
                <w14:textFill>
                  <w14:solidFill>
                    <w14:schemeClr w14:val="tx1"/>
                  </w14:solidFill>
                </w14:textFill>
              </w:rPr>
              <w:t>直连排风管</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eastAsia="zh-CN"/>
                <w14:textFill>
                  <w14:solidFill>
                    <w14:schemeClr w14:val="tx1"/>
                  </w14:solidFill>
                </w14:textFill>
              </w:rPr>
              <w:t>参考《环境工程设计手册》中圆形分管的风量计算公式：</w:t>
            </w:r>
          </w:p>
          <w:p w14:paraId="36D28089">
            <w:pPr>
              <w:keepNext w:val="0"/>
              <w:keepLines w:val="0"/>
              <w:suppressLineNumbers w:val="0"/>
              <w:spacing w:before="0" w:beforeAutospacing="0" w:after="0" w:afterAutospacing="0" w:line="240" w:lineRule="auto"/>
              <w:ind w:left="420" w:leftChars="200" w:right="0"/>
              <w:jc w:val="center"/>
              <w:rPr>
                <w:rFonts w:hint="default" w:ascii="Times New Roman" w:hAnsi="Times New Roman" w:cs="Times New Roman"/>
                <w:color w:val="000000" w:themeColor="text1"/>
                <w:sz w:val="24"/>
                <w:szCs w:val="24"/>
                <w:highlight w:val="none"/>
                <w:lang w:eastAsia="zh-CN"/>
                <w14:textFill>
                  <w14:solidFill>
                    <w14:schemeClr w14:val="tx1"/>
                  </w14:solidFill>
                </w14:textFill>
              </w:rPr>
            </w:pPr>
            <w:r>
              <w:rPr>
                <w:rFonts w:hint="default" w:ascii="Times New Roman" w:hAnsi="Times New Roman" w:cs="Times New Roman"/>
                <w:color w:val="000000" w:themeColor="text1"/>
                <w:position w:val="-24"/>
                <w:sz w:val="24"/>
                <w:szCs w:val="24"/>
                <w:highlight w:val="none"/>
                <w14:textFill>
                  <w14:solidFill>
                    <w14:schemeClr w14:val="tx1"/>
                  </w14:solidFill>
                </w14:textFill>
              </w:rPr>
              <w:object>
                <v:shape id="_x0000_i1027" o:spt="75" type="#_x0000_t75" style="height:31pt;width:80pt;" o:ole="t" filled="f" o:preferrelative="t" stroked="f" coordsize="21600,21600">
                  <v:path/>
                  <v:fill on="f" focussize="0,0"/>
                  <v:stroke on="f"/>
                  <v:imagedata r:id="rId26" o:title=""/>
                  <o:lock v:ext="edit" aspectratio="t"/>
                  <w10:wrap type="none"/>
                  <w10:anchorlock/>
                </v:shape>
                <o:OLEObject Type="Embed" ProgID="Equation.KSEE3" ShapeID="_x0000_i1027" DrawAspect="Content" ObjectID="_1468075727" r:id="rId25">
                  <o:LockedField>false</o:LockedField>
                </o:OLEObject>
              </w:object>
            </w:r>
          </w:p>
          <w:p w14:paraId="7A140F50">
            <w:pPr>
              <w:keepNext w:val="0"/>
              <w:keepLines w:val="0"/>
              <w:suppressLineNumbers w:val="0"/>
              <w:spacing w:before="0" w:beforeAutospacing="0" w:after="0" w:afterAutospacing="0" w:line="360" w:lineRule="auto"/>
              <w:ind w:left="420" w:leftChars="200" w:right="0"/>
              <w:rPr>
                <w:rFonts w:hint="default" w:ascii="Times New Roman" w:hAnsi="Times New Roman" w:cs="Times New Roman"/>
                <w:color w:val="000000" w:themeColor="text1"/>
                <w:sz w:val="24"/>
                <w:szCs w:val="24"/>
                <w:highlight w:val="none"/>
                <w:lang w:eastAsia="zh-CN"/>
                <w14:textFill>
                  <w14:solidFill>
                    <w14:schemeClr w14:val="tx1"/>
                  </w14:solidFill>
                </w14:textFill>
              </w:rPr>
            </w:pPr>
            <w:r>
              <w:rPr>
                <w:rFonts w:hint="default" w:ascii="Times New Roman" w:hAnsi="Times New Roman" w:cs="Times New Roman"/>
                <w:color w:val="000000" w:themeColor="text1"/>
                <w:sz w:val="24"/>
                <w:szCs w:val="24"/>
                <w:highlight w:val="none"/>
                <w:lang w:eastAsia="zh-CN"/>
                <w14:textFill>
                  <w14:solidFill>
                    <w14:schemeClr w14:val="tx1"/>
                  </w14:solidFill>
                </w14:textFill>
              </w:rPr>
              <w:t>式中：</w:t>
            </w:r>
          </w:p>
          <w:p w14:paraId="784D1183">
            <w:pPr>
              <w:keepNext w:val="0"/>
              <w:keepLines w:val="0"/>
              <w:suppressLineNumbers w:val="0"/>
              <w:spacing w:before="0" w:beforeAutospacing="0" w:after="0" w:afterAutospacing="0" w:line="360" w:lineRule="auto"/>
              <w:ind w:left="420" w:leftChars="200" w:right="0"/>
              <w:rPr>
                <w:rFonts w:hint="default" w:ascii="Times New Roman" w:hAnsi="Times New Roman" w:cs="Times New Roman"/>
                <w:color w:val="000000" w:themeColor="text1"/>
                <w:sz w:val="24"/>
                <w:szCs w:val="24"/>
                <w:highlight w:val="none"/>
                <w:lang w:eastAsia="zh-CN"/>
                <w14:textFill>
                  <w14:solidFill>
                    <w14:schemeClr w14:val="tx1"/>
                  </w14:solidFill>
                </w14:textFill>
              </w:rPr>
            </w:pPr>
            <w:r>
              <w:rPr>
                <w:rFonts w:hint="default" w:ascii="Times New Roman" w:hAnsi="Times New Roman" w:cs="Times New Roman"/>
                <w:color w:val="000000" w:themeColor="text1"/>
                <w:sz w:val="24"/>
                <w:szCs w:val="24"/>
                <w:highlight w:val="none"/>
                <w:lang w:eastAsia="zh-CN"/>
                <w14:textFill>
                  <w14:solidFill>
                    <w14:schemeClr w14:val="tx1"/>
                  </w14:solidFill>
                </w14:textFill>
              </w:rPr>
              <w:t>L---集气罩排风量，m</w:t>
            </w:r>
            <w:r>
              <w:rPr>
                <w:rFonts w:hint="default" w:ascii="Times New Roman" w:hAnsi="Times New Roman" w:cs="Times New Roman"/>
                <w:color w:val="000000" w:themeColor="text1"/>
                <w:sz w:val="24"/>
                <w:szCs w:val="24"/>
                <w:highlight w:val="none"/>
                <w:vertAlign w:val="superscript"/>
                <w:lang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eastAsia="zh-CN"/>
                <w14:textFill>
                  <w14:solidFill>
                    <w14:schemeClr w14:val="tx1"/>
                  </w14:solidFill>
                </w14:textFill>
              </w:rPr>
              <w:t>/h；</w:t>
            </w:r>
          </w:p>
          <w:p w14:paraId="075257A2">
            <w:pPr>
              <w:keepNext w:val="0"/>
              <w:keepLines w:val="0"/>
              <w:suppressLineNumbers w:val="0"/>
              <w:spacing w:before="0" w:beforeAutospacing="0" w:after="0" w:afterAutospacing="0" w:line="360" w:lineRule="auto"/>
              <w:ind w:left="420" w:leftChars="200" w:right="0"/>
              <w:rPr>
                <w:rFonts w:hint="default" w:ascii="Times New Roman" w:hAnsi="Times New Roman" w:cs="Times New Roman"/>
                <w:color w:val="000000" w:themeColor="text1"/>
                <w:sz w:val="24"/>
                <w:szCs w:val="24"/>
                <w:highlight w:val="none"/>
                <w:lang w:eastAsia="zh-CN"/>
                <w14:textFill>
                  <w14:solidFill>
                    <w14:schemeClr w14:val="tx1"/>
                  </w14:solidFill>
                </w14:textFill>
              </w:rPr>
            </w:pPr>
            <w:r>
              <w:rPr>
                <w:rFonts w:hint="default" w:ascii="Times New Roman" w:hAnsi="Times New Roman" w:cs="Times New Roman"/>
                <w:color w:val="000000" w:themeColor="text1"/>
                <w:sz w:val="24"/>
                <w:szCs w:val="24"/>
                <w:highlight w:val="none"/>
                <w:lang w:eastAsia="zh-CN"/>
                <w14:textFill>
                  <w14:solidFill>
                    <w14:schemeClr w14:val="tx1"/>
                  </w14:solidFill>
                </w14:textFill>
              </w:rPr>
              <w:t>D---分管直径，m，</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本项目分管直径取0.15m</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p>
          <w:p w14:paraId="62A7F1A1">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lang w:eastAsia="zh-CN"/>
                <w14:textFill>
                  <w14:solidFill>
                    <w14:schemeClr w14:val="tx1"/>
                  </w14:solidFill>
                </w14:textFill>
              </w:rPr>
            </w:pPr>
            <w:r>
              <w:rPr>
                <w:rFonts w:hint="default" w:ascii="Times New Roman" w:hAnsi="Times New Roman" w:cs="Times New Roman"/>
                <w:color w:val="000000" w:themeColor="text1"/>
                <w:sz w:val="24"/>
                <w:szCs w:val="24"/>
                <w:highlight w:val="none"/>
                <w:lang w:eastAsia="zh-CN"/>
                <w14:textFill>
                  <w14:solidFill>
                    <w14:schemeClr w14:val="tx1"/>
                  </w14:solidFill>
                </w14:textFill>
              </w:rPr>
              <w:t>V---断面平均风速，m/s，根据《简明通风设计手册》中表6-10一般通风系统风管内的风速，项目采用钢板及塑料风管，项目干管采用风速为14m/s，本项目断面平均风速取</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14</w:t>
            </w:r>
            <w:r>
              <w:rPr>
                <w:rFonts w:hint="default" w:ascii="Times New Roman" w:hAnsi="Times New Roman" w:cs="Times New Roman"/>
                <w:color w:val="000000" w:themeColor="text1"/>
                <w:sz w:val="24"/>
                <w:szCs w:val="24"/>
                <w:highlight w:val="none"/>
                <w:lang w:eastAsia="zh-CN"/>
                <w14:textFill>
                  <w14:solidFill>
                    <w14:schemeClr w14:val="tx1"/>
                  </w14:solidFill>
                </w14:textFill>
              </w:rPr>
              <w:t>m/s。</w:t>
            </w:r>
          </w:p>
          <w:p w14:paraId="116972C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 w:val="0"/>
                <w:bCs w:val="0"/>
                <w:color w:val="000000" w:themeColor="text1"/>
                <w:sz w:val="24"/>
                <w:szCs w:val="24"/>
                <w:highlight w:val="none"/>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单条直连排风管风量=3600s×3.14÷4×0.15</w:t>
            </w:r>
            <w:r>
              <w:rPr>
                <w:rFonts w:hint="default" w:ascii="Times New Roman" w:hAnsi="Times New Roman" w:cs="Times New Roman"/>
                <w:b w:val="0"/>
                <w:bCs w:val="0"/>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cs="Times New Roman"/>
                <w:b w:val="0"/>
                <w:bCs w:val="0"/>
                <w:color w:val="000000" w:themeColor="text1"/>
                <w:sz w:val="24"/>
                <w:szCs w:val="24"/>
                <w:highlight w:val="none"/>
                <w:vertAlign w:val="baseline"/>
                <w:lang w:val="en-US" w:eastAsia="zh-CN"/>
                <w14:textFill>
                  <w14:solidFill>
                    <w14:schemeClr w14:val="tx1"/>
                  </w14:solidFill>
                </w14:textFill>
              </w:rPr>
              <w:t>m</w:t>
            </w:r>
            <w:r>
              <w:rPr>
                <w:rFonts w:hint="default" w:ascii="Times New Roman" w:hAnsi="Times New Roman" w:cs="Times New Roman"/>
                <w:b w:val="0"/>
                <w:bCs w:val="0"/>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cs="Times New Roman"/>
                <w:b w:val="0"/>
                <w:bCs w:val="0"/>
                <w:color w:val="000000" w:themeColor="text1"/>
                <w:sz w:val="24"/>
                <w:szCs w:val="24"/>
                <w:highlight w:val="none"/>
                <w:vertAlign w:val="baseline"/>
                <w:lang w:val="en-US" w:eastAsia="zh-CN"/>
                <w14:textFill>
                  <w14:solidFill>
                    <w14:schemeClr w14:val="tx1"/>
                  </w14:solidFill>
                </w14:textFill>
              </w:rPr>
              <w:t>×14m/s=890.2m</w:t>
            </w:r>
            <w:r>
              <w:rPr>
                <w:rFonts w:hint="default" w:ascii="Times New Roman" w:hAnsi="Times New Roman" w:cs="Times New Roman"/>
                <w:b w:val="0"/>
                <w:bCs w:val="0"/>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b w:val="0"/>
                <w:bCs w:val="0"/>
                <w:color w:val="000000" w:themeColor="text1"/>
                <w:sz w:val="24"/>
                <w:szCs w:val="24"/>
                <w:highlight w:val="none"/>
                <w:vertAlign w:val="baseline"/>
                <w:lang w:val="en-US" w:eastAsia="zh-CN"/>
                <w14:textFill>
                  <w14:solidFill>
                    <w14:schemeClr w14:val="tx1"/>
                  </w14:solidFill>
                </w14:textFill>
              </w:rPr>
              <w:t>/h</w:t>
            </w:r>
          </w:p>
          <w:p w14:paraId="0E1F0376">
            <w:pPr>
              <w:keepNext w:val="0"/>
              <w:keepLines w:val="0"/>
              <w:suppressLineNumbers w:val="0"/>
              <w:spacing w:before="0" w:beforeAutospacing="0" w:after="0" w:afterAutospacing="0" w:line="360" w:lineRule="auto"/>
              <w:ind w:left="420" w:leftChars="200" w:right="0"/>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本项目天然气燃烧废气收集风量统计如下表所示。</w:t>
            </w:r>
          </w:p>
          <w:p w14:paraId="32DFC56B">
            <w:pPr>
              <w:keepNext w:val="0"/>
              <w:keepLines w:val="0"/>
              <w:widowControl/>
              <w:numPr>
                <w:ilvl w:val="0"/>
                <w:numId w:val="0"/>
              </w:numPr>
              <w:suppressLineNumbers w:val="0"/>
              <w:tabs>
                <w:tab w:val="left" w:pos="0"/>
              </w:tabs>
              <w:spacing w:before="0" w:beforeAutospacing="0" w:after="0" w:afterAutospacing="0" w:line="240" w:lineRule="auto"/>
              <w:ind w:left="0" w:leftChars="0" w:right="0" w:rightChars="0" w:firstLine="40" w:firstLineChars="0"/>
              <w:jc w:val="center"/>
              <w:rPr>
                <w:rFonts w:hint="default" w:ascii="Times New Roman" w:hAnsi="Times New Roman" w:eastAsia="宋体" w:cs="Times New Roman"/>
                <w:b/>
                <w:bCs/>
                <w:color w:val="000000" w:themeColor="text1"/>
                <w:sz w:val="21"/>
                <w:szCs w:val="21"/>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
                <w14:textFill>
                  <w14:solidFill>
                    <w14:schemeClr w14:val="tx1"/>
                  </w14:solidFill>
                </w14:textFill>
              </w:rPr>
              <w:t>表4-1</w:t>
            </w:r>
            <w:r>
              <w:rPr>
                <w:rFonts w:hint="eastAsia" w:cs="Times New Roman"/>
                <w:b/>
                <w:bCs/>
                <w:color w:val="000000" w:themeColor="text1"/>
                <w:kern w:val="2"/>
                <w:sz w:val="21"/>
                <w:szCs w:val="21"/>
                <w:lang w:val="en-US" w:eastAsia="zh-CN" w:bidi="ar"/>
                <w14:textFill>
                  <w14:solidFill>
                    <w14:schemeClr w14:val="tx1"/>
                  </w14:solidFill>
                </w14:textFill>
              </w:rPr>
              <w:t>2</w:t>
            </w:r>
            <w:r>
              <w:rPr>
                <w:rFonts w:hint="eastAsia" w:cs="Times New Roman"/>
                <w:b/>
                <w:bCs/>
                <w:color w:val="000000" w:themeColor="text1"/>
                <w:sz w:val="21"/>
                <w:szCs w:val="21"/>
                <w:highlight w:val="none"/>
                <w:lang w:val="en-US" w:eastAsia="zh-CN" w:bidi="ar"/>
                <w14:textFill>
                  <w14:solidFill>
                    <w14:schemeClr w14:val="tx1"/>
                  </w14:solidFill>
                </w14:textFill>
              </w:rPr>
              <w:t>固化</w:t>
            </w:r>
            <w:r>
              <w:rPr>
                <w:rFonts w:hint="default" w:ascii="Times New Roman" w:hAnsi="Times New Roman" w:eastAsia="宋体" w:cs="Times New Roman"/>
                <w:b/>
                <w:bCs/>
                <w:color w:val="000000" w:themeColor="text1"/>
                <w:sz w:val="21"/>
                <w:szCs w:val="21"/>
                <w:highlight w:val="none"/>
                <w:lang w:val="en-US" w:eastAsia="zh-CN" w:bidi="ar"/>
                <w14:textFill>
                  <w14:solidFill>
                    <w14:schemeClr w14:val="tx1"/>
                  </w14:solidFill>
                </w14:textFill>
              </w:rPr>
              <w:t>通道天然气燃烧废气合计收集风量一览表</w:t>
            </w:r>
          </w:p>
          <w:tbl>
            <w:tblPr>
              <w:tblStyle w:val="44"/>
              <w:tblW w:w="84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82"/>
              <w:gridCol w:w="2407"/>
              <w:gridCol w:w="1796"/>
              <w:gridCol w:w="2116"/>
            </w:tblGrid>
            <w:tr w14:paraId="7814D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082" w:type="dxa"/>
                  <w:tcBorders>
                    <w:top w:val="single" w:color="000000" w:sz="4" w:space="0"/>
                    <w:left w:val="single" w:color="000000" w:sz="4" w:space="0"/>
                    <w:bottom w:val="single" w:color="000000" w:sz="4" w:space="0"/>
                    <w:right w:val="single" w:color="000000" w:sz="4" w:space="0"/>
                  </w:tcBorders>
                  <w:noWrap w:val="0"/>
                  <w:vAlign w:val="center"/>
                </w:tcPr>
                <w:p w14:paraId="255367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产污类别</w:t>
                  </w:r>
                </w:p>
              </w:tc>
              <w:tc>
                <w:tcPr>
                  <w:tcW w:w="2407" w:type="dxa"/>
                  <w:tcBorders>
                    <w:top w:val="single" w:color="000000" w:sz="4" w:space="0"/>
                    <w:left w:val="single" w:color="000000" w:sz="4" w:space="0"/>
                    <w:bottom w:val="single" w:color="000000" w:sz="4" w:space="0"/>
                    <w:right w:val="single" w:color="000000" w:sz="4" w:space="0"/>
                  </w:tcBorders>
                  <w:noWrap w:val="0"/>
                  <w:vAlign w:val="center"/>
                </w:tcPr>
                <w:p w14:paraId="71CCD6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产污设备</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76B423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集气方式</w:t>
                  </w:r>
                </w:p>
              </w:tc>
              <w:tc>
                <w:tcPr>
                  <w:tcW w:w="2116" w:type="dxa"/>
                  <w:tcBorders>
                    <w:top w:val="single" w:color="000000" w:sz="4" w:space="0"/>
                    <w:left w:val="single" w:color="000000" w:sz="4" w:space="0"/>
                    <w:bottom w:val="single" w:color="000000" w:sz="4" w:space="0"/>
                    <w:right w:val="single" w:color="000000" w:sz="4" w:space="0"/>
                  </w:tcBorders>
                  <w:noWrap w:val="0"/>
                  <w:vAlign w:val="center"/>
                </w:tcPr>
                <w:p w14:paraId="2C9E9D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计算风量（m</w:t>
                  </w:r>
                  <w:r>
                    <w:rPr>
                      <w:rFonts w:hint="default" w:ascii="Times New Roman" w:hAnsi="Times New Roman" w:eastAsia="宋体" w:cs="Times New Roman"/>
                      <w:b/>
                      <w:bCs/>
                      <w:i w:val="0"/>
                      <w:iCs w:val="0"/>
                      <w:color w:val="000000" w:themeColor="text1"/>
                      <w:kern w:val="0"/>
                      <w:sz w:val="21"/>
                      <w:szCs w:val="21"/>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/h）</w:t>
                  </w:r>
                </w:p>
              </w:tc>
            </w:tr>
            <w:tr w14:paraId="2A7AC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082" w:type="dxa"/>
                  <w:vMerge w:val="restart"/>
                  <w:tcBorders>
                    <w:top w:val="single" w:color="000000" w:sz="4" w:space="0"/>
                    <w:left w:val="single" w:color="000000" w:sz="4" w:space="0"/>
                    <w:bottom w:val="single" w:color="000000" w:sz="4" w:space="0"/>
                    <w:right w:val="single" w:color="000000" w:sz="4" w:space="0"/>
                  </w:tcBorders>
                  <w:noWrap w:val="0"/>
                  <w:vAlign w:val="center"/>
                </w:tcPr>
                <w:p w14:paraId="20A86816">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天然气燃烧废气</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DA002</w:t>
                  </w:r>
                </w:p>
              </w:tc>
              <w:tc>
                <w:tcPr>
                  <w:tcW w:w="2407" w:type="dxa"/>
                  <w:tcBorders>
                    <w:top w:val="single" w:color="000000" w:sz="4" w:space="0"/>
                    <w:left w:val="single" w:color="000000" w:sz="4" w:space="0"/>
                    <w:bottom w:val="single" w:color="000000" w:sz="4" w:space="0"/>
                    <w:right w:val="single" w:color="000000" w:sz="4" w:space="0"/>
                  </w:tcBorders>
                  <w:noWrap w:val="0"/>
                  <w:vAlign w:val="center"/>
                </w:tcPr>
                <w:p w14:paraId="7A75EE85">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固化炉</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首尾两端</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2467C7A1">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集气罩</w:t>
                  </w:r>
                </w:p>
              </w:tc>
              <w:tc>
                <w:tcPr>
                  <w:tcW w:w="2116" w:type="dxa"/>
                  <w:tcBorders>
                    <w:top w:val="single" w:color="000000" w:sz="4" w:space="0"/>
                    <w:left w:val="single" w:color="000000" w:sz="4" w:space="0"/>
                    <w:bottom w:val="single" w:color="000000" w:sz="4" w:space="0"/>
                    <w:right w:val="single" w:color="000000" w:sz="4" w:space="0"/>
                  </w:tcBorders>
                  <w:noWrap w:val="0"/>
                  <w:vAlign w:val="center"/>
                </w:tcPr>
                <w:p w14:paraId="44EF31E6">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lang w:val="en-US"/>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36288</w:t>
                  </w:r>
                </w:p>
              </w:tc>
            </w:tr>
            <w:tr w14:paraId="3F61E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082" w:type="dxa"/>
                  <w:vMerge w:val="continue"/>
                  <w:tcBorders>
                    <w:top w:val="single" w:color="000000" w:sz="4" w:space="0"/>
                    <w:left w:val="single" w:color="000000" w:sz="4" w:space="0"/>
                    <w:bottom w:val="single" w:color="000000" w:sz="4" w:space="0"/>
                    <w:right w:val="single" w:color="000000" w:sz="4" w:space="0"/>
                  </w:tcBorders>
                  <w:noWrap/>
                  <w:vAlign w:val="center"/>
                </w:tcPr>
                <w:p w14:paraId="52B17637">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p>
              </w:tc>
              <w:tc>
                <w:tcPr>
                  <w:tcW w:w="2407" w:type="dxa"/>
                  <w:tcBorders>
                    <w:top w:val="single" w:color="000000" w:sz="4" w:space="0"/>
                    <w:left w:val="single" w:color="000000" w:sz="4" w:space="0"/>
                    <w:bottom w:val="single" w:color="000000" w:sz="4" w:space="0"/>
                    <w:right w:val="single" w:color="000000" w:sz="4" w:space="0"/>
                  </w:tcBorders>
                  <w:noWrap/>
                  <w:vAlign w:val="center"/>
                </w:tcPr>
                <w:p w14:paraId="24B0E2BD">
                  <w:pPr>
                    <w:keepNext w:val="0"/>
                    <w:keepLines w:val="0"/>
                    <w:widowControl/>
                    <w:suppressLineNumbers w:val="0"/>
                    <w:spacing w:before="0" w:beforeAutospacing="0" w:after="0" w:afterAutospacing="0" w:line="240" w:lineRule="auto"/>
                    <w:ind w:left="0" w:leftChars="0" w:right="0" w:rightChars="0"/>
                    <w:jc w:val="center"/>
                    <w:textAlignment w:val="center"/>
                    <w:rPr>
                      <w:color w:val="000000" w:themeColor="text1"/>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固化</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通道</w:t>
                  </w:r>
                </w:p>
              </w:tc>
              <w:tc>
                <w:tcPr>
                  <w:tcW w:w="1796" w:type="dxa"/>
                  <w:tcBorders>
                    <w:top w:val="single" w:color="000000" w:sz="4" w:space="0"/>
                    <w:left w:val="single" w:color="000000" w:sz="4" w:space="0"/>
                    <w:bottom w:val="single" w:color="000000" w:sz="4" w:space="0"/>
                    <w:right w:val="single" w:color="000000" w:sz="4" w:space="0"/>
                  </w:tcBorders>
                  <w:noWrap/>
                  <w:vAlign w:val="center"/>
                </w:tcPr>
                <w:p w14:paraId="5252FF51">
                  <w:pPr>
                    <w:keepNext w:val="0"/>
                    <w:keepLines w:val="0"/>
                    <w:widowControl/>
                    <w:suppressLineNumbers w:val="0"/>
                    <w:spacing w:before="0" w:beforeAutospacing="0" w:after="0" w:afterAutospacing="0" w:line="240" w:lineRule="auto"/>
                    <w:ind w:left="0" w:leftChars="0" w:right="0" w:rightChars="0"/>
                    <w:jc w:val="center"/>
                    <w:textAlignment w:val="center"/>
                    <w:rPr>
                      <w:color w:val="000000" w:themeColor="text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直连管道</w:t>
                  </w:r>
                </w:p>
              </w:tc>
              <w:tc>
                <w:tcPr>
                  <w:tcW w:w="2116" w:type="dxa"/>
                  <w:tcBorders>
                    <w:top w:val="single" w:color="000000" w:sz="4" w:space="0"/>
                    <w:left w:val="single" w:color="000000" w:sz="4" w:space="0"/>
                    <w:bottom w:val="single" w:color="000000" w:sz="4" w:space="0"/>
                    <w:right w:val="single" w:color="000000" w:sz="4" w:space="0"/>
                  </w:tcBorders>
                  <w:noWrap/>
                  <w:vAlign w:val="center"/>
                </w:tcPr>
                <w:p w14:paraId="670608C0">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lang w:val="en-US"/>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1780.4</w:t>
                  </w:r>
                </w:p>
              </w:tc>
            </w:tr>
            <w:tr w14:paraId="4B643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401" w:type="dxa"/>
                  <w:gridSpan w:val="4"/>
                  <w:tcBorders>
                    <w:top w:val="single" w:color="000000" w:sz="4" w:space="0"/>
                    <w:left w:val="single" w:color="000000" w:sz="4" w:space="0"/>
                    <w:bottom w:val="single" w:color="000000" w:sz="4" w:space="0"/>
                    <w:right w:val="single" w:color="000000" w:sz="4" w:space="0"/>
                  </w:tcBorders>
                  <w:noWrap/>
                  <w:vAlign w:val="center"/>
                </w:tcPr>
                <w:p w14:paraId="6A756C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备注：本环评考虑到风阻损失等，</w:t>
                  </w:r>
                  <w:r>
                    <w:rPr>
                      <w:rFonts w:hint="eastAsia"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DA002</w:t>
                  </w: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保守设计风量取</w:t>
                  </w:r>
                  <w:r>
                    <w:rPr>
                      <w:rFonts w:hint="eastAsia"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400</w:t>
                  </w: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00m</w:t>
                  </w:r>
                  <w:r>
                    <w:rPr>
                      <w:rFonts w:hint="default" w:ascii="Times New Roman" w:hAnsi="Times New Roman" w:eastAsia="宋体" w:cs="Times New Roman"/>
                      <w:b w:val="0"/>
                      <w:bCs w:val="0"/>
                      <w:i w:val="0"/>
                      <w:iCs w:val="0"/>
                      <w:color w:val="000000" w:themeColor="text1"/>
                      <w:kern w:val="0"/>
                      <w:sz w:val="21"/>
                      <w:szCs w:val="21"/>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/h</w:t>
                  </w:r>
                  <w:r>
                    <w:rPr>
                      <w:rFonts w:hint="default" w:ascii="Times New Roman" w:hAnsi="Times New Roman"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，且已包含天然气自身产生的工业废气量</w:t>
                  </w:r>
                  <w:r>
                    <w:rPr>
                      <w:rFonts w:hint="eastAsia"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w:t>
                  </w:r>
                </w:p>
              </w:tc>
            </w:tr>
          </w:tbl>
          <w:p w14:paraId="307D38EE">
            <w:pPr>
              <w:keepNext w:val="0"/>
              <w:keepLines w:val="0"/>
              <w:pageBreakBefore w:val="0"/>
              <w:widowControl w:val="0"/>
              <w:kinsoku/>
              <w:wordWrap/>
              <w:overflowPunct/>
              <w:topLinePunct w:val="0"/>
              <w:autoSpaceDE/>
              <w:autoSpaceDN/>
              <w:bidi w:val="0"/>
              <w:adjustRightInd/>
              <w:snapToGrid/>
              <w:spacing w:line="100" w:lineRule="exact"/>
              <w:ind w:firstLine="482" w:firstLineChars="200"/>
              <w:jc w:val="both"/>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p>
          <w:p w14:paraId="2A0725B5">
            <w:pPr>
              <w:pStyle w:val="158"/>
              <w:keepNext w:val="0"/>
              <w:keepLines w:val="0"/>
              <w:suppressLineNumbers w:val="0"/>
              <w:snapToGrid/>
              <w:spacing w:before="0" w:beforeAutospacing="0" w:after="0" w:afterAutospacing="0"/>
              <w:ind w:left="0" w:right="0" w:firstLine="480"/>
              <w:outlineLvl w:val="9"/>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根据前文废气产生量和风量计算，本项目燃烧废气产排情况如下表所示。</w:t>
            </w:r>
          </w:p>
          <w:p w14:paraId="4FEBE8F6">
            <w:pPr>
              <w:pStyle w:val="158"/>
              <w:keepNext w:val="0"/>
              <w:keepLines w:val="0"/>
              <w:numPr>
                <w:ilvl w:val="0"/>
                <w:numId w:val="0"/>
              </w:numPr>
              <w:suppressLineNumbers w:val="0"/>
              <w:tabs>
                <w:tab w:val="left" w:pos="0"/>
              </w:tabs>
              <w:snapToGrid/>
              <w:spacing w:before="0" w:beforeAutospacing="0" w:after="0" w:afterAutospacing="0"/>
              <w:ind w:left="0" w:leftChars="0" w:right="0" w:rightChars="0" w:firstLine="40" w:firstLineChars="0"/>
              <w:jc w:val="center"/>
              <w:outlineLvl w:val="9"/>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kern w:val="2"/>
                <w:sz w:val="21"/>
                <w:szCs w:val="21"/>
                <w:lang w:val="en-US" w:eastAsia="zh-CN" w:bidi="ar-SA"/>
                <w14:textFill>
                  <w14:solidFill>
                    <w14:schemeClr w14:val="tx1"/>
                  </w14:solidFill>
                </w14:textFill>
              </w:rPr>
              <w:t>表4-1</w:t>
            </w:r>
            <w:r>
              <w:rPr>
                <w:rFonts w:hint="eastAsia" w:cs="Times New Roman"/>
                <w:b/>
                <w:bCs/>
                <w:color w:val="000000" w:themeColor="text1"/>
                <w:spacing w:val="0"/>
                <w:kern w:val="2"/>
                <w:sz w:val="21"/>
                <w:szCs w:val="21"/>
                <w:lang w:val="en-US" w:eastAsia="zh-CN" w:bidi="ar-SA"/>
                <w14:textFill>
                  <w14:solidFill>
                    <w14:schemeClr w14:val="tx1"/>
                  </w14:solidFill>
                </w14:textFill>
              </w:rPr>
              <w:t>3</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本项目燃烧废气产排情况一览表</w:t>
            </w:r>
          </w:p>
          <w:tbl>
            <w:tblPr>
              <w:tblStyle w:val="44"/>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05"/>
              <w:gridCol w:w="1508"/>
              <w:gridCol w:w="1575"/>
              <w:gridCol w:w="1514"/>
            </w:tblGrid>
            <w:tr w14:paraId="210D0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jc w:val="center"/>
              </w:trPr>
              <w:tc>
                <w:tcPr>
                  <w:tcW w:w="2264" w:type="pct"/>
                  <w:tcBorders>
                    <w:top w:val="single" w:color="000000" w:sz="4" w:space="0"/>
                    <w:left w:val="single" w:color="000000" w:sz="4" w:space="0"/>
                    <w:bottom w:val="single" w:color="000000" w:sz="4" w:space="0"/>
                    <w:right w:val="single" w:color="000000" w:sz="4" w:space="0"/>
                  </w:tcBorders>
                  <w:noWrap w:val="0"/>
                  <w:vAlign w:val="center"/>
                </w:tcPr>
                <w:p w14:paraId="23D8B6B6">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污染物</w:t>
                  </w:r>
                </w:p>
              </w:tc>
              <w:tc>
                <w:tcPr>
                  <w:tcW w:w="897" w:type="pct"/>
                  <w:tcBorders>
                    <w:top w:val="single" w:color="000000" w:sz="4" w:space="0"/>
                    <w:left w:val="single" w:color="000000" w:sz="4" w:space="0"/>
                    <w:bottom w:val="single" w:color="000000" w:sz="4" w:space="0"/>
                    <w:right w:val="single" w:color="000000" w:sz="4" w:space="0"/>
                  </w:tcBorders>
                  <w:noWrap w:val="0"/>
                  <w:vAlign w:val="center"/>
                </w:tcPr>
                <w:p w14:paraId="7584F858">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颗粒物</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6D18B9FA">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SO</w:t>
                  </w:r>
                  <w:r>
                    <w:rPr>
                      <w:rFonts w:hint="default" w:ascii="Times New Roman" w:hAnsi="Times New Roman" w:eastAsia="宋体" w:cs="Times New Roman"/>
                      <w:b/>
                      <w:bCs/>
                      <w:i w:val="0"/>
                      <w:iCs w:val="0"/>
                      <w:color w:val="000000" w:themeColor="text1"/>
                      <w:kern w:val="0"/>
                      <w:sz w:val="21"/>
                      <w:szCs w:val="21"/>
                      <w:u w:val="none"/>
                      <w:vertAlign w:val="subscript"/>
                      <w:lang w:val="en-US" w:eastAsia="zh-CN" w:bidi="ar"/>
                      <w14:textFill>
                        <w14:solidFill>
                          <w14:schemeClr w14:val="tx1"/>
                        </w14:solidFill>
                      </w14:textFill>
                    </w:rPr>
                    <w:t>2</w:t>
                  </w:r>
                </w:p>
              </w:tc>
              <w:tc>
                <w:tcPr>
                  <w:tcW w:w="900" w:type="pct"/>
                  <w:tcBorders>
                    <w:top w:val="single" w:color="000000" w:sz="4" w:space="0"/>
                    <w:left w:val="single" w:color="000000" w:sz="4" w:space="0"/>
                    <w:bottom w:val="single" w:color="000000" w:sz="4" w:space="0"/>
                    <w:right w:val="single" w:color="000000" w:sz="4" w:space="0"/>
                  </w:tcBorders>
                  <w:noWrap w:val="0"/>
                  <w:vAlign w:val="center"/>
                </w:tcPr>
                <w:p w14:paraId="12D41411">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NO</w:t>
                  </w:r>
                  <w:r>
                    <w:rPr>
                      <w:rFonts w:hint="default" w:ascii="Times New Roman" w:hAnsi="Times New Roman" w:eastAsia="宋体" w:cs="Times New Roman"/>
                      <w:b/>
                      <w:bCs/>
                      <w:i w:val="0"/>
                      <w:iCs w:val="0"/>
                      <w:color w:val="000000" w:themeColor="text1"/>
                      <w:kern w:val="0"/>
                      <w:sz w:val="21"/>
                      <w:szCs w:val="21"/>
                      <w:u w:val="none"/>
                      <w:vertAlign w:val="subscript"/>
                      <w:lang w:val="en-US" w:eastAsia="zh-CN" w:bidi="ar"/>
                      <w14:textFill>
                        <w14:solidFill>
                          <w14:schemeClr w14:val="tx1"/>
                        </w14:solidFill>
                      </w14:textFill>
                    </w:rPr>
                    <w:t>X</w:t>
                  </w:r>
                </w:p>
              </w:tc>
            </w:tr>
            <w:tr w14:paraId="435A9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jc w:val="center"/>
              </w:trPr>
              <w:tc>
                <w:tcPr>
                  <w:tcW w:w="2264" w:type="pct"/>
                  <w:tcBorders>
                    <w:top w:val="single" w:color="000000" w:sz="4" w:space="0"/>
                    <w:left w:val="single" w:color="000000" w:sz="4" w:space="0"/>
                    <w:bottom w:val="single" w:color="000000" w:sz="4" w:space="0"/>
                    <w:right w:val="single" w:color="000000" w:sz="4" w:space="0"/>
                  </w:tcBorders>
                  <w:noWrap w:val="0"/>
                  <w:vAlign w:val="center"/>
                </w:tcPr>
                <w:p w14:paraId="4E99484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产生总量（</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t/a</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897" w:type="pct"/>
                  <w:tcBorders>
                    <w:top w:val="single" w:color="000000" w:sz="4" w:space="0"/>
                    <w:left w:val="single" w:color="000000" w:sz="4" w:space="0"/>
                    <w:bottom w:val="single" w:color="000000" w:sz="4" w:space="0"/>
                    <w:right w:val="single" w:color="000000" w:sz="4" w:space="0"/>
                  </w:tcBorders>
                  <w:noWrap w:val="0"/>
                  <w:vAlign w:val="center"/>
                </w:tcPr>
                <w:p w14:paraId="6792834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0.052 </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42BB798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0.036 </w:t>
                  </w:r>
                </w:p>
              </w:tc>
              <w:tc>
                <w:tcPr>
                  <w:tcW w:w="900" w:type="pct"/>
                  <w:tcBorders>
                    <w:top w:val="single" w:color="000000" w:sz="4" w:space="0"/>
                    <w:left w:val="single" w:color="000000" w:sz="4" w:space="0"/>
                    <w:bottom w:val="single" w:color="000000" w:sz="4" w:space="0"/>
                    <w:right w:val="single" w:color="000000" w:sz="4" w:space="0"/>
                  </w:tcBorders>
                  <w:noWrap w:val="0"/>
                  <w:vAlign w:val="center"/>
                </w:tcPr>
                <w:p w14:paraId="2FCC70C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0.341 </w:t>
                  </w:r>
                </w:p>
              </w:tc>
            </w:tr>
            <w:tr w14:paraId="440C6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jc w:val="center"/>
              </w:trPr>
              <w:tc>
                <w:tcPr>
                  <w:tcW w:w="2264" w:type="pct"/>
                  <w:tcBorders>
                    <w:top w:val="single" w:color="000000" w:sz="4" w:space="0"/>
                    <w:left w:val="single" w:color="000000" w:sz="4" w:space="0"/>
                    <w:bottom w:val="single" w:color="000000" w:sz="4" w:space="0"/>
                    <w:right w:val="single" w:color="000000" w:sz="4" w:space="0"/>
                  </w:tcBorders>
                  <w:noWrap w:val="0"/>
                  <w:vAlign w:val="center"/>
                </w:tcPr>
                <w:p w14:paraId="30795F7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产生速率（</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kg/h</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897" w:type="pct"/>
                  <w:tcBorders>
                    <w:top w:val="single" w:color="000000" w:sz="4" w:space="0"/>
                    <w:left w:val="single" w:color="000000" w:sz="4" w:space="0"/>
                    <w:bottom w:val="single" w:color="000000" w:sz="4" w:space="0"/>
                    <w:right w:val="single" w:color="000000" w:sz="4" w:space="0"/>
                  </w:tcBorders>
                  <w:noWrap w:val="0"/>
                  <w:vAlign w:val="center"/>
                </w:tcPr>
                <w:p w14:paraId="10D5484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0.027 </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6A6DF0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0.019 </w:t>
                  </w:r>
                </w:p>
              </w:tc>
              <w:tc>
                <w:tcPr>
                  <w:tcW w:w="900" w:type="pct"/>
                  <w:tcBorders>
                    <w:top w:val="single" w:color="000000" w:sz="4" w:space="0"/>
                    <w:left w:val="single" w:color="000000" w:sz="4" w:space="0"/>
                    <w:bottom w:val="single" w:color="000000" w:sz="4" w:space="0"/>
                    <w:right w:val="single" w:color="000000" w:sz="4" w:space="0"/>
                  </w:tcBorders>
                  <w:noWrap w:val="0"/>
                  <w:vAlign w:val="center"/>
                </w:tcPr>
                <w:p w14:paraId="46B8C96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0.177 </w:t>
                  </w:r>
                </w:p>
              </w:tc>
            </w:tr>
            <w:tr w14:paraId="40372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jc w:val="center"/>
              </w:trPr>
              <w:tc>
                <w:tcPr>
                  <w:tcW w:w="2264" w:type="pct"/>
                  <w:tcBorders>
                    <w:top w:val="single" w:color="000000" w:sz="4" w:space="0"/>
                    <w:left w:val="single" w:color="000000" w:sz="4" w:space="0"/>
                    <w:bottom w:val="single" w:color="000000" w:sz="4" w:space="0"/>
                    <w:right w:val="single" w:color="000000" w:sz="4" w:space="0"/>
                  </w:tcBorders>
                  <w:noWrap w:val="0"/>
                  <w:vAlign w:val="center"/>
                </w:tcPr>
                <w:p w14:paraId="29CEDDC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废气量</w:t>
                  </w:r>
                </w:p>
              </w:tc>
              <w:tc>
                <w:tcPr>
                  <w:tcW w:w="2735" w:type="pct"/>
                  <w:gridSpan w:val="3"/>
                  <w:tcBorders>
                    <w:top w:val="single" w:color="000000" w:sz="4" w:space="0"/>
                    <w:left w:val="single" w:color="000000" w:sz="4" w:space="0"/>
                    <w:bottom w:val="single" w:color="000000" w:sz="4" w:space="0"/>
                    <w:right w:val="single" w:color="000000" w:sz="4" w:space="0"/>
                  </w:tcBorders>
                  <w:noWrap w:val="0"/>
                  <w:vAlign w:val="center"/>
                </w:tcPr>
                <w:p w14:paraId="4E99616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40000m</w:t>
                  </w:r>
                  <w:r>
                    <w:rPr>
                      <w:rFonts w:hint="default" w:ascii="Times New Roman" w:hAnsi="Times New Roman" w:eastAsia="宋体" w:cs="Times New Roman"/>
                      <w:i w:val="0"/>
                      <w:iCs w:val="0"/>
                      <w:color w:val="000000" w:themeColor="text1"/>
                      <w:kern w:val="0"/>
                      <w:sz w:val="21"/>
                      <w:szCs w:val="21"/>
                      <w:u w:val="none"/>
                      <w:vertAlign w:val="super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/h</w:t>
                  </w:r>
                </w:p>
              </w:tc>
            </w:tr>
            <w:tr w14:paraId="6C66C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jc w:val="center"/>
              </w:trPr>
              <w:tc>
                <w:tcPr>
                  <w:tcW w:w="2264" w:type="pct"/>
                  <w:tcBorders>
                    <w:top w:val="single" w:color="000000" w:sz="4" w:space="0"/>
                    <w:left w:val="single" w:color="000000" w:sz="4" w:space="0"/>
                    <w:bottom w:val="single" w:color="000000" w:sz="4" w:space="0"/>
                    <w:right w:val="single" w:color="000000" w:sz="4" w:space="0"/>
                  </w:tcBorders>
                  <w:noWrap w:val="0"/>
                  <w:vAlign w:val="center"/>
                </w:tcPr>
                <w:p w14:paraId="618B849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排气筒编号：</w:t>
                  </w:r>
                </w:p>
              </w:tc>
              <w:tc>
                <w:tcPr>
                  <w:tcW w:w="2735" w:type="pct"/>
                  <w:gridSpan w:val="3"/>
                  <w:tcBorders>
                    <w:top w:val="single" w:color="000000" w:sz="4" w:space="0"/>
                    <w:left w:val="single" w:color="000000" w:sz="4" w:space="0"/>
                    <w:bottom w:val="single" w:color="000000" w:sz="4" w:space="0"/>
                    <w:right w:val="single" w:color="000000" w:sz="4" w:space="0"/>
                  </w:tcBorders>
                  <w:noWrap w:val="0"/>
                  <w:vAlign w:val="center"/>
                </w:tcPr>
                <w:p w14:paraId="617C4B14">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DA002</w:t>
                  </w:r>
                </w:p>
              </w:tc>
            </w:tr>
            <w:tr w14:paraId="5F1B6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jc w:val="center"/>
              </w:trPr>
              <w:tc>
                <w:tcPr>
                  <w:tcW w:w="2264" w:type="pct"/>
                  <w:tcBorders>
                    <w:top w:val="single" w:color="000000" w:sz="4" w:space="0"/>
                    <w:left w:val="single" w:color="000000" w:sz="4" w:space="0"/>
                    <w:bottom w:val="single" w:color="000000" w:sz="4" w:space="0"/>
                    <w:right w:val="single" w:color="000000" w:sz="4" w:space="0"/>
                  </w:tcBorders>
                  <w:noWrap w:val="0"/>
                  <w:vAlign w:val="center"/>
                </w:tcPr>
                <w:p w14:paraId="18E700C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污染物</w:t>
                  </w:r>
                </w:p>
              </w:tc>
              <w:tc>
                <w:tcPr>
                  <w:tcW w:w="897" w:type="pct"/>
                  <w:tcBorders>
                    <w:top w:val="single" w:color="000000" w:sz="4" w:space="0"/>
                    <w:left w:val="single" w:color="000000" w:sz="4" w:space="0"/>
                    <w:bottom w:val="single" w:color="000000" w:sz="4" w:space="0"/>
                    <w:right w:val="single" w:color="000000" w:sz="4" w:space="0"/>
                  </w:tcBorders>
                  <w:noWrap w:val="0"/>
                  <w:vAlign w:val="center"/>
                </w:tcPr>
                <w:p w14:paraId="6A3E24A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颗粒物</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FC73A3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SO</w:t>
                  </w:r>
                  <w:r>
                    <w:rPr>
                      <w:rFonts w:hint="default" w:ascii="Times New Roman" w:hAnsi="Times New Roman" w:eastAsia="宋体" w:cs="Times New Roman"/>
                      <w:b/>
                      <w:bCs/>
                      <w:i w:val="0"/>
                      <w:iCs w:val="0"/>
                      <w:color w:val="000000" w:themeColor="text1"/>
                      <w:kern w:val="0"/>
                      <w:sz w:val="21"/>
                      <w:szCs w:val="21"/>
                      <w:u w:val="none"/>
                      <w:vertAlign w:val="subscript"/>
                      <w:lang w:val="en-US" w:eastAsia="zh-CN" w:bidi="ar"/>
                      <w14:textFill>
                        <w14:solidFill>
                          <w14:schemeClr w14:val="tx1"/>
                        </w14:solidFill>
                      </w14:textFill>
                    </w:rPr>
                    <w:t>2</w:t>
                  </w:r>
                </w:p>
              </w:tc>
              <w:tc>
                <w:tcPr>
                  <w:tcW w:w="900" w:type="pct"/>
                  <w:tcBorders>
                    <w:top w:val="single" w:color="000000" w:sz="4" w:space="0"/>
                    <w:left w:val="single" w:color="000000" w:sz="4" w:space="0"/>
                    <w:bottom w:val="single" w:color="000000" w:sz="4" w:space="0"/>
                    <w:right w:val="single" w:color="000000" w:sz="4" w:space="0"/>
                  </w:tcBorders>
                  <w:noWrap w:val="0"/>
                  <w:vAlign w:val="center"/>
                </w:tcPr>
                <w:p w14:paraId="3C94090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NO</w:t>
                  </w:r>
                  <w:r>
                    <w:rPr>
                      <w:rFonts w:hint="default" w:ascii="Times New Roman" w:hAnsi="Times New Roman" w:eastAsia="宋体" w:cs="Times New Roman"/>
                      <w:b/>
                      <w:bCs/>
                      <w:i w:val="0"/>
                      <w:iCs w:val="0"/>
                      <w:color w:val="000000" w:themeColor="text1"/>
                      <w:kern w:val="0"/>
                      <w:sz w:val="21"/>
                      <w:szCs w:val="21"/>
                      <w:u w:val="none"/>
                      <w:vertAlign w:val="subscript"/>
                      <w:lang w:val="en-US" w:eastAsia="zh-CN" w:bidi="ar"/>
                      <w14:textFill>
                        <w14:solidFill>
                          <w14:schemeClr w14:val="tx1"/>
                        </w14:solidFill>
                      </w14:textFill>
                    </w:rPr>
                    <w:t>X</w:t>
                  </w:r>
                </w:p>
              </w:tc>
            </w:tr>
            <w:tr w14:paraId="039DF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jc w:val="center"/>
              </w:trPr>
              <w:tc>
                <w:tcPr>
                  <w:tcW w:w="2264" w:type="pct"/>
                  <w:tcBorders>
                    <w:top w:val="single" w:color="000000" w:sz="4" w:space="0"/>
                    <w:left w:val="single" w:color="000000" w:sz="4" w:space="0"/>
                    <w:bottom w:val="single" w:color="000000" w:sz="4" w:space="0"/>
                    <w:right w:val="single" w:color="000000" w:sz="4" w:space="0"/>
                  </w:tcBorders>
                  <w:noWrap w:val="0"/>
                  <w:vAlign w:val="center"/>
                </w:tcPr>
                <w:p w14:paraId="53CE441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排放量（</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t/a</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897" w:type="pct"/>
                  <w:tcBorders>
                    <w:top w:val="single" w:color="000000" w:sz="4" w:space="0"/>
                    <w:left w:val="single" w:color="000000" w:sz="4" w:space="0"/>
                    <w:bottom w:val="single" w:color="000000" w:sz="4" w:space="0"/>
                    <w:right w:val="single" w:color="000000" w:sz="4" w:space="0"/>
                  </w:tcBorders>
                  <w:noWrap w:val="0"/>
                  <w:vAlign w:val="center"/>
                </w:tcPr>
                <w:p w14:paraId="41E00C1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0.052 </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773961D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0.036 </w:t>
                  </w:r>
                </w:p>
              </w:tc>
              <w:tc>
                <w:tcPr>
                  <w:tcW w:w="900" w:type="pct"/>
                  <w:tcBorders>
                    <w:top w:val="single" w:color="000000" w:sz="4" w:space="0"/>
                    <w:left w:val="single" w:color="000000" w:sz="4" w:space="0"/>
                    <w:bottom w:val="single" w:color="000000" w:sz="4" w:space="0"/>
                    <w:right w:val="single" w:color="000000" w:sz="4" w:space="0"/>
                  </w:tcBorders>
                  <w:noWrap w:val="0"/>
                  <w:vAlign w:val="center"/>
                </w:tcPr>
                <w:p w14:paraId="5E1CF49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0.341 </w:t>
                  </w:r>
                </w:p>
              </w:tc>
            </w:tr>
            <w:tr w14:paraId="2B9BC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jc w:val="center"/>
              </w:trPr>
              <w:tc>
                <w:tcPr>
                  <w:tcW w:w="2264" w:type="pct"/>
                  <w:tcBorders>
                    <w:top w:val="single" w:color="000000" w:sz="4" w:space="0"/>
                    <w:left w:val="single" w:color="000000" w:sz="4" w:space="0"/>
                    <w:bottom w:val="single" w:color="000000" w:sz="4" w:space="0"/>
                    <w:right w:val="single" w:color="000000" w:sz="4" w:space="0"/>
                  </w:tcBorders>
                  <w:noWrap w:val="0"/>
                  <w:vAlign w:val="center"/>
                </w:tcPr>
                <w:p w14:paraId="64B75B1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排放速率（</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kg/h</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897" w:type="pct"/>
                  <w:tcBorders>
                    <w:top w:val="single" w:color="000000" w:sz="4" w:space="0"/>
                    <w:left w:val="single" w:color="000000" w:sz="4" w:space="0"/>
                    <w:bottom w:val="single" w:color="000000" w:sz="4" w:space="0"/>
                    <w:right w:val="single" w:color="000000" w:sz="4" w:space="0"/>
                  </w:tcBorders>
                  <w:noWrap w:val="0"/>
                  <w:vAlign w:val="center"/>
                </w:tcPr>
                <w:p w14:paraId="2D2CBD8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0.027 </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EEFF9E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0.019 </w:t>
                  </w:r>
                </w:p>
              </w:tc>
              <w:tc>
                <w:tcPr>
                  <w:tcW w:w="900" w:type="pct"/>
                  <w:tcBorders>
                    <w:top w:val="single" w:color="000000" w:sz="4" w:space="0"/>
                    <w:left w:val="single" w:color="000000" w:sz="4" w:space="0"/>
                    <w:bottom w:val="single" w:color="000000" w:sz="4" w:space="0"/>
                    <w:right w:val="single" w:color="000000" w:sz="4" w:space="0"/>
                  </w:tcBorders>
                  <w:noWrap w:val="0"/>
                  <w:vAlign w:val="center"/>
                </w:tcPr>
                <w:p w14:paraId="56159B8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0.177 </w:t>
                  </w:r>
                </w:p>
              </w:tc>
            </w:tr>
            <w:tr w14:paraId="3856B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2264" w:type="pct"/>
                  <w:tcBorders>
                    <w:top w:val="single" w:color="000000" w:sz="4" w:space="0"/>
                    <w:left w:val="single" w:color="000000" w:sz="4" w:space="0"/>
                    <w:bottom w:val="single" w:color="000000" w:sz="4" w:space="0"/>
                    <w:right w:val="single" w:color="000000" w:sz="4" w:space="0"/>
                  </w:tcBorders>
                  <w:noWrap w:val="0"/>
                  <w:vAlign w:val="center"/>
                </w:tcPr>
                <w:p w14:paraId="0CE1261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排放浓度（</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mg/m</w:t>
                  </w:r>
                  <w:r>
                    <w:rPr>
                      <w:rFonts w:hint="default" w:ascii="Times New Roman" w:hAnsi="Times New Roman" w:eastAsia="宋体" w:cs="Times New Roman"/>
                      <w:i w:val="0"/>
                      <w:iCs w:val="0"/>
                      <w:color w:val="000000" w:themeColor="text1"/>
                      <w:kern w:val="0"/>
                      <w:sz w:val="21"/>
                      <w:szCs w:val="21"/>
                      <w:u w:val="none"/>
                      <w:vertAlign w:val="superscript"/>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897" w:type="pct"/>
                  <w:tcBorders>
                    <w:top w:val="single" w:color="000000" w:sz="4" w:space="0"/>
                    <w:left w:val="single" w:color="000000" w:sz="4" w:space="0"/>
                    <w:bottom w:val="single" w:color="000000" w:sz="4" w:space="0"/>
                    <w:right w:val="single" w:color="000000" w:sz="4" w:space="0"/>
                  </w:tcBorders>
                  <w:noWrap w:val="0"/>
                  <w:vAlign w:val="center"/>
                </w:tcPr>
                <w:p w14:paraId="059BD37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0.7 </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BC1556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0.5 </w:t>
                  </w:r>
                </w:p>
              </w:tc>
              <w:tc>
                <w:tcPr>
                  <w:tcW w:w="900" w:type="pct"/>
                  <w:tcBorders>
                    <w:top w:val="single" w:color="000000" w:sz="4" w:space="0"/>
                    <w:left w:val="single" w:color="000000" w:sz="4" w:space="0"/>
                    <w:bottom w:val="single" w:color="000000" w:sz="4" w:space="0"/>
                    <w:right w:val="single" w:color="000000" w:sz="4" w:space="0"/>
                  </w:tcBorders>
                  <w:noWrap w:val="0"/>
                  <w:vAlign w:val="center"/>
                </w:tcPr>
                <w:p w14:paraId="368CC08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4.4 </w:t>
                  </w:r>
                </w:p>
              </w:tc>
            </w:tr>
          </w:tbl>
          <w:p w14:paraId="4041A44C">
            <w:pPr>
              <w:keepNext w:val="0"/>
              <w:keepLines w:val="0"/>
              <w:pageBreakBefore w:val="0"/>
              <w:widowControl w:val="0"/>
              <w:kinsoku/>
              <w:wordWrap/>
              <w:overflowPunct/>
              <w:topLinePunct w:val="0"/>
              <w:autoSpaceDE/>
              <w:autoSpaceDN/>
              <w:bidi w:val="0"/>
              <w:adjustRightInd/>
              <w:snapToGrid/>
              <w:spacing w:line="100" w:lineRule="exact"/>
              <w:ind w:firstLine="482" w:firstLineChars="200"/>
              <w:jc w:val="both"/>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p>
          <w:p w14:paraId="6A1DBAB3">
            <w:pPr>
              <w:keepNext w:val="0"/>
              <w:keepLines w:val="0"/>
              <w:suppressLineNumbers w:val="0"/>
              <w:spacing w:before="0" w:beforeAutospacing="0" w:after="0" w:afterAutospacing="0" w:line="360" w:lineRule="auto"/>
              <w:ind w:left="0" w:right="0" w:firstLine="470" w:firstLineChars="200"/>
              <w:rPr>
                <w:b/>
                <w:bCs/>
                <w:color w:val="000000" w:themeColor="text1"/>
                <w:sz w:val="24"/>
                <w:szCs w:val="24"/>
                <w:highlight w:val="none"/>
                <w14:textFill>
                  <w14:solidFill>
                    <w14:schemeClr w14:val="tx1"/>
                  </w14:solidFill>
                </w14:textFill>
              </w:rPr>
            </w:pPr>
            <w:r>
              <w:rPr>
                <w:rFonts w:hint="eastAsia" w:cs="Times New Roman"/>
                <w:b/>
                <w:bCs/>
                <w:color w:val="000000" w:themeColor="text1"/>
                <w:spacing w:val="-3"/>
                <w:sz w:val="24"/>
                <w:szCs w:val="24"/>
                <w:highlight w:val="none"/>
                <w:lang w:val="en-US" w:eastAsia="zh-CN"/>
                <w14:textFill>
                  <w14:solidFill>
                    <w14:schemeClr w14:val="tx1"/>
                  </w14:solidFill>
                </w14:textFill>
              </w:rPr>
              <w:t>1</w:t>
            </w:r>
            <w:r>
              <w:rPr>
                <w:rFonts w:hint="default" w:ascii="Times New Roman" w:hAnsi="Times New Roman" w:cs="Times New Roman"/>
                <w:b/>
                <w:bCs/>
                <w:color w:val="000000" w:themeColor="text1"/>
                <w:spacing w:val="-3"/>
                <w:sz w:val="24"/>
                <w:szCs w:val="24"/>
                <w:highlight w:val="none"/>
                <w:lang w:val="en-US" w:eastAsia="zh-CN"/>
                <w14:textFill>
                  <w14:solidFill>
                    <w14:schemeClr w14:val="tx1"/>
                  </w14:solidFill>
                </w14:textFill>
              </w:rPr>
              <w:t>.</w:t>
            </w:r>
            <w:r>
              <w:rPr>
                <w:rFonts w:hint="eastAsia" w:cs="Times New Roman"/>
                <w:b/>
                <w:bCs/>
                <w:color w:val="000000" w:themeColor="text1"/>
                <w:spacing w:val="-3"/>
                <w:sz w:val="24"/>
                <w:szCs w:val="24"/>
                <w:highlight w:val="none"/>
                <w:lang w:val="en-US" w:eastAsia="zh-CN"/>
                <w14:textFill>
                  <w14:solidFill>
                    <w14:schemeClr w14:val="tx1"/>
                  </w14:solidFill>
                </w14:textFill>
              </w:rPr>
              <w:t>2</w:t>
            </w:r>
            <w:r>
              <w:rPr>
                <w:rFonts w:hint="default" w:ascii="Times New Roman" w:hAnsi="Times New Roman" w:cs="Times New Roman"/>
                <w:b/>
                <w:bCs/>
                <w:color w:val="000000" w:themeColor="text1"/>
                <w:spacing w:val="-3"/>
                <w:sz w:val="24"/>
                <w:szCs w:val="24"/>
                <w:highlight w:val="none"/>
                <w:lang w:val="en-US" w:eastAsia="zh-CN"/>
                <w14:textFill>
                  <w14:solidFill>
                    <w14:schemeClr w14:val="tx1"/>
                  </w14:solidFill>
                </w14:textFill>
              </w:rPr>
              <w:t>.4</w:t>
            </w:r>
            <w:r>
              <w:rPr>
                <w:b/>
                <w:bCs/>
                <w:color w:val="000000" w:themeColor="text1"/>
                <w:sz w:val="24"/>
                <w:szCs w:val="24"/>
                <w:highlight w:val="none"/>
                <w14:textFill>
                  <w14:solidFill>
                    <w14:schemeClr w14:val="tx1"/>
                  </w14:solidFill>
                </w14:textFill>
              </w:rPr>
              <w:t>静电喷粉粉尘</w:t>
            </w:r>
          </w:p>
          <w:p w14:paraId="22D76E13">
            <w:pPr>
              <w:pageBreakBefore w:val="0"/>
              <w:wordWrap w:val="0"/>
              <w:topLinePunct/>
              <w:bidi w:val="0"/>
              <w:spacing w:beforeAutospacing="0" w:afterAutospacing="0" w:line="360" w:lineRule="auto"/>
              <w:ind w:firstLine="480" w:firstLineChars="20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项目使用喷枪在密闭喷粉房对工件进行喷粉处理，喷粉过程中未附着的环氧/聚酯粉末涂料粉末会形成粉尘，其主要污染物为颗粒物。</w:t>
            </w:r>
          </w:p>
          <w:p w14:paraId="7D43ABE6">
            <w:pPr>
              <w:pageBreakBefore w:val="0"/>
              <w:wordWrap w:val="0"/>
              <w:topLinePunct/>
              <w:bidi w:val="0"/>
              <w:spacing w:beforeAutospacing="0" w:afterAutospacing="0" w:line="360" w:lineRule="auto"/>
              <w:ind w:firstLine="480" w:firstLineChars="20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喷粉房本身可视作集尘室，喷粉过程中保持密闭，同样采用“密闭工作台（集尘室）+大旋风+滤芯式二级回收系统”系统处理，即静电喷粉粉尘收集效率为90%，收集后可回用于静电喷粉工序，考虑到少量粉末附着在滤芯内，收集回用率取99%；静电喷粉粉尘未收集部分沉降在喷粉房内，沉降率取80%，最终处理后的静电喷粉粉尘于车间内无组织排放。</w:t>
            </w:r>
          </w:p>
          <w:p w14:paraId="11AFD1C6">
            <w:pPr>
              <w:pageBreakBefore w:val="0"/>
              <w:wordWrap w:val="0"/>
              <w:topLinePunct/>
              <w:bidi w:val="0"/>
              <w:spacing w:beforeAutospacing="0" w:afterAutospacing="0" w:line="360" w:lineRule="auto"/>
              <w:ind w:firstLine="480" w:firstLineChars="20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本项目的喷粉粉末</w:t>
            </w:r>
            <w:r>
              <w:rPr>
                <w:rFonts w:hint="eastAsia"/>
                <w:color w:val="000000" w:themeColor="text1"/>
                <w:sz w:val="24"/>
                <w:szCs w:val="24"/>
                <w:highlight w:val="none"/>
                <w:lang w:val="en-US" w:eastAsia="zh-CN"/>
                <w14:textFill>
                  <w14:solidFill>
                    <w14:schemeClr w14:val="tx1"/>
                  </w14:solidFill>
                </w14:textFill>
              </w:rPr>
              <w:t>一次</w:t>
            </w:r>
            <w:r>
              <w:rPr>
                <w:color w:val="000000" w:themeColor="text1"/>
                <w:sz w:val="24"/>
                <w:szCs w:val="24"/>
                <w:highlight w:val="none"/>
                <w14:textFill>
                  <w14:solidFill>
                    <w14:schemeClr w14:val="tx1"/>
                  </w14:solidFill>
                </w14:textFill>
              </w:rPr>
              <w:t>上粉率为70%，综合利用率为95.54%，使用的环氧粉末涂料粉总量为</w:t>
            </w:r>
            <w:r>
              <w:rPr>
                <w:rFonts w:hint="eastAsia"/>
                <w:color w:val="000000" w:themeColor="text1"/>
                <w:sz w:val="24"/>
                <w:szCs w:val="24"/>
                <w:highlight w:val="none"/>
                <w:lang w:val="en-US" w:eastAsia="zh-CN"/>
                <w14:textFill>
                  <w14:solidFill>
                    <w14:schemeClr w14:val="tx1"/>
                  </w14:solidFill>
                </w14:textFill>
              </w:rPr>
              <w:t>109.7551</w:t>
            </w:r>
            <w:r>
              <w:rPr>
                <w:color w:val="000000" w:themeColor="text1"/>
                <w:sz w:val="24"/>
                <w:szCs w:val="24"/>
                <w:highlight w:val="none"/>
                <w14:textFill>
                  <w14:solidFill>
                    <w14:schemeClr w14:val="tx1"/>
                  </w14:solidFill>
                </w14:textFill>
              </w:rPr>
              <w:t>t/a，粉末喷涂工件附着量为：</w:t>
            </w:r>
            <w:r>
              <w:rPr>
                <w:rFonts w:hint="eastAsia"/>
                <w:color w:val="000000" w:themeColor="text1"/>
                <w:sz w:val="24"/>
                <w:szCs w:val="24"/>
                <w:highlight w:val="none"/>
                <w:lang w:val="en-US" w:eastAsia="zh-CN"/>
                <w14:textFill>
                  <w14:solidFill>
                    <w14:schemeClr w14:val="tx1"/>
                  </w14:solidFill>
                </w14:textFill>
              </w:rPr>
              <w:t>109.7551</w:t>
            </w:r>
            <w:r>
              <w:rPr>
                <w:color w:val="000000" w:themeColor="text1"/>
                <w:sz w:val="24"/>
                <w:szCs w:val="24"/>
                <w:highlight w:val="none"/>
                <w14:textFill>
                  <w14:solidFill>
                    <w14:schemeClr w14:val="tx1"/>
                  </w14:solidFill>
                </w14:textFill>
              </w:rPr>
              <w:t>/a×95.54%=</w:t>
            </w:r>
            <w:r>
              <w:rPr>
                <w:rFonts w:hint="eastAsia"/>
                <w:color w:val="000000" w:themeColor="text1"/>
                <w:sz w:val="24"/>
                <w:szCs w:val="24"/>
                <w:highlight w:val="none"/>
                <w:lang w:val="en-US" w:eastAsia="zh-CN"/>
                <w14:textFill>
                  <w14:solidFill>
                    <w14:schemeClr w14:val="tx1"/>
                  </w14:solidFill>
                </w14:textFill>
              </w:rPr>
              <w:t>104.860</w:t>
            </w:r>
            <w:r>
              <w:rPr>
                <w:color w:val="000000" w:themeColor="text1"/>
                <w:sz w:val="24"/>
                <w:szCs w:val="24"/>
                <w:highlight w:val="none"/>
                <w14:textFill>
                  <w14:solidFill>
                    <w14:schemeClr w14:val="tx1"/>
                  </w14:solidFill>
                </w14:textFill>
              </w:rPr>
              <w:t>t/a。</w:t>
            </w:r>
          </w:p>
          <w:p w14:paraId="61F27B1F">
            <w:pPr>
              <w:pageBreakBefore w:val="0"/>
              <w:wordWrap w:val="0"/>
              <w:topLinePunct/>
              <w:bidi w:val="0"/>
              <w:spacing w:beforeAutospacing="0" w:afterAutospacing="0" w:line="360" w:lineRule="auto"/>
              <w:ind w:firstLine="480" w:firstLineChars="200"/>
              <w:rPr>
                <w:rFonts w:hint="eastAsia" w:eastAsia="宋体"/>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静电喷涂工位均接入“密闭工作台（集尘室）+大旋风+滤芯式二级回收系统”系统；该系统除尘效率参考《简明通风设计手册》（孙一坚主编）中“第三节 惯性及旋风除尘器”P361内容可知，高效旋风除尘器除尘效率可达90%以上，保守取值为90%；滤芯过滤器主要部件为转翼式滤芯筒，由“二 滤筒式除尘器”p407内容可知，其实测除尘效率为99.2%～99.9%（重量法），保守取值为99%。综上，“大旋风+滤芯式二级回收系统”总处理效率为：1-（1-90%）×（1-99%）×100%=99.9%，保守取值99%</w:t>
            </w:r>
            <w:r>
              <w:rPr>
                <w:rFonts w:hint="eastAsia"/>
                <w:color w:val="000000" w:themeColor="text1"/>
                <w:sz w:val="24"/>
                <w:szCs w:val="24"/>
                <w:highlight w:val="none"/>
                <w:lang w:eastAsia="zh-CN"/>
                <w14:textFill>
                  <w14:solidFill>
                    <w14:schemeClr w14:val="tx1"/>
                  </w14:solidFill>
                </w14:textFill>
              </w:rPr>
              <w:t>。</w:t>
            </w:r>
          </w:p>
          <w:p w14:paraId="3E6BB551">
            <w:pPr>
              <w:pageBreakBefore w:val="0"/>
              <w:wordWrap w:val="0"/>
              <w:topLinePunct/>
              <w:bidi w:val="0"/>
              <w:spacing w:beforeAutospacing="0" w:afterAutospacing="0" w:line="360" w:lineRule="auto"/>
              <w:ind w:firstLine="480" w:firstLineChars="20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在收集效率为90%、</w:t>
            </w:r>
            <w:r>
              <w:rPr>
                <w:rFonts w:hint="eastAsia"/>
                <w:color w:val="000000" w:themeColor="text1"/>
                <w:sz w:val="24"/>
                <w:szCs w:val="24"/>
                <w:highlight w:val="none"/>
                <w:lang w:eastAsia="zh-CN"/>
                <w14:textFill>
                  <w14:solidFill>
                    <w14:schemeClr w14:val="tx1"/>
                  </w14:solidFill>
                </w14:textFill>
              </w:rPr>
              <w:t>收集回用效率为</w:t>
            </w:r>
            <w:r>
              <w:rPr>
                <w:color w:val="000000" w:themeColor="text1"/>
                <w:sz w:val="24"/>
                <w:szCs w:val="24"/>
                <w:highlight w:val="none"/>
                <w14:textFill>
                  <w14:solidFill>
                    <w14:schemeClr w14:val="tx1"/>
                  </w14:solidFill>
                </w14:textFill>
              </w:rPr>
              <w:t>99%的情况下，设回收利用过程未附着量为Xt/a，则有</w:t>
            </w:r>
            <w:r>
              <w:rPr>
                <w:rFonts w:hint="eastAsia"/>
                <w:color w:val="000000" w:themeColor="text1"/>
                <w:sz w:val="24"/>
                <w:szCs w:val="24"/>
                <w:highlight w:val="none"/>
                <w:lang w:val="en-US" w:eastAsia="zh-CN"/>
                <w14:textFill>
                  <w14:solidFill>
                    <w14:schemeClr w14:val="tx1"/>
                  </w14:solidFill>
                </w14:textFill>
              </w:rPr>
              <w:t>109.7551</w:t>
            </w:r>
            <w:r>
              <w:rPr>
                <w:color w:val="000000" w:themeColor="text1"/>
                <w:sz w:val="24"/>
                <w:szCs w:val="24"/>
                <w:highlight w:val="none"/>
                <w14:textFill>
                  <w14:solidFill>
                    <w14:schemeClr w14:val="tx1"/>
                  </w14:solidFill>
                </w14:textFill>
              </w:rPr>
              <w:t>t/a+（0.9×0.99）Xt/a=</w:t>
            </w:r>
            <w:r>
              <w:rPr>
                <w:rFonts w:hint="eastAsia"/>
                <w:color w:val="000000" w:themeColor="text1"/>
                <w:sz w:val="24"/>
                <w:szCs w:val="24"/>
                <w:highlight w:val="none"/>
                <w:lang w:val="en-US" w:eastAsia="zh-CN"/>
                <w14:textFill>
                  <w14:solidFill>
                    <w14:schemeClr w14:val="tx1"/>
                  </w14:solidFill>
                </w14:textFill>
              </w:rPr>
              <w:t>104.8600</w:t>
            </w:r>
            <w:r>
              <w:rPr>
                <w:color w:val="000000" w:themeColor="text1"/>
                <w:sz w:val="24"/>
                <w:szCs w:val="24"/>
                <w:highlight w:val="none"/>
                <w14:textFill>
                  <w14:solidFill>
                    <w14:schemeClr w14:val="tx1"/>
                  </w14:solidFill>
                </w14:textFill>
              </w:rPr>
              <w:t>t/a+Xt/a，解得回收利用过程未附着量X=</w:t>
            </w:r>
            <w:r>
              <w:rPr>
                <w:rFonts w:hint="eastAsia"/>
                <w:color w:val="000000" w:themeColor="text1"/>
                <w:sz w:val="24"/>
                <w:szCs w:val="24"/>
                <w:highlight w:val="none"/>
                <w:lang w:val="en-US" w:eastAsia="zh-CN"/>
                <w14:textFill>
                  <w14:solidFill>
                    <w14:schemeClr w14:val="tx1"/>
                  </w14:solidFill>
                </w14:textFill>
              </w:rPr>
              <w:t>44.909</w:t>
            </w:r>
            <w:r>
              <w:rPr>
                <w:color w:val="000000" w:themeColor="text1"/>
                <w:sz w:val="24"/>
                <w:szCs w:val="24"/>
                <w:highlight w:val="none"/>
                <w14:textFill>
                  <w14:solidFill>
                    <w14:schemeClr w14:val="tx1"/>
                  </w14:solidFill>
                </w14:textFill>
              </w:rPr>
              <w:t>t/a。</w:t>
            </w:r>
          </w:p>
          <w:p w14:paraId="7C4BAEA4">
            <w:pPr>
              <w:pageBreakBefore w:val="0"/>
              <w:wordWrap w:val="0"/>
              <w:topLinePunct/>
              <w:bidi w:val="0"/>
              <w:spacing w:beforeAutospacing="0" w:afterAutospacing="0" w:line="360" w:lineRule="auto"/>
              <w:ind w:firstLine="480" w:firstLineChars="20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对应收集量为：</w:t>
            </w:r>
            <w:r>
              <w:rPr>
                <w:rFonts w:hint="eastAsia"/>
                <w:color w:val="000000" w:themeColor="text1"/>
                <w:sz w:val="24"/>
                <w:szCs w:val="24"/>
                <w:highlight w:val="none"/>
                <w:lang w:val="en-US" w:eastAsia="zh-CN"/>
                <w14:textFill>
                  <w14:solidFill>
                    <w14:schemeClr w14:val="tx1"/>
                  </w14:solidFill>
                </w14:textFill>
              </w:rPr>
              <w:t>44.909</w:t>
            </w:r>
            <w:r>
              <w:rPr>
                <w:color w:val="000000" w:themeColor="text1"/>
                <w:sz w:val="24"/>
                <w:szCs w:val="24"/>
                <w:highlight w:val="none"/>
                <w14:textFill>
                  <w14:solidFill>
                    <w14:schemeClr w14:val="tx1"/>
                  </w14:solidFill>
                </w14:textFill>
              </w:rPr>
              <w:t>t/a×0.9=</w:t>
            </w:r>
            <w:r>
              <w:rPr>
                <w:rFonts w:hint="eastAsia"/>
                <w:color w:val="000000" w:themeColor="text1"/>
                <w:sz w:val="24"/>
                <w:szCs w:val="24"/>
                <w:highlight w:val="none"/>
                <w:lang w:val="en-US" w:eastAsia="zh-CN"/>
                <w14:textFill>
                  <w14:solidFill>
                    <w14:schemeClr w14:val="tx1"/>
                  </w14:solidFill>
                </w14:textFill>
              </w:rPr>
              <w:t>40.4181</w:t>
            </w:r>
            <w:r>
              <w:rPr>
                <w:color w:val="000000" w:themeColor="text1"/>
                <w:sz w:val="24"/>
                <w:szCs w:val="24"/>
                <w:highlight w:val="none"/>
                <w14:textFill>
                  <w14:solidFill>
                    <w14:schemeClr w14:val="tx1"/>
                  </w14:solidFill>
                </w14:textFill>
              </w:rPr>
              <w:t>t/a；收集回用量为：</w:t>
            </w:r>
            <w:r>
              <w:rPr>
                <w:rFonts w:hint="eastAsia"/>
                <w:color w:val="000000" w:themeColor="text1"/>
                <w:sz w:val="24"/>
                <w:szCs w:val="24"/>
                <w:highlight w:val="none"/>
                <w:lang w:val="en-US" w:eastAsia="zh-CN"/>
                <w14:textFill>
                  <w14:solidFill>
                    <w14:schemeClr w14:val="tx1"/>
                  </w14:solidFill>
                </w14:textFill>
              </w:rPr>
              <w:t>40.4181</w:t>
            </w:r>
            <w:r>
              <w:rPr>
                <w:color w:val="000000" w:themeColor="text1"/>
                <w:sz w:val="24"/>
                <w:szCs w:val="24"/>
                <w:highlight w:val="none"/>
                <w14:textFill>
                  <w14:solidFill>
                    <w14:schemeClr w14:val="tx1"/>
                  </w14:solidFill>
                </w14:textFill>
              </w:rPr>
              <w:t>t/a×0.99=</w:t>
            </w:r>
            <w:r>
              <w:rPr>
                <w:rFonts w:hint="eastAsia"/>
                <w:color w:val="000000" w:themeColor="text1"/>
                <w:sz w:val="24"/>
                <w:szCs w:val="24"/>
                <w:highlight w:val="none"/>
                <w:lang w:val="en-US" w:eastAsia="zh-CN"/>
                <w14:textFill>
                  <w14:solidFill>
                    <w14:schemeClr w14:val="tx1"/>
                  </w14:solidFill>
                </w14:textFill>
              </w:rPr>
              <w:t>40.014</w:t>
            </w:r>
            <w:r>
              <w:rPr>
                <w:color w:val="000000" w:themeColor="text1"/>
                <w:sz w:val="24"/>
                <w:szCs w:val="24"/>
                <w:highlight w:val="none"/>
                <w14:textFill>
                  <w14:solidFill>
                    <w14:schemeClr w14:val="tx1"/>
                  </w14:solidFill>
                </w14:textFill>
              </w:rPr>
              <w:t>t/a；未收集量为：</w:t>
            </w:r>
            <w:r>
              <w:rPr>
                <w:rFonts w:hint="eastAsia"/>
                <w:color w:val="000000" w:themeColor="text1"/>
                <w:sz w:val="24"/>
                <w:szCs w:val="24"/>
                <w:highlight w:val="none"/>
                <w:lang w:val="en-US" w:eastAsia="zh-CN"/>
                <w14:textFill>
                  <w14:solidFill>
                    <w14:schemeClr w14:val="tx1"/>
                  </w14:solidFill>
                </w14:textFill>
              </w:rPr>
              <w:t>44.9090</w:t>
            </w:r>
            <w:r>
              <w:rPr>
                <w:color w:val="000000" w:themeColor="text1"/>
                <w:sz w:val="24"/>
                <w:szCs w:val="24"/>
                <w:highlight w:val="none"/>
                <w14:textFill>
                  <w14:solidFill>
                    <w14:schemeClr w14:val="tx1"/>
                  </w14:solidFill>
                </w14:textFill>
              </w:rPr>
              <w:t>t/a</w:t>
            </w:r>
            <w:r>
              <w:rPr>
                <w:rFonts w:hint="eastAsia"/>
                <w:color w:val="000000" w:themeColor="text1"/>
                <w:sz w:val="24"/>
                <w:szCs w:val="24"/>
                <w:highlight w:val="none"/>
                <w:lang w:val="en-US" w:eastAsia="zh-CN"/>
                <w14:textFill>
                  <w14:solidFill>
                    <w14:schemeClr w14:val="tx1"/>
                  </w14:solidFill>
                </w14:textFill>
              </w:rPr>
              <w:t>-40.418</w:t>
            </w:r>
            <w:r>
              <w:rPr>
                <w:color w:val="000000" w:themeColor="text1"/>
                <w:sz w:val="24"/>
                <w:szCs w:val="24"/>
                <w:highlight w:val="none"/>
                <w14:textFill>
                  <w14:solidFill>
                    <w14:schemeClr w14:val="tx1"/>
                  </w14:solidFill>
                </w14:textFill>
              </w:rPr>
              <w:t>t/a=</w:t>
            </w:r>
            <w:r>
              <w:rPr>
                <w:rFonts w:hint="eastAsia"/>
                <w:color w:val="000000" w:themeColor="text1"/>
                <w:sz w:val="24"/>
                <w:szCs w:val="24"/>
                <w:highlight w:val="none"/>
                <w:lang w:val="en-US" w:eastAsia="zh-CN"/>
                <w14:textFill>
                  <w14:solidFill>
                    <w14:schemeClr w14:val="tx1"/>
                  </w14:solidFill>
                </w14:textFill>
              </w:rPr>
              <w:t>4.4909</w:t>
            </w:r>
            <w:r>
              <w:rPr>
                <w:color w:val="000000" w:themeColor="text1"/>
                <w:sz w:val="24"/>
                <w:szCs w:val="24"/>
                <w:highlight w:val="none"/>
                <w14:textFill>
                  <w14:solidFill>
                    <w14:schemeClr w14:val="tx1"/>
                  </w14:solidFill>
                </w14:textFill>
              </w:rPr>
              <w:t>t/a，地面沉降量为：</w:t>
            </w:r>
            <w:r>
              <w:rPr>
                <w:rFonts w:hint="eastAsia"/>
                <w:color w:val="000000" w:themeColor="text1"/>
                <w:sz w:val="24"/>
                <w:szCs w:val="24"/>
                <w:highlight w:val="none"/>
                <w:lang w:val="en-US" w:eastAsia="zh-CN"/>
                <w14:textFill>
                  <w14:solidFill>
                    <w14:schemeClr w14:val="tx1"/>
                  </w14:solidFill>
                </w14:textFill>
              </w:rPr>
              <w:t>4.4909</w:t>
            </w:r>
            <w:r>
              <w:rPr>
                <w:color w:val="000000" w:themeColor="text1"/>
                <w:sz w:val="24"/>
                <w:szCs w:val="24"/>
                <w:highlight w:val="none"/>
                <w14:textFill>
                  <w14:solidFill>
                    <w14:schemeClr w14:val="tx1"/>
                  </w14:solidFill>
                </w14:textFill>
              </w:rPr>
              <w:t>t/a×80%=</w:t>
            </w:r>
            <w:r>
              <w:rPr>
                <w:rFonts w:hint="eastAsia"/>
                <w:color w:val="000000" w:themeColor="text1"/>
                <w:sz w:val="24"/>
                <w:szCs w:val="24"/>
                <w:highlight w:val="none"/>
                <w:lang w:val="en-US" w:eastAsia="zh-CN"/>
                <w14:textFill>
                  <w14:solidFill>
                    <w14:schemeClr w14:val="tx1"/>
                  </w14:solidFill>
                </w14:textFill>
              </w:rPr>
              <w:t>3.5927</w:t>
            </w:r>
            <w:r>
              <w:rPr>
                <w:color w:val="000000" w:themeColor="text1"/>
                <w:sz w:val="24"/>
                <w:szCs w:val="24"/>
                <w:highlight w:val="none"/>
                <w14:textFill>
                  <w14:solidFill>
                    <w14:schemeClr w14:val="tx1"/>
                  </w14:solidFill>
                </w14:textFill>
              </w:rPr>
              <w:t>t/a。最终静电喷粉粉尘无组织排放量为：（</w:t>
            </w:r>
            <w:r>
              <w:rPr>
                <w:rFonts w:hint="eastAsia"/>
                <w:color w:val="000000" w:themeColor="text1"/>
                <w:sz w:val="24"/>
                <w:szCs w:val="24"/>
                <w:highlight w:val="none"/>
                <w:lang w:val="en-US" w:eastAsia="zh-CN"/>
                <w14:textFill>
                  <w14:solidFill>
                    <w14:schemeClr w14:val="tx1"/>
                  </w14:solidFill>
                </w14:textFill>
              </w:rPr>
              <w:t>4.4909</w:t>
            </w:r>
            <w:r>
              <w:rPr>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3.5927</w:t>
            </w:r>
            <w:r>
              <w:rPr>
                <w:color w:val="000000" w:themeColor="text1"/>
                <w:sz w:val="24"/>
                <w:szCs w:val="24"/>
                <w:highlight w:val="none"/>
                <w14:textFill>
                  <w14:solidFill>
                    <w14:schemeClr w14:val="tx1"/>
                  </w14:solidFill>
                </w14:textFill>
              </w:rPr>
              <w:t>）t/a+（</w:t>
            </w:r>
            <w:r>
              <w:rPr>
                <w:rFonts w:hint="eastAsia"/>
                <w:color w:val="000000" w:themeColor="text1"/>
                <w:sz w:val="24"/>
                <w:szCs w:val="24"/>
                <w:highlight w:val="none"/>
                <w:lang w:val="en-US" w:eastAsia="zh-CN"/>
                <w14:textFill>
                  <w14:solidFill>
                    <w14:schemeClr w14:val="tx1"/>
                  </w14:solidFill>
                </w14:textFill>
              </w:rPr>
              <w:t>40.4181-40.0139</w:t>
            </w:r>
            <w:r>
              <w:rPr>
                <w:color w:val="000000" w:themeColor="text1"/>
                <w:sz w:val="24"/>
                <w:szCs w:val="24"/>
                <w:highlight w:val="none"/>
                <w14:textFill>
                  <w14:solidFill>
                    <w14:schemeClr w14:val="tx1"/>
                  </w14:solidFill>
                </w14:textFill>
              </w:rPr>
              <w:t>）t/a=</w:t>
            </w:r>
            <w:r>
              <w:rPr>
                <w:rFonts w:hint="eastAsia"/>
                <w:color w:val="000000" w:themeColor="text1"/>
                <w:sz w:val="24"/>
                <w:szCs w:val="24"/>
                <w:highlight w:val="none"/>
                <w:lang w:val="en-US" w:eastAsia="zh-CN"/>
                <w14:textFill>
                  <w14:solidFill>
                    <w14:schemeClr w14:val="tx1"/>
                  </w14:solidFill>
                </w14:textFill>
              </w:rPr>
              <w:t>1.3024</w:t>
            </w:r>
            <w:r>
              <w:rPr>
                <w:color w:val="000000" w:themeColor="text1"/>
                <w:sz w:val="24"/>
                <w:szCs w:val="24"/>
                <w:highlight w:val="none"/>
                <w14:textFill>
                  <w14:solidFill>
                    <w14:schemeClr w14:val="tx1"/>
                  </w14:solidFill>
                </w14:textFill>
              </w:rPr>
              <w:t>t/a。</w:t>
            </w:r>
          </w:p>
          <w:p w14:paraId="0FA6C0FE">
            <w:pPr>
              <w:pageBreakBefore w:val="0"/>
              <w:wordWrap w:val="0"/>
              <w:topLinePunct/>
              <w:bidi w:val="0"/>
              <w:spacing w:beforeAutospacing="0" w:afterAutospacing="0" w:line="360" w:lineRule="auto"/>
              <w:ind w:firstLine="480" w:firstLineChars="20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粉末涂料平衡详见下图。</w:t>
            </w:r>
          </w:p>
          <w:p w14:paraId="29C09DB8">
            <w:pPr>
              <w:pStyle w:val="4"/>
              <w:rPr>
                <w:rFonts w:hint="eastAsia" w:eastAsia="宋体"/>
                <w:color w:val="000000" w:themeColor="text1"/>
                <w:lang w:eastAsia="zh-CN"/>
                <w14:textFill>
                  <w14:solidFill>
                    <w14:schemeClr w14:val="tx1"/>
                  </w14:solidFill>
                </w14:textFill>
              </w:rPr>
            </w:pPr>
            <w:r>
              <w:rPr>
                <w:color w:val="000000" w:themeColor="text1"/>
                <w:sz w:val="32"/>
                <w14:textFill>
                  <w14:solidFill>
                    <w14:schemeClr w14:val="tx1"/>
                  </w14:solidFill>
                </w14:textFill>
              </w:rPr>
              <mc:AlternateContent>
                <mc:Choice Requires="wpc">
                  <w:drawing>
                    <wp:inline distT="0" distB="0" distL="114300" distR="114300">
                      <wp:extent cx="5336540" cy="3593465"/>
                      <wp:effectExtent l="0" t="0" r="0" b="0"/>
                      <wp:docPr id="169" name="画布 169"/>
                      <wp:cNvGraphicFramePr/>
                      <a:graphic xmlns:a="http://schemas.openxmlformats.org/drawingml/2006/main">
                        <a:graphicData uri="http://schemas.microsoft.com/office/word/2010/wordprocessingCanvas">
                          <wpc:wpc>
                            <wpc:bg/>
                            <wpc:whole/>
                            <wps:wsp>
                              <wps:cNvPr id="170" name="文本框 170"/>
                              <wps:cNvSpPr txBox="1"/>
                              <wps:spPr>
                                <a:xfrm>
                                  <a:off x="130175" y="989965"/>
                                  <a:ext cx="885825" cy="4953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2A97DA3">
                                    <w:pPr>
                                      <w:jc w:val="center"/>
                                      <w:rPr>
                                        <w:rFonts w:hint="default" w:ascii="Times New Roman" w:hAnsi="Times New Roman" w:cs="Times New Roman"/>
                                        <w:sz w:val="18"/>
                                        <w:szCs w:val="21"/>
                                        <w:lang w:val="en-US" w:eastAsia="zh-CN"/>
                                      </w:rPr>
                                    </w:pPr>
                                    <w:r>
                                      <w:rPr>
                                        <w:rFonts w:hint="default" w:ascii="Times New Roman" w:hAnsi="Times New Roman" w:cs="Times New Roman"/>
                                        <w:sz w:val="18"/>
                                        <w:szCs w:val="21"/>
                                        <w:lang w:val="en-US" w:eastAsia="zh-CN"/>
                                      </w:rPr>
                                      <w:t>静电喷涂粉末</w:t>
                                    </w:r>
                                  </w:p>
                                  <w:p w14:paraId="1DD0D127">
                                    <w:pPr>
                                      <w:pStyle w:val="2"/>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109.7551t/a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5" name="文本框 295"/>
                              <wps:cNvSpPr txBox="1"/>
                              <wps:spPr>
                                <a:xfrm>
                                  <a:off x="1484630" y="65405"/>
                                  <a:ext cx="867410" cy="4953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FFE75E8">
                                    <w:pPr>
                                      <w:pStyle w:val="2"/>
                                      <w:jc w:val="center"/>
                                      <w:rPr>
                                        <w:rFonts w:hint="default" w:ascii="Times New Roman" w:hAnsi="Times New Roman" w:cs="Times New Roman"/>
                                        <w:sz w:val="21"/>
                                        <w:szCs w:val="21"/>
                                        <w:lang w:val="en-US" w:eastAsia="zh-CN"/>
                                      </w:rPr>
                                    </w:pPr>
                                    <w:r>
                                      <w:rPr>
                                        <w:rFonts w:hint="eastAsia" w:ascii="Times New Roman" w:cs="Times New Roman"/>
                                        <w:sz w:val="21"/>
                                        <w:szCs w:val="21"/>
                                        <w:lang w:val="en-US" w:eastAsia="zh-CN"/>
                                      </w:rPr>
                                      <w:t>工件附着量104.8600</w:t>
                                    </w:r>
                                    <w:r>
                                      <w:rPr>
                                        <w:rFonts w:hint="default" w:ascii="Times New Roman" w:hAnsi="Times New Roman" w:cs="Times New Roman"/>
                                        <w:sz w:val="21"/>
                                        <w:szCs w:val="21"/>
                                        <w:lang w:val="en-US" w:eastAsia="zh-CN"/>
                                      </w:rPr>
                                      <w:t>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6" name="文本框 296"/>
                              <wps:cNvSpPr txBox="1"/>
                              <wps:spPr>
                                <a:xfrm>
                                  <a:off x="1484630" y="1551305"/>
                                  <a:ext cx="924560" cy="6191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519FAB1">
                                    <w:pPr>
                                      <w:pStyle w:val="2"/>
                                      <w:jc w:val="center"/>
                                      <w:rPr>
                                        <w:rFonts w:hint="default" w:ascii="Times New Roman" w:hAnsi="Times New Roman" w:cs="Times New Roman"/>
                                        <w:sz w:val="21"/>
                                        <w:szCs w:val="21"/>
                                        <w:lang w:val="en-US" w:eastAsia="zh-CN"/>
                                      </w:rPr>
                                    </w:pPr>
                                    <w:r>
                                      <w:rPr>
                                        <w:rFonts w:hint="eastAsia" w:ascii="Times New Roman" w:cs="Times New Roman"/>
                                        <w:sz w:val="21"/>
                                        <w:szCs w:val="21"/>
                                        <w:lang w:val="en-US" w:eastAsia="zh-CN"/>
                                      </w:rPr>
                                      <w:t>回收利用过程未附着量44.9090</w:t>
                                    </w:r>
                                    <w:r>
                                      <w:rPr>
                                        <w:rFonts w:hint="default" w:ascii="Times New Roman" w:hAnsi="Times New Roman" w:cs="Times New Roman"/>
                                        <w:sz w:val="21"/>
                                        <w:szCs w:val="21"/>
                                        <w:lang w:val="en-US" w:eastAsia="zh-CN"/>
                                      </w:rPr>
                                      <w:t>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7" name="文本框 297"/>
                              <wps:cNvSpPr txBox="1"/>
                              <wps:spPr>
                                <a:xfrm>
                                  <a:off x="2955925" y="2475230"/>
                                  <a:ext cx="905510" cy="4953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748F79D">
                                    <w:pPr>
                                      <w:pStyle w:val="2"/>
                                      <w:jc w:val="center"/>
                                      <w:rPr>
                                        <w:rFonts w:hint="default" w:ascii="Times New Roman" w:hAnsi="Times New Roman" w:cs="Times New Roman"/>
                                        <w:sz w:val="21"/>
                                        <w:szCs w:val="21"/>
                                        <w:lang w:val="en-US" w:eastAsia="zh-CN"/>
                                      </w:rPr>
                                    </w:pPr>
                                    <w:r>
                                      <w:rPr>
                                        <w:rFonts w:hint="eastAsia" w:ascii="Times New Roman" w:cs="Times New Roman"/>
                                        <w:sz w:val="21"/>
                                        <w:szCs w:val="21"/>
                                        <w:lang w:val="en-US" w:eastAsia="zh-CN"/>
                                      </w:rPr>
                                      <w:t>收集量40.4181</w:t>
                                    </w:r>
                                    <w:r>
                                      <w:rPr>
                                        <w:rFonts w:hint="default" w:ascii="Times New Roman" w:hAnsi="Times New Roman" w:cs="Times New Roman"/>
                                        <w:sz w:val="21"/>
                                        <w:szCs w:val="21"/>
                                        <w:lang w:val="en-US" w:eastAsia="zh-CN"/>
                                      </w:rPr>
                                      <w:t>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8" name="文本框 298"/>
                              <wps:cNvSpPr txBox="1"/>
                              <wps:spPr>
                                <a:xfrm>
                                  <a:off x="2956560" y="1370330"/>
                                  <a:ext cx="904240" cy="4191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F68E68C">
                                    <w:pPr>
                                      <w:pStyle w:val="2"/>
                                      <w:jc w:val="center"/>
                                      <w:rPr>
                                        <w:rFonts w:hint="default" w:ascii="Times New Roman" w:hAnsi="Times New Roman" w:cs="Times New Roman"/>
                                        <w:sz w:val="21"/>
                                        <w:szCs w:val="21"/>
                                        <w:lang w:val="en-US" w:eastAsia="zh-CN"/>
                                      </w:rPr>
                                    </w:pPr>
                                    <w:r>
                                      <w:rPr>
                                        <w:rFonts w:hint="eastAsia" w:ascii="Times New Roman" w:cs="Times New Roman"/>
                                        <w:sz w:val="21"/>
                                        <w:szCs w:val="21"/>
                                        <w:lang w:val="en-US" w:eastAsia="zh-CN"/>
                                      </w:rPr>
                                      <w:t>地面沉降量3.5927</w:t>
                                    </w:r>
                                    <w:r>
                                      <w:rPr>
                                        <w:rFonts w:hint="default" w:ascii="Times New Roman" w:hAnsi="Times New Roman" w:cs="Times New Roman"/>
                                        <w:sz w:val="21"/>
                                        <w:szCs w:val="21"/>
                                        <w:lang w:val="en-US" w:eastAsia="zh-CN"/>
                                      </w:rPr>
                                      <w:t>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9" name="文本框 299"/>
                              <wps:cNvSpPr txBox="1"/>
                              <wps:spPr>
                                <a:xfrm>
                                  <a:off x="2961005" y="522605"/>
                                  <a:ext cx="895985" cy="3810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AF04419">
                                    <w:pPr>
                                      <w:jc w:val="center"/>
                                      <w:rPr>
                                        <w:rFonts w:hint="default" w:ascii="Times New Roman" w:hAnsi="Times New Roman" w:cs="Times New Roman"/>
                                        <w:sz w:val="18"/>
                                        <w:szCs w:val="21"/>
                                        <w:lang w:val="en-US" w:eastAsia="zh-CN"/>
                                      </w:rPr>
                                    </w:pPr>
                                    <w:r>
                                      <w:rPr>
                                        <w:rFonts w:hint="eastAsia" w:cs="Times New Roman"/>
                                        <w:sz w:val="18"/>
                                        <w:szCs w:val="21"/>
                                        <w:lang w:val="en-US" w:eastAsia="zh-CN"/>
                                      </w:rPr>
                                      <w:t>未收集量</w:t>
                                    </w:r>
                                  </w:p>
                                  <w:p w14:paraId="20840563">
                                    <w:pPr>
                                      <w:pStyle w:val="2"/>
                                      <w:jc w:val="center"/>
                                      <w:rPr>
                                        <w:rFonts w:hint="default" w:ascii="Times New Roman" w:hAnsi="Times New Roman" w:cs="Times New Roman"/>
                                        <w:sz w:val="21"/>
                                        <w:szCs w:val="21"/>
                                        <w:lang w:val="en-US" w:eastAsia="zh-CN"/>
                                      </w:rPr>
                                    </w:pPr>
                                    <w:r>
                                      <w:rPr>
                                        <w:rFonts w:hint="eastAsia" w:ascii="Times New Roman" w:cs="Times New Roman"/>
                                        <w:sz w:val="21"/>
                                        <w:szCs w:val="21"/>
                                        <w:lang w:val="en-US" w:eastAsia="zh-CN"/>
                                      </w:rPr>
                                      <w:t>4.4909</w:t>
                                    </w:r>
                                    <w:r>
                                      <w:rPr>
                                        <w:rFonts w:hint="default" w:ascii="Times New Roman" w:hAnsi="Times New Roman" w:cs="Times New Roman"/>
                                        <w:sz w:val="21"/>
                                        <w:szCs w:val="21"/>
                                        <w:lang w:val="en-US" w:eastAsia="zh-CN"/>
                                      </w:rPr>
                                      <w:t>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0" name="文本框 300"/>
                              <wps:cNvSpPr txBox="1"/>
                              <wps:spPr>
                                <a:xfrm>
                                  <a:off x="4255135" y="1179830"/>
                                  <a:ext cx="877570" cy="4953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7A349DD">
                                    <w:pPr>
                                      <w:jc w:val="center"/>
                                      <w:rPr>
                                        <w:rFonts w:hint="default" w:ascii="Times New Roman" w:hAnsi="Times New Roman" w:cs="Times New Roman"/>
                                        <w:sz w:val="18"/>
                                        <w:szCs w:val="21"/>
                                        <w:lang w:val="en-US" w:eastAsia="zh-CN"/>
                                      </w:rPr>
                                    </w:pPr>
                                    <w:r>
                                      <w:rPr>
                                        <w:rFonts w:hint="eastAsia" w:cs="Times New Roman"/>
                                        <w:sz w:val="18"/>
                                        <w:szCs w:val="21"/>
                                        <w:lang w:val="en-US" w:eastAsia="zh-CN"/>
                                      </w:rPr>
                                      <w:t>无组织排放量</w:t>
                                    </w:r>
                                  </w:p>
                                  <w:p w14:paraId="295C4304">
                                    <w:pPr>
                                      <w:pStyle w:val="2"/>
                                      <w:jc w:val="center"/>
                                      <w:rPr>
                                        <w:rFonts w:hint="default" w:ascii="Times New Roman" w:hAnsi="Times New Roman" w:cs="Times New Roman"/>
                                        <w:sz w:val="21"/>
                                        <w:szCs w:val="21"/>
                                        <w:lang w:val="en-US" w:eastAsia="zh-CN"/>
                                      </w:rPr>
                                    </w:pPr>
                                    <w:r>
                                      <w:rPr>
                                        <w:rFonts w:hint="eastAsia" w:ascii="Times New Roman" w:cs="Times New Roman"/>
                                        <w:sz w:val="21"/>
                                        <w:szCs w:val="21"/>
                                        <w:lang w:val="en-US" w:eastAsia="zh-CN"/>
                                      </w:rPr>
                                      <w:t>1.302</w:t>
                                    </w:r>
                                    <w:r>
                                      <w:rPr>
                                        <w:rFonts w:hint="default" w:ascii="Times New Roman" w:hAnsi="Times New Roman" w:cs="Times New Roman"/>
                                        <w:sz w:val="21"/>
                                        <w:szCs w:val="21"/>
                                        <w:lang w:val="en-US" w:eastAsia="zh-CN"/>
                                      </w:rPr>
                                      <w:t>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1" name="肘形连接符 301"/>
                              <wps:cNvCnPr>
                                <a:stCxn id="170" idx="3"/>
                                <a:endCxn id="295" idx="1"/>
                              </wps:cNvCnPr>
                              <wps:spPr>
                                <a:xfrm flipV="1">
                                  <a:off x="1016000" y="313055"/>
                                  <a:ext cx="468630" cy="924560"/>
                                </a:xfrm>
                                <a:prstGeom prst="bentConnector3">
                                  <a:avLst>
                                    <a:gd name="adj1" fmla="val 50000"/>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02" name="肘形连接符 302"/>
                              <wps:cNvCnPr>
                                <a:stCxn id="170" idx="3"/>
                                <a:endCxn id="296" idx="1"/>
                              </wps:cNvCnPr>
                              <wps:spPr>
                                <a:xfrm>
                                  <a:off x="1016000" y="1237615"/>
                                  <a:ext cx="468630" cy="623570"/>
                                </a:xfrm>
                                <a:prstGeom prst="bentConnector3">
                                  <a:avLst>
                                    <a:gd name="adj1" fmla="val 50000"/>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03" name="肘形连接符 303"/>
                              <wps:cNvCnPr>
                                <a:stCxn id="296" idx="3"/>
                                <a:endCxn id="297" idx="1"/>
                              </wps:cNvCnPr>
                              <wps:spPr>
                                <a:xfrm>
                                  <a:off x="2409190" y="1861185"/>
                                  <a:ext cx="546735" cy="861695"/>
                                </a:xfrm>
                                <a:prstGeom prst="bentConnector3">
                                  <a:avLst>
                                    <a:gd name="adj1" fmla="val 50058"/>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04" name="肘形连接符 304"/>
                              <wps:cNvCnPr>
                                <a:stCxn id="296" idx="3"/>
                                <a:endCxn id="299" idx="1"/>
                              </wps:cNvCnPr>
                              <wps:spPr>
                                <a:xfrm flipV="1">
                                  <a:off x="2409190" y="713105"/>
                                  <a:ext cx="551815" cy="1148080"/>
                                </a:xfrm>
                                <a:prstGeom prst="bentConnector3">
                                  <a:avLst>
                                    <a:gd name="adj1" fmla="val 50058"/>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05" name="直接箭头连接符 305"/>
                              <wps:cNvCnPr>
                                <a:stCxn id="299" idx="2"/>
                                <a:endCxn id="298" idx="0"/>
                              </wps:cNvCnPr>
                              <wps:spPr>
                                <a:xfrm flipH="1">
                                  <a:off x="3408680" y="903605"/>
                                  <a:ext cx="635" cy="466725"/>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06" name="肘形连接符 306"/>
                              <wps:cNvCnPr>
                                <a:stCxn id="299" idx="3"/>
                                <a:endCxn id="300" idx="1"/>
                              </wps:cNvCnPr>
                              <wps:spPr>
                                <a:xfrm>
                                  <a:off x="3856990" y="713105"/>
                                  <a:ext cx="398145" cy="714375"/>
                                </a:xfrm>
                                <a:prstGeom prst="bentConnector3">
                                  <a:avLst>
                                    <a:gd name="adj1" fmla="val 50080"/>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07" name="肘形连接符 307"/>
                              <wps:cNvCnPr>
                                <a:stCxn id="297" idx="3"/>
                                <a:endCxn id="300" idx="1"/>
                              </wps:cNvCnPr>
                              <wps:spPr>
                                <a:xfrm flipV="1">
                                  <a:off x="3861435" y="1427480"/>
                                  <a:ext cx="393700" cy="1295400"/>
                                </a:xfrm>
                                <a:prstGeom prst="bentConnector3">
                                  <a:avLst>
                                    <a:gd name="adj1" fmla="val 50000"/>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08" name="肘形连接符 308"/>
                              <wps:cNvCnPr/>
                              <wps:spPr>
                                <a:xfrm rot="5400000" flipH="1">
                                  <a:off x="1248410" y="796290"/>
                                  <a:ext cx="1485265" cy="2835275"/>
                                </a:xfrm>
                                <a:prstGeom prst="bentConnector3">
                                  <a:avLst>
                                    <a:gd name="adj1" fmla="val -16032"/>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09" name="文本框 309"/>
                              <wps:cNvSpPr txBox="1"/>
                              <wps:spPr>
                                <a:xfrm>
                                  <a:off x="4035425" y="2009140"/>
                                  <a:ext cx="80962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7A6430">
                                    <w:pPr>
                                      <w:rPr>
                                        <w:rFonts w:hint="default" w:eastAsia="宋体"/>
                                        <w:lang w:val="en-US" w:eastAsia="zh-CN"/>
                                      </w:rPr>
                                    </w:pPr>
                                    <w:r>
                                      <w:rPr>
                                        <w:rFonts w:hint="eastAsia"/>
                                        <w:lang w:val="en-US" w:eastAsia="zh-CN"/>
                                      </w:rPr>
                                      <w:t>0.4042t/a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0" name="文本框 310"/>
                              <wps:cNvSpPr txBox="1"/>
                              <wps:spPr>
                                <a:xfrm>
                                  <a:off x="141605" y="255905"/>
                                  <a:ext cx="85280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FCEB21">
                                    <w:pPr>
                                      <w:rPr>
                                        <w:rFonts w:hint="default" w:eastAsia="宋体"/>
                                        <w:lang w:val="en-US" w:eastAsia="zh-CN"/>
                                      </w:rPr>
                                    </w:pPr>
                                    <w:r>
                                      <w:rPr>
                                        <w:rFonts w:hint="eastAsia"/>
                                        <w:lang w:val="en-US" w:eastAsia="zh-CN"/>
                                      </w:rPr>
                                      <w:t>109.7551t/a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1" name="文本框 311"/>
                              <wps:cNvSpPr txBox="1"/>
                              <wps:spPr>
                                <a:xfrm>
                                  <a:off x="988060" y="2919730"/>
                                  <a:ext cx="1306195" cy="2698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E5042A">
                                    <w:pPr>
                                      <w:rPr>
                                        <w:rFonts w:hint="default" w:eastAsia="宋体"/>
                                        <w:lang w:val="en-US" w:eastAsia="zh-CN"/>
                                      </w:rPr>
                                    </w:pPr>
                                    <w:r>
                                      <w:rPr>
                                        <w:rFonts w:hint="eastAsia"/>
                                        <w:lang w:val="en-US" w:eastAsia="zh-CN"/>
                                      </w:rPr>
                                      <w:t>回用40.0139t/a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2" name="文本框 312"/>
                              <wps:cNvSpPr txBox="1"/>
                              <wps:spPr>
                                <a:xfrm>
                                  <a:off x="3951605" y="779780"/>
                                  <a:ext cx="80962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E0E33D">
                                    <w:pPr>
                                      <w:rPr>
                                        <w:rFonts w:hint="default" w:eastAsia="宋体"/>
                                        <w:lang w:val="en-US" w:eastAsia="zh-CN"/>
                                      </w:rPr>
                                    </w:pPr>
                                    <w:r>
                                      <w:rPr>
                                        <w:rFonts w:hint="eastAsia"/>
                                        <w:lang w:val="en-US" w:eastAsia="zh-CN"/>
                                      </w:rPr>
                                      <w:t>0.8982t/a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3" name="直接箭头连接符 313"/>
                              <wps:cNvCnPr/>
                              <wps:spPr>
                                <a:xfrm flipH="1">
                                  <a:off x="513080" y="484505"/>
                                  <a:ext cx="635" cy="466725"/>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c:wpc>
                        </a:graphicData>
                      </a:graphic>
                    </wp:inline>
                  </w:drawing>
                </mc:Choice>
                <mc:Fallback>
                  <w:pict>
                    <v:group id="_x0000_s1026" o:spid="_x0000_s1026" o:spt="203" style="height:282.95pt;width:420.2pt;" coordsize="5336540,3593465" editas="canvas" o:gfxdata="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">
                      <o:lock v:ext="edit" aspectratio="f"/>
                      <v:shape id="_x0000_s1026" o:spid="_x0000_s1026" style="position:absolute;left:0;top:0;height:3593465;width:5336540;" filled="f" stroked="f" coordsize="21600,21600" o:gfxdata="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">
                        <v:fill on="f" focussize="0,0"/>
                        <v:stroke on="f"/>
                        <v:imagedata o:title=""/>
                        <o:lock v:ext="edit" aspectratio="f"/>
                      </v:shape>
                      <v:shape id="_x0000_s1026" o:spid="_x0000_s1026" o:spt="202" type="#_x0000_t202" style="position:absolute;left:130175;top:989965;height:495300;width:885825;" fillcolor="#FFFFFF [3201]" filled="t" stroked="t" coordsize="21600,21600" o:gfxdata="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8ePpSdQAAAAFAQAADwAAAAAAAAABACAAAAAiAAAAZHJzL2Rvd25yZXYueG1sUEsBAhQAFAAA&#10;AAgAh07iQFs6YjllAgAAxAQAAA4AAAAAAAAAAQAgAAAAIwEAAGRycy9lMm9Eb2MueG1sUEsFBgAA&#10;AAAGAAYAWQEAAPoFAAAAAA==&#10;">
                        <v:fill on="t" focussize="0,0"/>
                        <v:stroke weight="0.5pt" color="#000000 [3204]" joinstyle="round"/>
                        <v:imagedata o:title=""/>
                        <o:lock v:ext="edit" aspectratio="f"/>
                        <v:textbox>
                          <w:txbxContent>
                            <w:p w14:paraId="52A97DA3">
                              <w:pPr>
                                <w:jc w:val="center"/>
                                <w:rPr>
                                  <w:rFonts w:hint="default" w:ascii="Times New Roman" w:hAnsi="Times New Roman" w:cs="Times New Roman"/>
                                  <w:sz w:val="18"/>
                                  <w:szCs w:val="21"/>
                                  <w:lang w:val="en-US" w:eastAsia="zh-CN"/>
                                </w:rPr>
                              </w:pPr>
                              <w:r>
                                <w:rPr>
                                  <w:rFonts w:hint="default" w:ascii="Times New Roman" w:hAnsi="Times New Roman" w:cs="Times New Roman"/>
                                  <w:sz w:val="18"/>
                                  <w:szCs w:val="21"/>
                                  <w:lang w:val="en-US" w:eastAsia="zh-CN"/>
                                </w:rPr>
                                <w:t>静电喷涂粉末</w:t>
                              </w:r>
                            </w:p>
                            <w:p w14:paraId="1DD0D127">
                              <w:pPr>
                                <w:pStyle w:val="2"/>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109.7551t/a</w:t>
                              </w:r>
                            </w:p>
                          </w:txbxContent>
                        </v:textbox>
                      </v:shape>
                      <v:shape id="_x0000_s1026" o:spid="_x0000_s1026" o:spt="202" type="#_x0000_t202" style="position:absolute;left:1484630;top:65405;height:495300;width:867410;" fillcolor="#FFFFFF [3201]" filled="t" stroked="t" coordsize="21600,21600" o:gfxdata="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PHj6UnUAAAABQEAAA8AAAAAAAAAAQAgAAAAIgAAAGRycy9kb3ducmV2LnhtbFBLAQIUABQA&#10;AAAIAIdO4kB/+0akZgIAAMQEAAAOAAAAAAAAAAEAIAAAACMBAABkcnMvZTJvRG9jLnhtbFBLBQYA&#10;AAAABgAGAFkBAAD7BQAAAAA=&#10;">
                        <v:fill on="t" focussize="0,0"/>
                        <v:stroke weight="0.5pt" color="#000000 [3204]" joinstyle="round"/>
                        <v:imagedata o:title=""/>
                        <o:lock v:ext="edit" aspectratio="f"/>
                        <v:textbox>
                          <w:txbxContent>
                            <w:p w14:paraId="2FFE75E8">
                              <w:pPr>
                                <w:pStyle w:val="2"/>
                                <w:jc w:val="center"/>
                                <w:rPr>
                                  <w:rFonts w:hint="default" w:ascii="Times New Roman" w:hAnsi="Times New Roman" w:cs="Times New Roman"/>
                                  <w:sz w:val="21"/>
                                  <w:szCs w:val="21"/>
                                  <w:lang w:val="en-US" w:eastAsia="zh-CN"/>
                                </w:rPr>
                              </w:pPr>
                              <w:r>
                                <w:rPr>
                                  <w:rFonts w:hint="eastAsia" w:ascii="Times New Roman" w:cs="Times New Roman"/>
                                  <w:sz w:val="21"/>
                                  <w:szCs w:val="21"/>
                                  <w:lang w:val="en-US" w:eastAsia="zh-CN"/>
                                </w:rPr>
                                <w:t>工件附着量104.8600</w:t>
                              </w:r>
                              <w:r>
                                <w:rPr>
                                  <w:rFonts w:hint="default" w:ascii="Times New Roman" w:hAnsi="Times New Roman" w:cs="Times New Roman"/>
                                  <w:sz w:val="21"/>
                                  <w:szCs w:val="21"/>
                                  <w:lang w:val="en-US" w:eastAsia="zh-CN"/>
                                </w:rPr>
                                <w:t>t/a</w:t>
                              </w:r>
                            </w:p>
                          </w:txbxContent>
                        </v:textbox>
                      </v:shape>
                      <v:shape id="_x0000_s1026" o:spid="_x0000_s1026" o:spt="202" type="#_x0000_t202" style="position:absolute;left:1484630;top:1551305;height:619125;width:924560;" fillcolor="#FFFFFF [3201]" filled="t" stroked="t" coordsize="21600,21600" o:gfxdata="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PHj6UnUAAAABQEAAA8AAAAAAAAAAQAgAAAAIgAAAGRycy9kb3ducmV2LnhtbFBLAQIUABQA&#10;AAAIAIdO4kD/v77HZgIAAMYEAAAOAAAAAAAAAAEAIAAAACMBAABkcnMvZTJvRG9jLnhtbFBLBQYA&#10;AAAABgAGAFkBAAD7BQAAAAA=&#10;">
                        <v:fill on="t" focussize="0,0"/>
                        <v:stroke weight="0.5pt" color="#000000 [3204]" joinstyle="round"/>
                        <v:imagedata o:title=""/>
                        <o:lock v:ext="edit" aspectratio="f"/>
                        <v:textbox>
                          <w:txbxContent>
                            <w:p w14:paraId="3519FAB1">
                              <w:pPr>
                                <w:pStyle w:val="2"/>
                                <w:jc w:val="center"/>
                                <w:rPr>
                                  <w:rFonts w:hint="default" w:ascii="Times New Roman" w:hAnsi="Times New Roman" w:cs="Times New Roman"/>
                                  <w:sz w:val="21"/>
                                  <w:szCs w:val="21"/>
                                  <w:lang w:val="en-US" w:eastAsia="zh-CN"/>
                                </w:rPr>
                              </w:pPr>
                              <w:r>
                                <w:rPr>
                                  <w:rFonts w:hint="eastAsia" w:ascii="Times New Roman" w:cs="Times New Roman"/>
                                  <w:sz w:val="21"/>
                                  <w:szCs w:val="21"/>
                                  <w:lang w:val="en-US" w:eastAsia="zh-CN"/>
                                </w:rPr>
                                <w:t>回收利用过程未附着量44.9090</w:t>
                              </w:r>
                              <w:r>
                                <w:rPr>
                                  <w:rFonts w:hint="default" w:ascii="Times New Roman" w:hAnsi="Times New Roman" w:cs="Times New Roman"/>
                                  <w:sz w:val="21"/>
                                  <w:szCs w:val="21"/>
                                  <w:lang w:val="en-US" w:eastAsia="zh-CN"/>
                                </w:rPr>
                                <w:t>t/a</w:t>
                              </w:r>
                            </w:p>
                          </w:txbxContent>
                        </v:textbox>
                      </v:shape>
                      <v:shape id="_x0000_s1026" o:spid="_x0000_s1026" o:spt="202" type="#_x0000_t202" style="position:absolute;left:2955925;top:2475230;height:495300;width:905510;" fillcolor="#FFFFFF [3201]" filled="t" stroked="t" coordsize="21600,21600" o:gfxdata="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x4+lJ1AAAAAUBAAAPAAAAAAAAAAEAIAAAACIAAABkcnMvZG93bnJldi54bWxQSwECFAAU&#10;AAAACACHTuJANTgXdGcCAADGBAAADgAAAAAAAAABACAAAAAjAQAAZHJzL2Uyb0RvYy54bWxQSwUG&#10;AAAAAAYABgBZAQAA/AUAAAAA&#10;">
                        <v:fill on="t" focussize="0,0"/>
                        <v:stroke weight="0.5pt" color="#000000 [3204]" joinstyle="round"/>
                        <v:imagedata o:title=""/>
                        <o:lock v:ext="edit" aspectratio="f"/>
                        <v:textbox>
                          <w:txbxContent>
                            <w:p w14:paraId="1748F79D">
                              <w:pPr>
                                <w:pStyle w:val="2"/>
                                <w:jc w:val="center"/>
                                <w:rPr>
                                  <w:rFonts w:hint="default" w:ascii="Times New Roman" w:hAnsi="Times New Roman" w:cs="Times New Roman"/>
                                  <w:sz w:val="21"/>
                                  <w:szCs w:val="21"/>
                                  <w:lang w:val="en-US" w:eastAsia="zh-CN"/>
                                </w:rPr>
                              </w:pPr>
                              <w:r>
                                <w:rPr>
                                  <w:rFonts w:hint="eastAsia" w:ascii="Times New Roman" w:cs="Times New Roman"/>
                                  <w:sz w:val="21"/>
                                  <w:szCs w:val="21"/>
                                  <w:lang w:val="en-US" w:eastAsia="zh-CN"/>
                                </w:rPr>
                                <w:t>收集量40.4181</w:t>
                              </w:r>
                              <w:r>
                                <w:rPr>
                                  <w:rFonts w:hint="default" w:ascii="Times New Roman" w:hAnsi="Times New Roman" w:cs="Times New Roman"/>
                                  <w:sz w:val="21"/>
                                  <w:szCs w:val="21"/>
                                  <w:lang w:val="en-US" w:eastAsia="zh-CN"/>
                                </w:rPr>
                                <w:t>t/a</w:t>
                              </w:r>
                            </w:p>
                          </w:txbxContent>
                        </v:textbox>
                      </v:shape>
                      <v:shape id="_x0000_s1026" o:spid="_x0000_s1026" o:spt="202" type="#_x0000_t202" style="position:absolute;left:2956560;top:1370330;height:419100;width:904240;" fillcolor="#FFFFFF [3201]" filled="t" stroked="t" coordsize="21600,21600" o:gfxdata="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8ePpSdQAAAAFAQAADwAAAAAAAAABACAAAAAiAAAAZHJzL2Rvd25yZXYueG1sUEsBAhQAFAAA&#10;AAgAh07iQCnT3mxlAgAAxgQAAA4AAAAAAAAAAQAgAAAAIwEAAGRycy9lMm9Eb2MueG1sUEsFBgAA&#10;AAAGAAYAWQEAAPoFAAAAAA==&#10;">
                        <v:fill on="t" focussize="0,0"/>
                        <v:stroke weight="0.5pt" color="#000000 [3204]" joinstyle="round"/>
                        <v:imagedata o:title=""/>
                        <o:lock v:ext="edit" aspectratio="f"/>
                        <v:textbox>
                          <w:txbxContent>
                            <w:p w14:paraId="6F68E68C">
                              <w:pPr>
                                <w:pStyle w:val="2"/>
                                <w:jc w:val="center"/>
                                <w:rPr>
                                  <w:rFonts w:hint="default" w:ascii="Times New Roman" w:hAnsi="Times New Roman" w:cs="Times New Roman"/>
                                  <w:sz w:val="21"/>
                                  <w:szCs w:val="21"/>
                                  <w:lang w:val="en-US" w:eastAsia="zh-CN"/>
                                </w:rPr>
                              </w:pPr>
                              <w:r>
                                <w:rPr>
                                  <w:rFonts w:hint="eastAsia" w:ascii="Times New Roman" w:cs="Times New Roman"/>
                                  <w:sz w:val="21"/>
                                  <w:szCs w:val="21"/>
                                  <w:lang w:val="en-US" w:eastAsia="zh-CN"/>
                                </w:rPr>
                                <w:t>地面沉降量3.5927</w:t>
                              </w:r>
                              <w:r>
                                <w:rPr>
                                  <w:rFonts w:hint="default" w:ascii="Times New Roman" w:hAnsi="Times New Roman" w:cs="Times New Roman"/>
                                  <w:sz w:val="21"/>
                                  <w:szCs w:val="21"/>
                                  <w:lang w:val="en-US" w:eastAsia="zh-CN"/>
                                </w:rPr>
                                <w:t>t/a</w:t>
                              </w:r>
                            </w:p>
                          </w:txbxContent>
                        </v:textbox>
                      </v:shape>
                      <v:shape id="_x0000_s1026" o:spid="_x0000_s1026" o:spt="202" type="#_x0000_t202" style="position:absolute;left:2961005;top:522605;height:381000;width:895985;" fillcolor="#FFFFFF [3201]" filled="t" stroked="t" coordsize="21600,21600" o:gfxdata="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PHj6UnUAAAABQEAAA8AAAAAAAAAAQAgAAAAIgAAAGRycy9kb3ducmV2LnhtbFBLAQIUABQA&#10;AAAIAIdO4kBV7uR6ZgIAAMUEAAAOAAAAAAAAAAEAIAAAACMBAABkcnMvZTJvRG9jLnhtbFBLBQYA&#10;AAAABgAGAFkBAAD7BQAAAAA=&#10;">
                        <v:fill on="t" focussize="0,0"/>
                        <v:stroke weight="0.5pt" color="#000000 [3204]" joinstyle="round"/>
                        <v:imagedata o:title=""/>
                        <o:lock v:ext="edit" aspectratio="f"/>
                        <v:textbox>
                          <w:txbxContent>
                            <w:p w14:paraId="2AF04419">
                              <w:pPr>
                                <w:jc w:val="center"/>
                                <w:rPr>
                                  <w:rFonts w:hint="default" w:ascii="Times New Roman" w:hAnsi="Times New Roman" w:cs="Times New Roman"/>
                                  <w:sz w:val="18"/>
                                  <w:szCs w:val="21"/>
                                  <w:lang w:val="en-US" w:eastAsia="zh-CN"/>
                                </w:rPr>
                              </w:pPr>
                              <w:r>
                                <w:rPr>
                                  <w:rFonts w:hint="eastAsia" w:cs="Times New Roman"/>
                                  <w:sz w:val="18"/>
                                  <w:szCs w:val="21"/>
                                  <w:lang w:val="en-US" w:eastAsia="zh-CN"/>
                                </w:rPr>
                                <w:t>未收集量</w:t>
                              </w:r>
                            </w:p>
                            <w:p w14:paraId="20840563">
                              <w:pPr>
                                <w:pStyle w:val="2"/>
                                <w:jc w:val="center"/>
                                <w:rPr>
                                  <w:rFonts w:hint="default" w:ascii="Times New Roman" w:hAnsi="Times New Roman" w:cs="Times New Roman"/>
                                  <w:sz w:val="21"/>
                                  <w:szCs w:val="21"/>
                                  <w:lang w:val="en-US" w:eastAsia="zh-CN"/>
                                </w:rPr>
                              </w:pPr>
                              <w:r>
                                <w:rPr>
                                  <w:rFonts w:hint="eastAsia" w:ascii="Times New Roman" w:cs="Times New Roman"/>
                                  <w:sz w:val="21"/>
                                  <w:szCs w:val="21"/>
                                  <w:lang w:val="en-US" w:eastAsia="zh-CN"/>
                                </w:rPr>
                                <w:t>4.4909</w:t>
                              </w:r>
                              <w:r>
                                <w:rPr>
                                  <w:rFonts w:hint="default" w:ascii="Times New Roman" w:hAnsi="Times New Roman" w:cs="Times New Roman"/>
                                  <w:sz w:val="21"/>
                                  <w:szCs w:val="21"/>
                                  <w:lang w:val="en-US" w:eastAsia="zh-CN"/>
                                </w:rPr>
                                <w:t>t/a</w:t>
                              </w:r>
                            </w:p>
                          </w:txbxContent>
                        </v:textbox>
                      </v:shape>
                      <v:shape id="_x0000_s1026" o:spid="_x0000_s1026" o:spt="202" type="#_x0000_t202" style="position:absolute;left:4255135;top:1179830;height:495300;width:877570;" fillcolor="#FFFFFF [3201]" filled="t" stroked="t" coordsize="21600,21600" o:gfxdata="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8ePpSdQAAAAFAQAADwAAAAAAAAABACAAAAAiAAAAZHJzL2Rvd25yZXYueG1sUEsBAhQAFAAA&#10;AAgAh07iQCYL0qtlAgAAxgQAAA4AAAAAAAAAAQAgAAAAIwEAAGRycy9lMm9Eb2MueG1sUEsFBgAA&#10;AAAGAAYAWQEAAPoFAAAAAA==&#10;">
                        <v:fill on="t" focussize="0,0"/>
                        <v:stroke weight="0.5pt" color="#000000 [3204]" joinstyle="round"/>
                        <v:imagedata o:title=""/>
                        <o:lock v:ext="edit" aspectratio="f"/>
                        <v:textbox>
                          <w:txbxContent>
                            <w:p w14:paraId="47A349DD">
                              <w:pPr>
                                <w:jc w:val="center"/>
                                <w:rPr>
                                  <w:rFonts w:hint="default" w:ascii="Times New Roman" w:hAnsi="Times New Roman" w:cs="Times New Roman"/>
                                  <w:sz w:val="18"/>
                                  <w:szCs w:val="21"/>
                                  <w:lang w:val="en-US" w:eastAsia="zh-CN"/>
                                </w:rPr>
                              </w:pPr>
                              <w:r>
                                <w:rPr>
                                  <w:rFonts w:hint="eastAsia" w:cs="Times New Roman"/>
                                  <w:sz w:val="18"/>
                                  <w:szCs w:val="21"/>
                                  <w:lang w:val="en-US" w:eastAsia="zh-CN"/>
                                </w:rPr>
                                <w:t>无组织排放量</w:t>
                              </w:r>
                            </w:p>
                            <w:p w14:paraId="295C4304">
                              <w:pPr>
                                <w:pStyle w:val="2"/>
                                <w:jc w:val="center"/>
                                <w:rPr>
                                  <w:rFonts w:hint="default" w:ascii="Times New Roman" w:hAnsi="Times New Roman" w:cs="Times New Roman"/>
                                  <w:sz w:val="21"/>
                                  <w:szCs w:val="21"/>
                                  <w:lang w:val="en-US" w:eastAsia="zh-CN"/>
                                </w:rPr>
                              </w:pPr>
                              <w:r>
                                <w:rPr>
                                  <w:rFonts w:hint="eastAsia" w:ascii="Times New Roman" w:cs="Times New Roman"/>
                                  <w:sz w:val="21"/>
                                  <w:szCs w:val="21"/>
                                  <w:lang w:val="en-US" w:eastAsia="zh-CN"/>
                                </w:rPr>
                                <w:t>1.302</w:t>
                              </w:r>
                              <w:r>
                                <w:rPr>
                                  <w:rFonts w:hint="default" w:ascii="Times New Roman" w:hAnsi="Times New Roman" w:cs="Times New Roman"/>
                                  <w:sz w:val="21"/>
                                  <w:szCs w:val="21"/>
                                  <w:lang w:val="en-US" w:eastAsia="zh-CN"/>
                                </w:rPr>
                                <w:t>t/a</w:t>
                              </w:r>
                            </w:p>
                          </w:txbxContent>
                        </v:textbox>
                      </v:shape>
                      <v:shape id="_x0000_s1026" o:spid="_x0000_s1026" o:spt="34" type="#_x0000_t34" style="position:absolute;left:1016000;top:313055;flip:y;height:924560;width:468630;" filled="f" stroked="t" coordsize="21600,21600" o:gfxdata="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Cr4ZA1gAAAAUBAAAPAAAAAAAAAAEAIAAAACIAAABkcnMv&#10;ZG93bnJldi54bWxQSwECFAAUAAAACACHTuJAzK9Urz4CAABLBAAADgAAAAAAAAABACAAAAAlAQAA&#10;ZHJzL2Uyb0RvYy54bWxQSwUGAAAAAAYABgBZAQAA1QUAAAAA&#10;" adj="10800">
                        <v:fill on="f" focussize="0,0"/>
                        <v:stroke color="#000000 [3213]" joinstyle="round" endarrow="open"/>
                        <v:imagedata o:title=""/>
                        <o:lock v:ext="edit" aspectratio="f"/>
                      </v:shape>
                      <v:shape id="_x0000_s1026" o:spid="_x0000_s1026" o:spt="34" type="#_x0000_t34" style="position:absolute;left:1016000;top:1237615;height:623570;width:468630;" filled="f" stroked="t" coordsize="21600,21600" o:gfxdata="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ygbnE1gAAAAUBAAAPAAAAAAAAAAEAIAAAACIAAABkcnMvZG93bnJldi54&#10;bWxQSwECFAAUAAAACACHTuJAsFg1KjUCAABCBAAADgAAAAAAAAABACAAAAAlAQAAZHJzL2Uyb0Rv&#10;Yy54bWxQSwUGAAAAAAYABgBZAQAAzAUAAAAA&#10;" adj="10800">
                        <v:fill on="f" focussize="0,0"/>
                        <v:stroke color="#000000 [3213]" joinstyle="round" endarrow="open"/>
                        <v:imagedata o:title=""/>
                        <o:lock v:ext="edit" aspectratio="f"/>
                      </v:shape>
                      <v:shape id="_x0000_s1026" o:spid="_x0000_s1026" o:spt="34" type="#_x0000_t34" style="position:absolute;left:2409190;top:1861185;height:861695;width:546735;" filled="f" stroked="t" coordsize="21600,21600" o:gfxdata="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AFZdvYAAAABQEAAA8AAAAAAAAAAQAgAAAAIgAAAGRycy9kb3ducmV2&#10;LnhtbFBLAQIUABQAAAAIAIdO4kAjeDecNQIAAEIEAAAOAAAAAAAAAAEAIAAAACcBAABkcnMvZTJv&#10;RG9jLnhtbFBLBQYAAAAABgAGAFkBAADOBQAAAAA=&#10;" adj="10813">
                        <v:fill on="f" focussize="0,0"/>
                        <v:stroke color="#000000 [3213]" joinstyle="round" endarrow="open"/>
                        <v:imagedata o:title=""/>
                        <o:lock v:ext="edit" aspectratio="f"/>
                      </v:shape>
                      <v:shape id="_x0000_s1026" o:spid="_x0000_s1026" o:spt="34" type="#_x0000_t34" style="position:absolute;left:2409190;top:713105;flip:y;height:1148080;width:551815;" filled="f" stroked="t" coordsize="21600,21600" o:gfxdata="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V4UWqdQAAAAFAQAADwAAAAAAAAABACAAAAAiAAAAZHJzL2Rv&#10;d25yZXYueG1sUEsBAhQAFAAAAAgAh07iQGsaUHs+AgAATAQAAA4AAAAAAAAAAQAgAAAAIwEAAGRy&#10;cy9lMm9Eb2MueG1sUEsFBgAAAAAGAAYAWQEAANMFAAAAAA==&#10;" adj="10813">
                        <v:fill on="f" focussize="0,0"/>
                        <v:stroke color="#000000 [3213]" joinstyle="round" endarrow="open"/>
                        <v:imagedata o:title=""/>
                        <o:lock v:ext="edit" aspectratio="f"/>
                      </v:shape>
                      <v:shape id="_x0000_s1026" o:spid="_x0000_s1026" o:spt="32" type="#_x0000_t32" style="position:absolute;left:3408680;top:903605;flip:x;height:466725;width:635;" filled="f" stroked="t" coordsize="21600,21600" o:gfxdata="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fwrVHVAAAABQEAAA8AAAAAAAAAAQAgAAAAIgAAAGRycy9kb3ducmV2LnhtbFBLAQIUABQA&#10;AAAIAIdO4kAexL2ALAIAACUEAAAOAAAAAAAAAAEAIAAAACQBAABkcnMvZTJvRG9jLnhtbFBLBQYA&#10;AAAABgAGAFkBAADCBQAAAAA=&#10;">
                        <v:fill on="f" focussize="0,0"/>
                        <v:stroke color="#000000 [3213]" joinstyle="round" endarrow="open"/>
                        <v:imagedata o:title=""/>
                        <o:lock v:ext="edit" aspectratio="f"/>
                      </v:shape>
                      <v:shape id="_x0000_s1026" o:spid="_x0000_s1026" o:spt="34" type="#_x0000_t34" style="position:absolute;left:3856990;top:713105;height:714375;width:398145;" filled="f" stroked="t" coordsize="21600,21600" o:gfxdata="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YuavZNcAAAAFAQAADwAAAAAAAAABACAAAAAiAAAAZHJzL2Rvd25yZXYu&#10;eG1sUEsBAhQAFAAAAAgAh07iQCH71FU1AgAAQQQAAA4AAAAAAAAAAQAgAAAAJgEAAGRycy9lMm9E&#10;b2MueG1sUEsFBgAAAAAGAAYAWQEAAM0FAAAAAA==&#10;" adj="10817">
                        <v:fill on="f" focussize="0,0"/>
                        <v:stroke color="#000000 [3213]" joinstyle="round" endarrow="open"/>
                        <v:imagedata o:title=""/>
                        <o:lock v:ext="edit" aspectratio="f"/>
                      </v:shape>
                      <v:shape id="_x0000_s1026" o:spid="_x0000_s1026" o:spt="34" type="#_x0000_t34" style="position:absolute;left:3861435;top:1427480;flip:y;height:1295400;width:393700;" filled="f" stroked="t" coordsize="21600,21600" o:gfxdata="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gq+GQNYAAAAFAQAADwAAAAAAAAABACAAAAAiAAAAZHJz&#10;L2Rvd25yZXYueG1sUEsBAhQAFAAAAAgAh07iQInCl/k/AgAATQQAAA4AAAAAAAAAAQAgAAAAJQEA&#10;AGRycy9lMm9Eb2MueG1sUEsFBgAAAAAGAAYAWQEAANYFAAAAAA==&#10;" adj="10800">
                        <v:fill on="f" focussize="0,0"/>
                        <v:stroke color="#000000 [3213]" joinstyle="round" endarrow="open"/>
                        <v:imagedata o:title=""/>
                        <o:lock v:ext="edit" aspectratio="f"/>
                      </v:shape>
                      <v:shape id="_x0000_s1026" o:spid="_x0000_s1026" o:spt="34" type="#_x0000_t34" style="position:absolute;left:1248410;top:796290;flip:x;height:2835275;width:1485265;rotation:-5898240f;" filled="f" stroked="t" coordsize="21600,21600" o:gfxdata="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2PlaQ1gAAAAUBAAAPAAAAAAAAAAEAIAAAACIAAABkcnMvZG93bnJldi54bWxQSwEC&#10;FAAUAAAACACHTuJA/6aTCi8CAAAYBAAADgAAAAAAAAABACAAAAAlAQAAZHJzL2Uyb0RvYy54bWxQ&#10;SwUGAAAAAAYABgBZAQAAxgUAAAAA&#10;" adj="-3463">
                        <v:fill on="f" focussize="0,0"/>
                        <v:stroke color="#000000 [3213]" joinstyle="round" endarrow="open"/>
                        <v:imagedata o:title=""/>
                        <o:lock v:ext="edit" aspectratio="f"/>
                      </v:shape>
                      <v:shape id="_x0000_s1026" o:spid="_x0000_s1026" o:spt="202" type="#_x0000_t202" style="position:absolute;left:4035425;top:2009140;height:238125;width:809625;" filled="f" stroked="f" coordsize="21600,21600" o:gfxdata="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4vUAX9gAAAAFAQAADwAAAAAAAAABACAA&#10;AAAiAAAAZHJzL2Rvd25yZXYueG1sUEsBAhQAFAAAAAgAh07iQBmCn+dGAgAAdQQAAA4AAAAAAAAA&#10;AQAgAAAAJwEAAGRycy9lMm9Eb2MueG1sUEsFBgAAAAAGAAYAWQEAAN8FAAAAAA==&#10;">
                        <v:fill on="f" focussize="0,0"/>
                        <v:stroke on="f" weight="0.5pt"/>
                        <v:imagedata o:title=""/>
                        <o:lock v:ext="edit" aspectratio="f"/>
                        <v:textbox>
                          <w:txbxContent>
                            <w:p w14:paraId="617A6430">
                              <w:pPr>
                                <w:rPr>
                                  <w:rFonts w:hint="default" w:eastAsia="宋体"/>
                                  <w:lang w:val="en-US" w:eastAsia="zh-CN"/>
                                </w:rPr>
                              </w:pPr>
                              <w:r>
                                <w:rPr>
                                  <w:rFonts w:hint="eastAsia"/>
                                  <w:lang w:val="en-US" w:eastAsia="zh-CN"/>
                                </w:rPr>
                                <w:t>0.4042t/a</w:t>
                              </w:r>
                            </w:p>
                          </w:txbxContent>
                        </v:textbox>
                      </v:shape>
                      <v:shape id="_x0000_s1026" o:spid="_x0000_s1026" o:spt="202" type="#_x0000_t202" style="position:absolute;left:141605;top:255905;height:238125;width:852805;" filled="f" stroked="f" coordsize="21600,21600" o:gfxdata="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i9QBf2AAAAAUBAAAPAAAAAAAAAAEAIAAA&#10;ACIAAABkcnMvZG93bnJldi54bWxQSwECFAAUAAAACACHTuJAsXJha0UCAABzBAAADgAAAAAAAAAB&#10;ACAAAAAnAQAAZHJzL2Uyb0RvYy54bWxQSwUGAAAAAAYABgBZAQAA3gUAAAAA&#10;">
                        <v:fill on="f" focussize="0,0"/>
                        <v:stroke on="f" weight="0.5pt"/>
                        <v:imagedata o:title=""/>
                        <o:lock v:ext="edit" aspectratio="f"/>
                        <v:textbox>
                          <w:txbxContent>
                            <w:p w14:paraId="5FFCEB21">
                              <w:pPr>
                                <w:rPr>
                                  <w:rFonts w:hint="default" w:eastAsia="宋体"/>
                                  <w:lang w:val="en-US" w:eastAsia="zh-CN"/>
                                </w:rPr>
                              </w:pPr>
                              <w:r>
                                <w:rPr>
                                  <w:rFonts w:hint="eastAsia"/>
                                  <w:lang w:val="en-US" w:eastAsia="zh-CN"/>
                                </w:rPr>
                                <w:t>109.7551t/a</w:t>
                              </w:r>
                            </w:p>
                          </w:txbxContent>
                        </v:textbox>
                      </v:shape>
                      <v:shape id="_x0000_s1026" o:spid="_x0000_s1026" o:spt="202" type="#_x0000_t202" style="position:absolute;left:988060;top:2919730;height:269875;width:1306195;" filled="f" stroked="f" coordsize="21600,21600" o:gfxdata="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4vUAX9gAAAAFAQAADwAAAAAAAAAB&#10;ACAAAAAiAAAAZHJzL2Rvd25yZXYueG1sUEsBAhQAFAAAAAgAh07iQPWwxYRJAgAAdQQAAA4AAAAA&#10;AAAAAQAgAAAAJwEAAGRycy9lMm9Eb2MueG1sUEsFBgAAAAAGAAYAWQEAAOIFAAAAAA==&#10;">
                        <v:fill on="f" focussize="0,0"/>
                        <v:stroke on="f" weight="0.5pt"/>
                        <v:imagedata o:title=""/>
                        <o:lock v:ext="edit" aspectratio="f"/>
                        <v:textbox>
                          <w:txbxContent>
                            <w:p w14:paraId="31E5042A">
                              <w:pPr>
                                <w:rPr>
                                  <w:rFonts w:hint="default" w:eastAsia="宋体"/>
                                  <w:lang w:val="en-US" w:eastAsia="zh-CN"/>
                                </w:rPr>
                              </w:pPr>
                              <w:r>
                                <w:rPr>
                                  <w:rFonts w:hint="eastAsia"/>
                                  <w:lang w:val="en-US" w:eastAsia="zh-CN"/>
                                </w:rPr>
                                <w:t>回用40.0139t/a</w:t>
                              </w:r>
                            </w:p>
                          </w:txbxContent>
                        </v:textbox>
                      </v:shape>
                      <v:shape id="_x0000_s1026" o:spid="_x0000_s1026" o:spt="202" type="#_x0000_t202" style="position:absolute;left:3951605;top:779780;height:238125;width:809625;" filled="f" stroked="f" coordsize="21600,21600" o:gfxdata="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i9QBf2AAAAAUBAAAPAAAAAAAAAAEA&#10;IAAAACIAAABkcnMvZG93bnJldi54bWxQSwECFAAUAAAACACHTuJA9Rn1PEgCAAB0BAAADgAAAAAA&#10;AAABACAAAAAnAQAAZHJzL2Uyb0RvYy54bWxQSwUGAAAAAAYABgBZAQAA4QUAAAAA&#10;">
                        <v:fill on="f" focussize="0,0"/>
                        <v:stroke on="f" weight="0.5pt"/>
                        <v:imagedata o:title=""/>
                        <o:lock v:ext="edit" aspectratio="f"/>
                        <v:textbox>
                          <w:txbxContent>
                            <w:p w14:paraId="78E0E33D">
                              <w:pPr>
                                <w:rPr>
                                  <w:rFonts w:hint="default" w:eastAsia="宋体"/>
                                  <w:lang w:val="en-US" w:eastAsia="zh-CN"/>
                                </w:rPr>
                              </w:pPr>
                              <w:r>
                                <w:rPr>
                                  <w:rFonts w:hint="eastAsia"/>
                                  <w:lang w:val="en-US" w:eastAsia="zh-CN"/>
                                </w:rPr>
                                <w:t>0.8982t/a</w:t>
                              </w:r>
                            </w:p>
                          </w:txbxContent>
                        </v:textbox>
                      </v:shape>
                      <v:shape id="_x0000_s1026" o:spid="_x0000_s1026" o:spt="32" type="#_x0000_t32" style="position:absolute;left:513080;top:484505;flip:x;height:466725;width:635;" filled="f" stroked="t" coordsize="21600,21600" o:gfxdata="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fwrVHVAAAABQEAAA8AAAAAAAAAAQAgAAAA&#10;IgAAAGRycy9kb3ducmV2LnhtbFBLAQIUABQAAAAIAIdO4kA0huzRDgIAAOADAAAOAAAAAAAAAAEA&#10;IAAAACQBAABkcnMvZTJvRG9jLnhtbFBLBQYAAAAABgAGAFkBAACkBQAAAAA=&#10;">
                        <v:fill on="f" focussize="0,0"/>
                        <v:stroke color="#000000 [3213]" joinstyle="round" endarrow="open"/>
                        <v:imagedata o:title=""/>
                        <o:lock v:ext="edit" aspectratio="f"/>
                      </v:shape>
                      <w10:wrap type="none"/>
                      <w10:anchorlock/>
                    </v:group>
                  </w:pict>
                </mc:Fallback>
              </mc:AlternateContent>
            </w:r>
          </w:p>
          <w:p w14:paraId="046C42DF">
            <w:pPr>
              <w:pageBreakBefore w:val="0"/>
              <w:widowControl/>
              <w:wordWrap w:val="0"/>
              <w:topLinePunct/>
              <w:bidi w:val="0"/>
              <w:spacing w:beforeAutospacing="0" w:afterAutospacing="0"/>
              <w:jc w:val="center"/>
              <w:rPr>
                <w:color w:val="000000" w:themeColor="text1"/>
                <w:sz w:val="21"/>
                <w:szCs w:val="21"/>
                <w:highlight w:val="none"/>
                <w14:textFill>
                  <w14:solidFill>
                    <w14:schemeClr w14:val="tx1"/>
                  </w14:solidFill>
                </w14:textFill>
              </w:rPr>
            </w:pPr>
            <w:r>
              <w:rPr>
                <w:b/>
                <w:bCs/>
                <w:color w:val="000000" w:themeColor="text1"/>
                <w:sz w:val="21"/>
                <w:szCs w:val="21"/>
                <w:highlight w:val="none"/>
                <w:lang w:bidi="ar"/>
                <w14:textFill>
                  <w14:solidFill>
                    <w14:schemeClr w14:val="tx1"/>
                  </w14:solidFill>
                </w14:textFill>
              </w:rPr>
              <w:t>图</w:t>
            </w:r>
            <w:r>
              <w:rPr>
                <w:rFonts w:hint="eastAsia"/>
                <w:b/>
                <w:bCs/>
                <w:color w:val="000000" w:themeColor="text1"/>
                <w:sz w:val="21"/>
                <w:szCs w:val="21"/>
                <w:highlight w:val="none"/>
                <w:lang w:val="en-US" w:eastAsia="zh-CN" w:bidi="ar"/>
                <w14:textFill>
                  <w14:solidFill>
                    <w14:schemeClr w14:val="tx1"/>
                  </w14:solidFill>
                </w14:textFill>
              </w:rPr>
              <w:t xml:space="preserve">4-1 </w:t>
            </w:r>
            <w:r>
              <w:rPr>
                <w:b/>
                <w:bCs/>
                <w:color w:val="000000" w:themeColor="text1"/>
                <w:sz w:val="21"/>
                <w:szCs w:val="21"/>
                <w:highlight w:val="none"/>
                <w:lang w:bidi="ar"/>
                <w14:textFill>
                  <w14:solidFill>
                    <w14:schemeClr w14:val="tx1"/>
                  </w14:solidFill>
                </w14:textFill>
              </w:rPr>
              <w:t>粉末涂料平衡图</w:t>
            </w:r>
          </w:p>
          <w:p w14:paraId="2DE70AC1">
            <w:pPr>
              <w:pStyle w:val="158"/>
              <w:pageBreakBefore w:val="0"/>
              <w:wordWrap w:val="0"/>
              <w:topLinePunct/>
              <w:bidi w:val="0"/>
              <w:snapToGrid/>
              <w:spacing w:beforeAutospacing="0" w:afterAutospacing="0"/>
              <w:ind w:firstLine="482"/>
              <w:outlineLvl w:val="9"/>
              <w:rPr>
                <w:b/>
                <w:bCs/>
                <w:color w:val="000000" w:themeColor="text1"/>
                <w:highlight w:val="none"/>
                <w14:textFill>
                  <w14:solidFill>
                    <w14:schemeClr w14:val="tx1"/>
                  </w14:solidFill>
                </w14:textFill>
              </w:rPr>
            </w:pPr>
            <w:bookmarkStart w:id="23" w:name="_Toc32051"/>
            <w:bookmarkStart w:id="24" w:name="_Toc15801"/>
            <w:r>
              <w:rPr>
                <w:rFonts w:hint="eastAsia"/>
                <w:b/>
                <w:bCs/>
                <w:color w:val="000000" w:themeColor="text1"/>
                <w:highlight w:val="none"/>
                <w:lang w:val="en-US" w:eastAsia="zh-CN"/>
                <w14:textFill>
                  <w14:solidFill>
                    <w14:schemeClr w14:val="tx1"/>
                  </w14:solidFill>
                </w14:textFill>
              </w:rPr>
              <w:t>1.2.5</w:t>
            </w:r>
            <w:r>
              <w:rPr>
                <w:b/>
                <w:bCs/>
                <w:color w:val="000000" w:themeColor="text1"/>
                <w:highlight w:val="none"/>
                <w14:textFill>
                  <w14:solidFill>
                    <w14:schemeClr w14:val="tx1"/>
                  </w14:solidFill>
                </w14:textFill>
              </w:rPr>
              <w:t>有机废气</w:t>
            </w:r>
            <w:bookmarkEnd w:id="23"/>
            <w:bookmarkEnd w:id="24"/>
          </w:p>
          <w:p w14:paraId="0D31A8F7">
            <w:pPr>
              <w:pStyle w:val="158"/>
              <w:wordWrap w:val="0"/>
              <w:topLinePunct/>
              <w:snapToGrid/>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铝单板喷漆过程中</w:t>
            </w:r>
            <w:r>
              <w:rPr>
                <w:rFonts w:hint="eastAsia"/>
                <w:color w:val="000000" w:themeColor="text1"/>
                <w:highlight w:val="none"/>
                <w14:textFill>
                  <w14:solidFill>
                    <w14:schemeClr w14:val="tx1"/>
                  </w14:solidFill>
                </w14:textFill>
              </w:rPr>
              <w:t>废气产生节点</w:t>
            </w:r>
            <w:r>
              <w:rPr>
                <w:color w:val="000000" w:themeColor="text1"/>
                <w:highlight w:val="none"/>
                <w14:textFill>
                  <w14:solidFill>
                    <w14:schemeClr w14:val="tx1"/>
                  </w14:solidFill>
                </w14:textFill>
              </w:rPr>
              <w:t>包含调漆、喷漆、流平、烘干、固化工序</w:t>
            </w:r>
            <w:r>
              <w:rPr>
                <w:rFonts w:hint="eastAsia"/>
                <w:color w:val="000000" w:themeColor="text1"/>
                <w:highlight w:val="none"/>
                <w14:textFill>
                  <w14:solidFill>
                    <w14:schemeClr w14:val="tx1"/>
                  </w14:solidFill>
                </w14:textFill>
              </w:rPr>
              <w:t>，产生的废气污染物为漆雾和有机废气。</w:t>
            </w:r>
          </w:p>
          <w:p w14:paraId="5461E9F8">
            <w:pPr>
              <w:pStyle w:val="158"/>
              <w:wordWrap w:val="0"/>
              <w:topLinePunct/>
              <w:snapToGrid/>
              <w:ind w:firstLine="480"/>
              <w:rPr>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①</w:t>
            </w:r>
            <w:r>
              <w:rPr>
                <w:rFonts w:hint="eastAsia"/>
                <w:color w:val="000000" w:themeColor="text1"/>
                <w:highlight w:val="none"/>
                <w14:textFill>
                  <w14:solidFill>
                    <w14:schemeClr w14:val="tx1"/>
                  </w14:solidFill>
                </w14:textFill>
              </w:rPr>
              <w:t>漆雾</w:t>
            </w:r>
          </w:p>
          <w:p w14:paraId="6CF964E7">
            <w:pPr>
              <w:pStyle w:val="158"/>
              <w:pageBreakBefore w:val="0"/>
              <w:wordWrap w:val="0"/>
              <w:topLinePunct/>
              <w:bidi w:val="0"/>
              <w:snapToGrid/>
              <w:spacing w:beforeAutospacing="0" w:afterAutospacing="0"/>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本项目铝单板喷漆过程中会产生漆雾（颗粒物）。</w:t>
            </w:r>
          </w:p>
          <w:p w14:paraId="743D96A2">
            <w:pPr>
              <w:pStyle w:val="158"/>
              <w:pageBreakBefore w:val="0"/>
              <w:wordWrap w:val="0"/>
              <w:topLinePunct/>
              <w:bidi w:val="0"/>
              <w:snapToGrid/>
              <w:spacing w:beforeAutospacing="0" w:afterAutospacing="0"/>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根据《环境保护产品技术要求—工业粉尘湿式除尘装置》（HJ/T285-2006）的要求，</w:t>
            </w:r>
            <w:r>
              <w:rPr>
                <w:rFonts w:hint="eastAsia"/>
                <w:color w:val="000000" w:themeColor="text1"/>
                <w:highlight w:val="none"/>
                <w:lang w:eastAsia="zh-CN"/>
                <w14:textFill>
                  <w14:solidFill>
                    <w14:schemeClr w14:val="tx1"/>
                  </w14:solidFill>
                </w14:textFill>
              </w:rPr>
              <w:t>水帘柜</w:t>
            </w:r>
            <w:r>
              <w:rPr>
                <w:color w:val="000000" w:themeColor="text1"/>
                <w:highlight w:val="none"/>
                <w14:textFill>
                  <w14:solidFill>
                    <w14:schemeClr w14:val="tx1"/>
                  </w14:solidFill>
                </w14:textFill>
              </w:rPr>
              <w:t>、喷淋塔属于以喷淋、冲激、水膜为原理类的第Ⅰ类湿式除尘装置，处理效率应不低于80%，本次评价取80%。</w:t>
            </w:r>
            <w:r>
              <w:rPr>
                <w:color w:val="000000" w:themeColor="text1"/>
                <w:kern w:val="0"/>
                <w:highlight w:val="none"/>
                <w14:textFill>
                  <w14:solidFill>
                    <w14:schemeClr w14:val="tx1"/>
                  </w14:solidFill>
                </w14:textFill>
              </w:rPr>
              <w:t>干式过滤</w:t>
            </w:r>
            <w:r>
              <w:rPr>
                <w:color w:val="000000" w:themeColor="text1"/>
                <w:highlight w:val="none"/>
                <w14:textFill>
                  <w14:solidFill>
                    <w14:schemeClr w14:val="tx1"/>
                  </w14:solidFill>
                </w14:textFill>
              </w:rPr>
              <w:t>采用多层化学纤维过滤棉，去除漆雾，并进行气水分离。根据《广东省表面涂装（汽车制造业）挥发性有机废气治理技术指南》，干式漆雾捕集系统（过滤棉、无纺布、石灰石为滤料、静电漆雾捕集装置）对漆雾的处理效率可达95%以上，本次评价取95%。综上</w:t>
            </w:r>
            <w:r>
              <w:rPr>
                <w:color w:val="000000" w:themeColor="text1"/>
                <w:kern w:val="0"/>
                <w:highlight w:val="none"/>
                <w14:textFill>
                  <w14:solidFill>
                    <w14:schemeClr w14:val="tx1"/>
                  </w14:solidFill>
                </w14:textFill>
              </w:rPr>
              <w:t>，</w:t>
            </w:r>
            <w:r>
              <w:rPr>
                <w:color w:val="000000" w:themeColor="text1"/>
                <w:highlight w:val="none"/>
                <w14:textFill>
                  <w14:solidFill>
                    <w14:schemeClr w14:val="tx1"/>
                  </w14:solidFill>
                </w14:textFill>
              </w:rPr>
              <w:t>漆雾的</w:t>
            </w:r>
            <w:r>
              <w:rPr>
                <w:color w:val="000000" w:themeColor="text1"/>
                <w:kern w:val="0"/>
                <w:highlight w:val="none"/>
                <w14:textFill>
                  <w14:solidFill>
                    <w14:schemeClr w14:val="tx1"/>
                  </w14:solidFill>
                </w14:textFill>
              </w:rPr>
              <w:t>综合治理效率η=1-（1-80%）</w:t>
            </w:r>
            <w:r>
              <w:rPr>
                <w:color w:val="000000" w:themeColor="text1"/>
                <w:highlight w:val="none"/>
                <w14:textFill>
                  <w14:solidFill>
                    <w14:schemeClr w14:val="tx1"/>
                  </w14:solidFill>
                </w14:textFill>
              </w:rPr>
              <w:t>×</w:t>
            </w:r>
            <w:r>
              <w:rPr>
                <w:color w:val="000000" w:themeColor="text1"/>
                <w:kern w:val="0"/>
                <w:highlight w:val="none"/>
                <w14:textFill>
                  <w14:solidFill>
                    <w14:schemeClr w14:val="tx1"/>
                  </w14:solidFill>
                </w14:textFill>
              </w:rPr>
              <w:t>（1-80%）</w:t>
            </w:r>
            <w:r>
              <w:rPr>
                <w:color w:val="000000" w:themeColor="text1"/>
                <w:highlight w:val="none"/>
                <w14:textFill>
                  <w14:solidFill>
                    <w14:schemeClr w14:val="tx1"/>
                  </w14:solidFill>
                </w14:textFill>
              </w:rPr>
              <w:t>×</w:t>
            </w:r>
            <w:r>
              <w:rPr>
                <w:color w:val="000000" w:themeColor="text1"/>
                <w:kern w:val="0"/>
                <w:highlight w:val="none"/>
                <w14:textFill>
                  <w14:solidFill>
                    <w14:schemeClr w14:val="tx1"/>
                  </w14:solidFill>
                </w14:textFill>
              </w:rPr>
              <w:t>（1-95%）×</w:t>
            </w:r>
            <w:r>
              <w:rPr>
                <w:color w:val="000000" w:themeColor="text1"/>
                <w:highlight w:val="none"/>
                <w14:textFill>
                  <w14:solidFill>
                    <w14:schemeClr w14:val="tx1"/>
                  </w14:solidFill>
                </w14:textFill>
              </w:rPr>
              <w:t>100%</w:t>
            </w:r>
            <w:r>
              <w:rPr>
                <w:color w:val="000000" w:themeColor="text1"/>
                <w:kern w:val="0"/>
                <w:highlight w:val="none"/>
                <w14:textFill>
                  <w14:solidFill>
                    <w14:schemeClr w14:val="tx1"/>
                  </w14:solidFill>
                </w14:textFill>
              </w:rPr>
              <w:t>=99.8%</w:t>
            </w:r>
            <w:r>
              <w:rPr>
                <w:rFonts w:hint="eastAsia"/>
                <w:color w:val="000000" w:themeColor="text1"/>
                <w:kern w:val="0"/>
                <w:highlight w:val="none"/>
                <w:lang w:eastAsia="zh-CN"/>
                <w14:textFill>
                  <w14:solidFill>
                    <w14:schemeClr w14:val="tx1"/>
                  </w14:solidFill>
                </w14:textFill>
              </w:rPr>
              <w:t>，本环评保守取值</w:t>
            </w:r>
            <w:r>
              <w:rPr>
                <w:rFonts w:hint="eastAsia"/>
                <w:color w:val="000000" w:themeColor="text1"/>
                <w:kern w:val="0"/>
                <w:highlight w:val="none"/>
                <w:lang w:val="en-US" w:eastAsia="zh-CN"/>
                <w14:textFill>
                  <w14:solidFill>
                    <w14:schemeClr w14:val="tx1"/>
                  </w14:solidFill>
                </w14:textFill>
              </w:rPr>
              <w:t>99%</w:t>
            </w:r>
            <w:r>
              <w:rPr>
                <w:color w:val="000000" w:themeColor="text1"/>
                <w:kern w:val="0"/>
                <w:highlight w:val="none"/>
                <w14:textFill>
                  <w14:solidFill>
                    <w14:schemeClr w14:val="tx1"/>
                  </w14:solidFill>
                </w14:textFill>
              </w:rPr>
              <w:t>。</w:t>
            </w:r>
            <w:r>
              <w:rPr>
                <w:rFonts w:hint="eastAsia"/>
                <w:color w:val="000000" w:themeColor="text1"/>
                <w:highlight w:val="none"/>
                <w14:textFill>
                  <w14:solidFill>
                    <w14:schemeClr w14:val="tx1"/>
                  </w14:solidFill>
                </w14:textFill>
              </w:rPr>
              <w:t>收集效率取90%</w:t>
            </w:r>
            <w:r>
              <w:rPr>
                <w:color w:val="000000" w:themeColor="text1"/>
                <w:highlight w:val="none"/>
                <w14:textFill>
                  <w14:solidFill>
                    <w14:schemeClr w14:val="tx1"/>
                  </w14:solidFill>
                </w14:textFill>
              </w:rPr>
              <w:t>。漆雾经以上废气治理设施收集处理后形成漆渣，收集后作为危废处理。</w:t>
            </w:r>
          </w:p>
          <w:p w14:paraId="3AFC1ADD">
            <w:pPr>
              <w:pStyle w:val="158"/>
              <w:wordWrap w:val="0"/>
              <w:topLinePunct/>
              <w:snapToGrid/>
              <w:spacing w:line="240" w:lineRule="auto"/>
              <w:ind w:firstLine="0" w:firstLineChars="0"/>
              <w:jc w:val="center"/>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表</w:t>
            </w:r>
            <w:r>
              <w:rPr>
                <w:rFonts w:hint="eastAsia"/>
                <w:b/>
                <w:bCs/>
                <w:color w:val="000000" w:themeColor="text1"/>
                <w:sz w:val="21"/>
                <w:szCs w:val="21"/>
                <w:highlight w:val="none"/>
                <w:lang w:val="en-US" w:eastAsia="zh-CN"/>
                <w14:textFill>
                  <w14:solidFill>
                    <w14:schemeClr w14:val="tx1"/>
                  </w14:solidFill>
                </w14:textFill>
              </w:rPr>
              <w:t xml:space="preserve">4-14  </w:t>
            </w:r>
            <w:r>
              <w:rPr>
                <w:b/>
                <w:bCs/>
                <w:color w:val="000000" w:themeColor="text1"/>
                <w:sz w:val="21"/>
                <w:szCs w:val="21"/>
                <w:highlight w:val="none"/>
                <w14:textFill>
                  <w14:solidFill>
                    <w14:schemeClr w14:val="tx1"/>
                  </w14:solidFill>
                </w14:textFill>
              </w:rPr>
              <w:t xml:space="preserve"> 项目漆雾</w:t>
            </w:r>
            <w:r>
              <w:rPr>
                <w:rFonts w:hint="eastAsia"/>
                <w:b/>
                <w:bCs/>
                <w:color w:val="000000" w:themeColor="text1"/>
                <w:sz w:val="21"/>
                <w:szCs w:val="21"/>
                <w:highlight w:val="none"/>
                <w14:textFill>
                  <w14:solidFill>
                    <w14:schemeClr w14:val="tx1"/>
                  </w14:solidFill>
                </w14:textFill>
              </w:rPr>
              <w:t>产排</w:t>
            </w:r>
            <w:r>
              <w:rPr>
                <w:b/>
                <w:bCs/>
                <w:color w:val="000000" w:themeColor="text1"/>
                <w:sz w:val="21"/>
                <w:szCs w:val="21"/>
                <w:highlight w:val="none"/>
                <w14:textFill>
                  <w14:solidFill>
                    <w14:schemeClr w14:val="tx1"/>
                  </w14:solidFill>
                </w14:textFill>
              </w:rPr>
              <w:t>核算表</w:t>
            </w:r>
          </w:p>
          <w:tbl>
            <w:tblPr>
              <w:tblStyle w:val="44"/>
              <w:tblW w:w="497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66"/>
              <w:gridCol w:w="843"/>
              <w:gridCol w:w="989"/>
              <w:gridCol w:w="699"/>
              <w:gridCol w:w="924"/>
              <w:gridCol w:w="746"/>
              <w:gridCol w:w="991"/>
              <w:gridCol w:w="879"/>
              <w:gridCol w:w="802"/>
              <w:gridCol w:w="726"/>
            </w:tblGrid>
            <w:tr w14:paraId="4471F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7" w:hRule="atLeast"/>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0BD0776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原料名称</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07DA2C5F">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年用量</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t/a</w:t>
                  </w:r>
                </w:p>
              </w:tc>
              <w:tc>
                <w:tcPr>
                  <w:tcW w:w="599" w:type="pct"/>
                  <w:tcBorders>
                    <w:top w:val="single" w:color="000000" w:sz="4" w:space="0"/>
                    <w:left w:val="single" w:color="000000" w:sz="4" w:space="0"/>
                    <w:bottom w:val="single" w:color="000000" w:sz="4" w:space="0"/>
                    <w:right w:val="single" w:color="000000" w:sz="4" w:space="0"/>
                  </w:tcBorders>
                  <w:noWrap w:val="0"/>
                  <w:vAlign w:val="center"/>
                </w:tcPr>
                <w:p w14:paraId="2DD63E09">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固含量</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w:t>
                  </w:r>
                </w:p>
              </w:tc>
              <w:tc>
                <w:tcPr>
                  <w:tcW w:w="426" w:type="pct"/>
                  <w:tcBorders>
                    <w:top w:val="single" w:color="000000" w:sz="4" w:space="0"/>
                    <w:left w:val="single" w:color="000000" w:sz="4" w:space="0"/>
                    <w:bottom w:val="single" w:color="000000" w:sz="4" w:space="0"/>
                    <w:right w:val="single" w:color="000000" w:sz="4" w:space="0"/>
                  </w:tcBorders>
                  <w:noWrap w:val="0"/>
                  <w:vAlign w:val="center"/>
                </w:tcPr>
                <w:p w14:paraId="7EB104B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漆料中固体份</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t/a</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4D6F0BF2">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漆雾占比</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w:t>
                  </w:r>
                </w:p>
              </w:tc>
              <w:tc>
                <w:tcPr>
                  <w:tcW w:w="454" w:type="pct"/>
                  <w:tcBorders>
                    <w:top w:val="single" w:color="000000" w:sz="4" w:space="0"/>
                    <w:left w:val="single" w:color="000000" w:sz="4" w:space="0"/>
                    <w:bottom w:val="single" w:color="000000" w:sz="4" w:space="0"/>
                    <w:right w:val="single" w:color="000000" w:sz="4" w:space="0"/>
                  </w:tcBorders>
                  <w:noWrap w:val="0"/>
                  <w:vAlign w:val="center"/>
                </w:tcPr>
                <w:p w14:paraId="7FB18E27">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漆雾量</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t/a</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5F80AFE8">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有组织漆雾产生量t/a</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2FC440BC">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有组织漆雾排放量</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t/a</w:t>
                  </w:r>
                </w:p>
              </w:tc>
              <w:tc>
                <w:tcPr>
                  <w:tcW w:w="467" w:type="pct"/>
                  <w:tcBorders>
                    <w:top w:val="single" w:color="000000" w:sz="4" w:space="0"/>
                    <w:left w:val="single" w:color="000000" w:sz="4" w:space="0"/>
                    <w:bottom w:val="single" w:color="000000" w:sz="4" w:space="0"/>
                    <w:right w:val="single" w:color="000000" w:sz="4" w:space="0"/>
                  </w:tcBorders>
                  <w:noWrap w:val="0"/>
                  <w:vAlign w:val="center"/>
                </w:tcPr>
                <w:p w14:paraId="749254A9">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漆渣产生量</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t/a</w:t>
                  </w:r>
                </w:p>
              </w:tc>
              <w:tc>
                <w:tcPr>
                  <w:tcW w:w="422" w:type="pct"/>
                  <w:tcBorders>
                    <w:top w:val="single" w:color="000000" w:sz="4" w:space="0"/>
                    <w:left w:val="single" w:color="000000" w:sz="4" w:space="0"/>
                    <w:bottom w:val="single" w:color="000000" w:sz="4" w:space="0"/>
                    <w:right w:val="single" w:color="000000" w:sz="4" w:space="0"/>
                  </w:tcBorders>
                  <w:noWrap w:val="0"/>
                  <w:vAlign w:val="center"/>
                </w:tcPr>
                <w:p w14:paraId="6AF26A43">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无组织漆雾产生量</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t/a</w:t>
                  </w:r>
                </w:p>
              </w:tc>
            </w:tr>
            <w:tr w14:paraId="58859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2" w:hRule="atLeast"/>
              </w:trPr>
              <w:tc>
                <w:tcPr>
                  <w:tcW w:w="800" w:type="dxa"/>
                  <w:tcBorders>
                    <w:top w:val="single" w:color="000000" w:sz="4" w:space="0"/>
                    <w:left w:val="single" w:color="000000" w:sz="4" w:space="0"/>
                    <w:bottom w:val="single" w:color="000000" w:sz="4" w:space="0"/>
                    <w:right w:val="single" w:color="000000" w:sz="4" w:space="0"/>
                  </w:tcBorders>
                  <w:noWrap w:val="0"/>
                  <w:vAlign w:val="center"/>
                </w:tcPr>
                <w:p w14:paraId="43A0367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底漆</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6028306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2.539 </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482C6F3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69.29%</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801567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1.760 </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6583A2E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7564E86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0.7038 </w:t>
                  </w:r>
                </w:p>
              </w:tc>
              <w:tc>
                <w:tcPr>
                  <w:tcW w:w="991" w:type="dxa"/>
                  <w:tcBorders>
                    <w:top w:val="single" w:color="000000" w:sz="4" w:space="0"/>
                    <w:left w:val="single" w:color="000000" w:sz="4" w:space="0"/>
                    <w:bottom w:val="single" w:color="000000" w:sz="4" w:space="0"/>
                    <w:right w:val="single" w:color="000000" w:sz="4" w:space="0"/>
                  </w:tcBorders>
                  <w:noWrap/>
                  <w:vAlign w:val="center"/>
                </w:tcPr>
                <w:p w14:paraId="28A545E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0.6334 </w:t>
                  </w:r>
                </w:p>
              </w:tc>
              <w:tc>
                <w:tcPr>
                  <w:tcW w:w="879" w:type="dxa"/>
                  <w:tcBorders>
                    <w:top w:val="single" w:color="000000" w:sz="4" w:space="0"/>
                    <w:left w:val="single" w:color="000000" w:sz="4" w:space="0"/>
                    <w:bottom w:val="single" w:color="000000" w:sz="4" w:space="0"/>
                    <w:right w:val="single" w:color="000000" w:sz="4" w:space="0"/>
                  </w:tcBorders>
                  <w:noWrap/>
                  <w:vAlign w:val="center"/>
                </w:tcPr>
                <w:p w14:paraId="6C58135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0.0063 </w:t>
                  </w:r>
                </w:p>
              </w:tc>
              <w:tc>
                <w:tcPr>
                  <w:tcW w:w="802" w:type="dxa"/>
                  <w:tcBorders>
                    <w:top w:val="single" w:color="000000" w:sz="4" w:space="0"/>
                    <w:left w:val="single" w:color="000000" w:sz="4" w:space="0"/>
                    <w:bottom w:val="single" w:color="000000" w:sz="4" w:space="0"/>
                    <w:right w:val="single" w:color="000000" w:sz="4" w:space="0"/>
                  </w:tcBorders>
                  <w:noWrap/>
                  <w:vAlign w:val="center"/>
                </w:tcPr>
                <w:p w14:paraId="214906F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0.6271 </w:t>
                  </w:r>
                </w:p>
              </w:tc>
              <w:tc>
                <w:tcPr>
                  <w:tcW w:w="726" w:type="dxa"/>
                  <w:tcBorders>
                    <w:top w:val="single" w:color="000000" w:sz="4" w:space="0"/>
                    <w:left w:val="single" w:color="000000" w:sz="4" w:space="0"/>
                    <w:bottom w:val="single" w:color="000000" w:sz="4" w:space="0"/>
                    <w:right w:val="single" w:color="000000" w:sz="4" w:space="0"/>
                  </w:tcBorders>
                  <w:noWrap/>
                  <w:vAlign w:val="center"/>
                </w:tcPr>
                <w:p w14:paraId="759BB1D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0.0070 </w:t>
                  </w:r>
                </w:p>
              </w:tc>
            </w:tr>
            <w:tr w14:paraId="78BF4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2" w:hRule="atLeast"/>
              </w:trPr>
              <w:tc>
                <w:tcPr>
                  <w:tcW w:w="800" w:type="dxa"/>
                  <w:tcBorders>
                    <w:top w:val="single" w:color="000000" w:sz="4" w:space="0"/>
                    <w:left w:val="single" w:color="000000" w:sz="4" w:space="0"/>
                    <w:bottom w:val="single" w:color="000000" w:sz="4" w:space="0"/>
                    <w:right w:val="single" w:color="000000" w:sz="4" w:space="0"/>
                  </w:tcBorders>
                  <w:noWrap w:val="0"/>
                  <w:vAlign w:val="center"/>
                </w:tcPr>
                <w:p w14:paraId="3D8007A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面漆</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699C8E8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3.890 </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4DEAFDD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57.81%</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43A7BE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2.249 </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174773B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4FF18C2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0.8996 </w:t>
                  </w:r>
                </w:p>
              </w:tc>
              <w:tc>
                <w:tcPr>
                  <w:tcW w:w="991" w:type="dxa"/>
                  <w:tcBorders>
                    <w:top w:val="single" w:color="000000" w:sz="4" w:space="0"/>
                    <w:left w:val="single" w:color="000000" w:sz="4" w:space="0"/>
                    <w:bottom w:val="single" w:color="000000" w:sz="4" w:space="0"/>
                    <w:right w:val="single" w:color="000000" w:sz="4" w:space="0"/>
                  </w:tcBorders>
                  <w:noWrap/>
                  <w:vAlign w:val="center"/>
                </w:tcPr>
                <w:p w14:paraId="122778C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0.8097 </w:t>
                  </w:r>
                </w:p>
              </w:tc>
              <w:tc>
                <w:tcPr>
                  <w:tcW w:w="879" w:type="dxa"/>
                  <w:tcBorders>
                    <w:top w:val="single" w:color="000000" w:sz="4" w:space="0"/>
                    <w:left w:val="single" w:color="000000" w:sz="4" w:space="0"/>
                    <w:bottom w:val="single" w:color="000000" w:sz="4" w:space="0"/>
                    <w:right w:val="single" w:color="000000" w:sz="4" w:space="0"/>
                  </w:tcBorders>
                  <w:noWrap/>
                  <w:vAlign w:val="center"/>
                </w:tcPr>
                <w:p w14:paraId="165530E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0.0081 </w:t>
                  </w:r>
                </w:p>
              </w:tc>
              <w:tc>
                <w:tcPr>
                  <w:tcW w:w="802" w:type="dxa"/>
                  <w:tcBorders>
                    <w:top w:val="single" w:color="000000" w:sz="4" w:space="0"/>
                    <w:left w:val="single" w:color="000000" w:sz="4" w:space="0"/>
                    <w:bottom w:val="single" w:color="000000" w:sz="4" w:space="0"/>
                    <w:right w:val="single" w:color="000000" w:sz="4" w:space="0"/>
                  </w:tcBorders>
                  <w:noWrap/>
                  <w:vAlign w:val="center"/>
                </w:tcPr>
                <w:p w14:paraId="657D125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0.8016 </w:t>
                  </w:r>
                </w:p>
              </w:tc>
              <w:tc>
                <w:tcPr>
                  <w:tcW w:w="726" w:type="dxa"/>
                  <w:tcBorders>
                    <w:top w:val="single" w:color="000000" w:sz="4" w:space="0"/>
                    <w:left w:val="single" w:color="000000" w:sz="4" w:space="0"/>
                    <w:bottom w:val="single" w:color="000000" w:sz="4" w:space="0"/>
                    <w:right w:val="single" w:color="000000" w:sz="4" w:space="0"/>
                  </w:tcBorders>
                  <w:noWrap/>
                  <w:vAlign w:val="center"/>
                </w:tcPr>
                <w:p w14:paraId="0047957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0.0090 </w:t>
                  </w:r>
                </w:p>
              </w:tc>
            </w:tr>
            <w:tr w14:paraId="2982D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2" w:hRule="atLeast"/>
              </w:trPr>
              <w:tc>
                <w:tcPr>
                  <w:tcW w:w="800" w:type="dxa"/>
                  <w:tcBorders>
                    <w:top w:val="single" w:color="000000" w:sz="4" w:space="0"/>
                    <w:left w:val="single" w:color="000000" w:sz="4" w:space="0"/>
                    <w:bottom w:val="single" w:color="000000" w:sz="4" w:space="0"/>
                    <w:right w:val="single" w:color="000000" w:sz="4" w:space="0"/>
                  </w:tcBorders>
                  <w:noWrap w:val="0"/>
                  <w:vAlign w:val="center"/>
                </w:tcPr>
                <w:p w14:paraId="7C27E60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清漆</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1ECB9EF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3.218 </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2D09D13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65.61%</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8D0C5B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2.111 </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607376C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514E12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0.8446 </w:t>
                  </w:r>
                </w:p>
              </w:tc>
              <w:tc>
                <w:tcPr>
                  <w:tcW w:w="991" w:type="dxa"/>
                  <w:tcBorders>
                    <w:top w:val="single" w:color="000000" w:sz="4" w:space="0"/>
                    <w:left w:val="single" w:color="000000" w:sz="4" w:space="0"/>
                    <w:bottom w:val="single" w:color="000000" w:sz="4" w:space="0"/>
                    <w:right w:val="single" w:color="000000" w:sz="4" w:space="0"/>
                  </w:tcBorders>
                  <w:noWrap/>
                  <w:vAlign w:val="center"/>
                </w:tcPr>
                <w:p w14:paraId="3374841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0.7601 </w:t>
                  </w:r>
                </w:p>
              </w:tc>
              <w:tc>
                <w:tcPr>
                  <w:tcW w:w="879" w:type="dxa"/>
                  <w:tcBorders>
                    <w:top w:val="single" w:color="000000" w:sz="4" w:space="0"/>
                    <w:left w:val="single" w:color="000000" w:sz="4" w:space="0"/>
                    <w:bottom w:val="single" w:color="000000" w:sz="4" w:space="0"/>
                    <w:right w:val="single" w:color="000000" w:sz="4" w:space="0"/>
                  </w:tcBorders>
                  <w:noWrap/>
                  <w:vAlign w:val="center"/>
                </w:tcPr>
                <w:p w14:paraId="62317CE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0.0076 </w:t>
                  </w:r>
                </w:p>
              </w:tc>
              <w:tc>
                <w:tcPr>
                  <w:tcW w:w="802" w:type="dxa"/>
                  <w:tcBorders>
                    <w:top w:val="single" w:color="000000" w:sz="4" w:space="0"/>
                    <w:left w:val="single" w:color="000000" w:sz="4" w:space="0"/>
                    <w:bottom w:val="single" w:color="000000" w:sz="4" w:space="0"/>
                    <w:right w:val="single" w:color="000000" w:sz="4" w:space="0"/>
                  </w:tcBorders>
                  <w:noWrap/>
                  <w:vAlign w:val="center"/>
                </w:tcPr>
                <w:p w14:paraId="1DEC2AC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0.7525 </w:t>
                  </w:r>
                </w:p>
              </w:tc>
              <w:tc>
                <w:tcPr>
                  <w:tcW w:w="726" w:type="dxa"/>
                  <w:tcBorders>
                    <w:top w:val="single" w:color="000000" w:sz="4" w:space="0"/>
                    <w:left w:val="single" w:color="000000" w:sz="4" w:space="0"/>
                    <w:bottom w:val="single" w:color="000000" w:sz="4" w:space="0"/>
                    <w:right w:val="single" w:color="000000" w:sz="4" w:space="0"/>
                  </w:tcBorders>
                  <w:noWrap/>
                  <w:vAlign w:val="center"/>
                </w:tcPr>
                <w:p w14:paraId="7B47775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0.0084 </w:t>
                  </w:r>
                </w:p>
              </w:tc>
            </w:tr>
            <w:tr w14:paraId="32B2C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5" w:hRule="atLeast"/>
              </w:trPr>
              <w:tc>
                <w:tcPr>
                  <w:tcW w:w="4405" w:type="dxa"/>
                  <w:gridSpan w:val="5"/>
                  <w:tcBorders>
                    <w:top w:val="single" w:color="000000" w:sz="4" w:space="0"/>
                    <w:left w:val="single" w:color="000000" w:sz="4" w:space="0"/>
                    <w:bottom w:val="single" w:color="000000" w:sz="4" w:space="0"/>
                    <w:right w:val="single" w:color="000000" w:sz="4" w:space="0"/>
                  </w:tcBorders>
                  <w:noWrap w:val="0"/>
                  <w:vAlign w:val="center"/>
                </w:tcPr>
                <w:p w14:paraId="47F01DB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合计</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497C3C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2.448 </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14:paraId="2E56392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2.203 </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13907FA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0.022 </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74FFD94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2.181 </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2EBE66B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0.024 </w:t>
                  </w:r>
                </w:p>
              </w:tc>
            </w:tr>
          </w:tbl>
          <w:p w14:paraId="2E31079F">
            <w:pPr>
              <w:pStyle w:val="158"/>
              <w:wordWrap w:val="0"/>
              <w:topLinePunct/>
              <w:snapToGrid/>
              <w:ind w:firstLine="480"/>
              <w:rPr>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②</w:t>
            </w:r>
            <w:r>
              <w:rPr>
                <w:rFonts w:hint="eastAsia"/>
                <w:color w:val="000000" w:themeColor="text1"/>
                <w:highlight w:val="none"/>
                <w14:textFill>
                  <w14:solidFill>
                    <w14:schemeClr w14:val="tx1"/>
                  </w14:solidFill>
                </w14:textFill>
              </w:rPr>
              <w:t>有机废气</w:t>
            </w:r>
          </w:p>
          <w:p w14:paraId="444F5D41">
            <w:pPr>
              <w:pStyle w:val="158"/>
              <w:pageBreakBefore w:val="0"/>
              <w:wordWrap w:val="0"/>
              <w:topLinePunct/>
              <w:bidi w:val="0"/>
              <w:snapToGrid/>
              <w:spacing w:beforeAutospacing="0" w:afterAutospacing="0"/>
              <w:ind w:firstLine="480"/>
              <w:rPr>
                <w:rFonts w:hint="eastAsia"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本项目调配</w:t>
            </w:r>
            <w:r>
              <w:rPr>
                <w:rFonts w:hint="eastAsia" w:cs="Times New Roman"/>
                <w:color w:val="000000" w:themeColor="text1"/>
                <w:highlight w:val="none"/>
                <w:lang w:val="en-US" w:eastAsia="zh-CN"/>
                <w14:textFill>
                  <w14:solidFill>
                    <w14:schemeClr w14:val="tx1"/>
                  </w14:solidFill>
                </w14:textFill>
              </w:rPr>
              <w:t>后</w:t>
            </w:r>
            <w:r>
              <w:rPr>
                <w:rFonts w:hint="eastAsia" w:ascii="Times New Roman" w:hAnsi="Times New Roman" w:cs="Times New Roman"/>
                <w:color w:val="000000" w:themeColor="text1"/>
                <w:highlight w:val="none"/>
                <w:lang w:val="en-US" w:eastAsia="zh-CN"/>
                <w14:textFill>
                  <w14:solidFill>
                    <w14:schemeClr w14:val="tx1"/>
                  </w14:solidFill>
                </w14:textFill>
              </w:rPr>
              <w:t>漆</w:t>
            </w:r>
            <w:r>
              <w:rPr>
                <w:rFonts w:hint="eastAsia" w:cs="Times New Roman"/>
                <w:color w:val="000000" w:themeColor="text1"/>
                <w:highlight w:val="none"/>
                <w:lang w:val="en-US" w:eastAsia="zh-CN"/>
                <w14:textFill>
                  <w14:solidFill>
                    <w14:schemeClr w14:val="tx1"/>
                  </w14:solidFill>
                </w14:textFill>
              </w:rPr>
              <w:t>料</w:t>
            </w:r>
            <w:r>
              <w:rPr>
                <w:rFonts w:hint="default" w:ascii="Times New Roman" w:hAnsi="Times New Roman" w:cs="Times New Roman"/>
                <w:color w:val="000000" w:themeColor="text1"/>
                <w:highlight w:val="none"/>
                <w14:textFill>
                  <w14:solidFill>
                    <w14:schemeClr w14:val="tx1"/>
                  </w14:solidFill>
                </w14:textFill>
              </w:rPr>
              <w:t>涂料合计用量为</w:t>
            </w:r>
            <w:r>
              <w:rPr>
                <w:rFonts w:hint="eastAsia" w:cs="Times New Roman"/>
                <w:color w:val="000000" w:themeColor="text1"/>
                <w:highlight w:val="none"/>
                <w:lang w:val="en-US" w:eastAsia="zh-CN"/>
                <w14:textFill>
                  <w14:solidFill>
                    <w14:schemeClr w14:val="tx1"/>
                  </w14:solidFill>
                </w14:textFill>
              </w:rPr>
              <w:t>9.648</w:t>
            </w:r>
            <w:r>
              <w:rPr>
                <w:rFonts w:hint="default" w:ascii="Times New Roman" w:hAnsi="Times New Roman" w:cs="Times New Roman"/>
                <w:color w:val="000000" w:themeColor="text1"/>
                <w:highlight w:val="none"/>
                <w14:textFill>
                  <w14:solidFill>
                    <w14:schemeClr w14:val="tx1"/>
                  </w14:solidFill>
                </w14:textFill>
              </w:rPr>
              <w:t>t/a</w:t>
            </w:r>
            <w:r>
              <w:rPr>
                <w:rFonts w:hint="eastAsia" w:ascii="Times New Roman" w:hAnsi="Times New Roman" w:cs="Times New Roman"/>
                <w:color w:val="000000" w:themeColor="text1"/>
                <w:highlight w:val="none"/>
                <w:lang w:eastAsia="zh-CN"/>
                <w14:textFill>
                  <w14:solidFill>
                    <w14:schemeClr w14:val="tx1"/>
                  </w14:solidFill>
                </w14:textFill>
              </w:rPr>
              <w:t>，</w:t>
            </w:r>
            <w:r>
              <w:rPr>
                <w:rFonts w:hint="eastAsia" w:ascii="Times New Roman" w:hAnsi="Times New Roman" w:cs="Times New Roman"/>
                <w:color w:val="000000" w:themeColor="text1"/>
                <w:highlight w:val="none"/>
                <w:lang w:val="en-US" w:eastAsia="zh-CN"/>
                <w14:textFill>
                  <w14:solidFill>
                    <w14:schemeClr w14:val="tx1"/>
                  </w14:solidFill>
                </w14:textFill>
              </w:rPr>
              <w:t>根据前文计算VOCs</w:t>
            </w:r>
            <w:r>
              <w:rPr>
                <w:rFonts w:hint="eastAsia" w:cs="Times New Roman"/>
                <w:color w:val="000000" w:themeColor="text1"/>
                <w:highlight w:val="none"/>
                <w:lang w:val="en-US" w:eastAsia="zh-CN"/>
                <w14:textFill>
                  <w14:solidFill>
                    <w14:schemeClr w14:val="tx1"/>
                  </w14:solidFill>
                </w14:textFill>
              </w:rPr>
              <w:t>总</w:t>
            </w:r>
            <w:r>
              <w:rPr>
                <w:rFonts w:hint="eastAsia" w:ascii="Times New Roman" w:hAnsi="Times New Roman" w:cs="Times New Roman"/>
                <w:color w:val="000000" w:themeColor="text1"/>
                <w:highlight w:val="none"/>
                <w:lang w:val="en-US" w:eastAsia="zh-CN"/>
                <w14:textFill>
                  <w14:solidFill>
                    <w14:schemeClr w14:val="tx1"/>
                  </w14:solidFill>
                </w14:textFill>
              </w:rPr>
              <w:t>产生量为</w:t>
            </w:r>
            <w:r>
              <w:rPr>
                <w:rFonts w:hint="eastAsia" w:cs="Times New Roman"/>
                <w:color w:val="000000" w:themeColor="text1"/>
                <w:highlight w:val="none"/>
                <w:lang w:val="en-US" w:eastAsia="zh-CN"/>
                <w14:textFill>
                  <w14:solidFill>
                    <w14:schemeClr w14:val="tx1"/>
                  </w14:solidFill>
                </w14:textFill>
              </w:rPr>
              <w:t>0.5491+0.9929+0.6871+1.2990+0.0451+0.1317=</w:t>
            </w:r>
            <w:r>
              <w:rPr>
                <w:rFonts w:hint="eastAsia" w:ascii="Times New Roman" w:hAnsi="Times New Roman" w:cs="Times New Roman"/>
                <w:color w:val="000000" w:themeColor="text1"/>
                <w:highlight w:val="none"/>
                <w:lang w:val="en-US" w:eastAsia="zh-CN"/>
                <w14:textFill>
                  <w14:solidFill>
                    <w14:schemeClr w14:val="tx1"/>
                  </w14:solidFill>
                </w14:textFill>
              </w:rPr>
              <w:t>3</w:t>
            </w:r>
            <w:r>
              <w:rPr>
                <w:rFonts w:hint="eastAsia" w:cs="Times New Roman"/>
                <w:color w:val="000000" w:themeColor="text1"/>
                <w:highlight w:val="none"/>
                <w:lang w:val="en-US" w:eastAsia="zh-CN"/>
                <w14:textFill>
                  <w14:solidFill>
                    <w14:schemeClr w14:val="tx1"/>
                  </w14:solidFill>
                </w14:textFill>
              </w:rPr>
              <w:t>.702</w:t>
            </w:r>
            <w:r>
              <w:rPr>
                <w:rFonts w:hint="eastAsia" w:ascii="Times New Roman" w:hAnsi="Times New Roman" w:cs="Times New Roman"/>
                <w:color w:val="000000" w:themeColor="text1"/>
                <w:highlight w:val="none"/>
                <w:lang w:val="en-US" w:eastAsia="zh-CN"/>
                <w14:textFill>
                  <w14:solidFill>
                    <w14:schemeClr w14:val="tx1"/>
                  </w14:solidFill>
                </w14:textFill>
              </w:rPr>
              <w:t>t/a</w:t>
            </w:r>
            <w:r>
              <w:rPr>
                <w:rFonts w:hint="default" w:ascii="Times New Roman" w:hAnsi="Times New Roman" w:cs="Times New Roman"/>
                <w:color w:val="000000" w:themeColor="text1"/>
                <w:highlight w:val="none"/>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参照《污染源源强核算技术指南 汽车制造》（HJ 1097-2020）中附录E（资料性附录）-溶剂型涂料喷涂-空气喷涂-零部件喷涂-物料中挥发性有机物挥发量占比-喷涂75%、流平15%、烘干10%，本项目油漆喷漆和流平工序的挥发性有机物含量（合计为90%）进入喷漆废气设施处理，油漆中挥发性有机物含量10%进入固化废气处理设施处理。</w:t>
            </w:r>
            <w:r>
              <w:rPr>
                <w:rFonts w:hint="default" w:ascii="Times New Roman" w:hAnsi="Times New Roman" w:cs="Times New Roman"/>
                <w:color w:val="000000" w:themeColor="text1"/>
                <w:highlight w:val="none"/>
                <w14:textFill>
                  <w14:solidFill>
                    <w14:schemeClr w14:val="tx1"/>
                  </w14:solidFill>
                </w14:textFill>
              </w:rPr>
              <w:t>根据</w:t>
            </w:r>
            <w:r>
              <w:rPr>
                <w:rFonts w:hint="eastAsia" w:ascii="Times New Roman" w:hAnsi="Times New Roman" w:cs="Times New Roman"/>
                <w:color w:val="000000" w:themeColor="text1"/>
                <w:highlight w:val="none"/>
                <w:lang w:val="en-US" w:eastAsia="zh-CN"/>
                <w14:textFill>
                  <w14:solidFill>
                    <w14:schemeClr w14:val="tx1"/>
                  </w14:solidFill>
                </w14:textFill>
              </w:rPr>
              <w:t>物料</w:t>
            </w:r>
            <w:r>
              <w:rPr>
                <w:rFonts w:hint="default" w:ascii="Times New Roman" w:hAnsi="Times New Roman" w:cs="Times New Roman"/>
                <w:color w:val="000000" w:themeColor="text1"/>
                <w:highlight w:val="none"/>
                <w14:textFill>
                  <w14:solidFill>
                    <w14:schemeClr w14:val="tx1"/>
                  </w14:solidFill>
                </w14:textFill>
              </w:rPr>
              <w:t>MSDS可知，</w:t>
            </w:r>
            <w:r>
              <w:rPr>
                <w:rFonts w:hint="eastAsia" w:cs="Times New Roman"/>
                <w:color w:val="000000" w:themeColor="text1"/>
                <w:highlight w:val="none"/>
                <w:lang w:val="en-US" w:eastAsia="zh-CN"/>
                <w14:textFill>
                  <w14:solidFill>
                    <w14:schemeClr w14:val="tx1"/>
                  </w14:solidFill>
                </w14:textFill>
              </w:rPr>
              <w:t>稀释剂、</w:t>
            </w:r>
            <w:r>
              <w:rPr>
                <w:rFonts w:hint="eastAsia" w:ascii="Times New Roman" w:hAnsi="Times New Roman" w:cs="Times New Roman"/>
                <w:color w:val="000000" w:themeColor="text1"/>
                <w:highlight w:val="none"/>
                <w:lang w:val="en-US" w:eastAsia="zh-CN"/>
                <w14:textFill>
                  <w14:solidFill>
                    <w14:schemeClr w14:val="tx1"/>
                  </w14:solidFill>
                </w14:textFill>
              </w:rPr>
              <w:t>底漆、面漆和清漆</w:t>
            </w:r>
            <w:r>
              <w:rPr>
                <w:rFonts w:hint="default" w:ascii="Times New Roman" w:hAnsi="Times New Roman" w:cs="Times New Roman"/>
                <w:color w:val="000000" w:themeColor="text1"/>
                <w:highlight w:val="none"/>
                <w14:textFill>
                  <w14:solidFill>
                    <w14:schemeClr w14:val="tx1"/>
                  </w14:solidFill>
                </w14:textFill>
              </w:rPr>
              <w:t>包含二甲苯</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其中</w:t>
            </w:r>
            <w:r>
              <w:rPr>
                <w:rFonts w:hint="default" w:ascii="Times New Roman" w:hAnsi="Times New Roman" w:cs="Times New Roman"/>
                <w:color w:val="000000" w:themeColor="text1"/>
                <w:highlight w:val="none"/>
                <w14:textFill>
                  <w14:solidFill>
                    <w14:schemeClr w14:val="tx1"/>
                  </w14:solidFill>
                </w14:textFill>
              </w:rPr>
              <w:t>二甲苯成分占比</w:t>
            </w:r>
            <w:r>
              <w:rPr>
                <w:rFonts w:hint="eastAsia" w:ascii="Times New Roman" w:hAnsi="Times New Roman" w:cs="Times New Roman"/>
                <w:color w:val="000000" w:themeColor="text1"/>
                <w:highlight w:val="none"/>
                <w:lang w:val="en-US" w:eastAsia="zh-CN"/>
                <w14:textFill>
                  <w14:solidFill>
                    <w14:schemeClr w14:val="tx1"/>
                  </w14:solidFill>
                </w14:textFill>
              </w:rPr>
              <w:t>分别为</w:t>
            </w:r>
            <w:r>
              <w:rPr>
                <w:rFonts w:hint="eastAsia" w:cs="Times New Roman"/>
                <w:color w:val="000000" w:themeColor="text1"/>
                <w:highlight w:val="none"/>
                <w:lang w:val="en-US" w:eastAsia="zh-CN"/>
                <w14:textFill>
                  <w14:solidFill>
                    <w14:schemeClr w14:val="tx1"/>
                  </w14:solidFill>
                </w14:textFill>
              </w:rPr>
              <w:t>70%、10</w:t>
            </w:r>
            <w:r>
              <w:rPr>
                <w:rFonts w:hint="eastAsia" w:ascii="Times New Roman" w:hAnsi="Times New Roman" w:cs="Times New Roman"/>
                <w:color w:val="000000" w:themeColor="text1"/>
                <w:highlight w:val="none"/>
                <w:lang w:val="en-US"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11</w:t>
            </w:r>
            <w:r>
              <w:rPr>
                <w:rFonts w:hint="eastAsia" w:ascii="Times New Roman" w:hAnsi="Times New Roman" w:cs="Times New Roman"/>
                <w:color w:val="000000" w:themeColor="text1"/>
                <w:highlight w:val="none"/>
                <w:lang w:val="en-US"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8.6</w:t>
            </w:r>
            <w:r>
              <w:rPr>
                <w:rFonts w:hint="eastAsia" w:ascii="Times New Roman" w:hAnsi="Times New Roman" w:cs="Times New Roman"/>
                <w:color w:val="000000" w:themeColor="text1"/>
                <w:highlight w:val="none"/>
                <w:lang w:val="en-US"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w:t>
            </w:r>
          </w:p>
          <w:p w14:paraId="1D92E740">
            <w:pPr>
              <w:pStyle w:val="158"/>
              <w:pageBreakBefore w:val="0"/>
              <w:wordWrap w:val="0"/>
              <w:topLinePunct/>
              <w:bidi w:val="0"/>
              <w:snapToGrid/>
              <w:spacing w:beforeAutospacing="0" w:afterAutospacing="0"/>
              <w:ind w:firstLine="480"/>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油漆中VOCs90%在喷漆流平工序挥发，剩余10%在固化工序挥发，且该喷枪清洗剂以50%进入VOCs废气计，另50%进入喷枪废液。则喷漆房VOCs产生量为（0.5491+0.9929+0.6871）×0.9+1.2990+0.0419=3.3471t/a，喷漆房苯系物产生量为(0.2309+0.3566+0.2407)×0.9+0.9093=1.6547t</w:t>
            </w:r>
            <w:r>
              <w:rPr>
                <w:rFonts w:hint="default" w:ascii="Times New Roman" w:hAnsi="Times New Roman" w:cs="Times New Roman"/>
                <w:color w:val="000000" w:themeColor="text1"/>
                <w:highlight w:val="none"/>
                <w14:textFill>
                  <w14:solidFill>
                    <w14:schemeClr w14:val="tx1"/>
                  </w14:solidFill>
                </w14:textFill>
              </w:rPr>
              <w:t>/a</w:t>
            </w:r>
            <w:r>
              <w:rPr>
                <w:rFonts w:hint="eastAsia" w:cs="Times New Roman"/>
                <w:color w:val="000000" w:themeColor="text1"/>
                <w:highlight w:val="none"/>
                <w:lang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固化工序：VOCs</w:t>
            </w:r>
            <w:r>
              <w:rPr>
                <w:rFonts w:hint="eastAsia" w:cs="Times New Roman"/>
                <w:color w:val="000000" w:themeColor="text1"/>
                <w:highlight w:val="none"/>
                <w:lang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0.5491+0.9929+0.6871）×0.1+0.1317=0.3546t/a</w:t>
            </w:r>
            <w:r>
              <w:rPr>
                <w:rFonts w:hint="eastAsia" w:cs="Times New Roman"/>
                <w:color w:val="000000" w:themeColor="text1"/>
                <w:highlight w:val="none"/>
                <w:lang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苯系物(0.2309+0.3566+0.2407)×0.1=0.0828t/a。</w:t>
            </w:r>
          </w:p>
          <w:p w14:paraId="7D9FECE8">
            <w:pPr>
              <w:pStyle w:val="158"/>
              <w:wordWrap w:val="0"/>
              <w:topLinePunct/>
              <w:snapToGrid/>
              <w:spacing w:line="240" w:lineRule="auto"/>
              <w:ind w:firstLine="0" w:firstLineChars="0"/>
              <w:jc w:val="center"/>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表</w:t>
            </w:r>
            <w:r>
              <w:rPr>
                <w:rFonts w:hint="eastAsia"/>
                <w:b/>
                <w:bCs/>
                <w:color w:val="000000" w:themeColor="text1"/>
                <w:sz w:val="21"/>
                <w:szCs w:val="21"/>
                <w:highlight w:val="none"/>
                <w:lang w:val="en-US" w:eastAsia="zh-CN"/>
                <w14:textFill>
                  <w14:solidFill>
                    <w14:schemeClr w14:val="tx1"/>
                  </w14:solidFill>
                </w14:textFill>
              </w:rPr>
              <w:t xml:space="preserve">4-15  </w:t>
            </w:r>
            <w:r>
              <w:rPr>
                <w:b/>
                <w:bCs/>
                <w:color w:val="000000" w:themeColor="text1"/>
                <w:sz w:val="21"/>
                <w:szCs w:val="21"/>
                <w:highlight w:val="none"/>
                <w14:textFill>
                  <w14:solidFill>
                    <w14:schemeClr w14:val="tx1"/>
                  </w14:solidFill>
                </w14:textFill>
              </w:rPr>
              <w:t xml:space="preserve"> 项目</w:t>
            </w:r>
            <w:r>
              <w:rPr>
                <w:rFonts w:hint="eastAsia"/>
                <w:b/>
                <w:bCs/>
                <w:color w:val="000000" w:themeColor="text1"/>
                <w:sz w:val="21"/>
                <w:szCs w:val="21"/>
                <w:highlight w:val="none"/>
                <w:lang w:val="en-US" w:eastAsia="zh-CN"/>
                <w14:textFill>
                  <w14:solidFill>
                    <w14:schemeClr w14:val="tx1"/>
                  </w14:solidFill>
                </w14:textFill>
              </w:rPr>
              <w:t>VOCs</w:t>
            </w:r>
            <w:r>
              <w:rPr>
                <w:rFonts w:hint="eastAsia"/>
                <w:b/>
                <w:bCs/>
                <w:color w:val="000000" w:themeColor="text1"/>
                <w:sz w:val="21"/>
                <w:szCs w:val="21"/>
                <w:highlight w:val="none"/>
                <w14:textFill>
                  <w14:solidFill>
                    <w14:schemeClr w14:val="tx1"/>
                  </w14:solidFill>
                </w14:textFill>
              </w:rPr>
              <w:t>产</w:t>
            </w:r>
            <w:r>
              <w:rPr>
                <w:rFonts w:hint="eastAsia"/>
                <w:b/>
                <w:bCs/>
                <w:color w:val="000000" w:themeColor="text1"/>
                <w:sz w:val="21"/>
                <w:szCs w:val="21"/>
                <w:highlight w:val="none"/>
                <w:lang w:val="en-US" w:eastAsia="zh-CN"/>
                <w14:textFill>
                  <w14:solidFill>
                    <w14:schemeClr w14:val="tx1"/>
                  </w14:solidFill>
                </w14:textFill>
              </w:rPr>
              <w:t>生情况一览表</w:t>
            </w:r>
          </w:p>
          <w:tbl>
            <w:tblPr>
              <w:tblStyle w:val="44"/>
              <w:tblW w:w="830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73"/>
              <w:gridCol w:w="959"/>
              <w:gridCol w:w="1227"/>
              <w:gridCol w:w="1244"/>
              <w:gridCol w:w="1201"/>
              <w:gridCol w:w="1201"/>
              <w:gridCol w:w="1201"/>
            </w:tblGrid>
            <w:tr w14:paraId="364BC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D2C08">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漆种类</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ADC0A">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底漆</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E567F">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面漆</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55F05">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清漆</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2654C">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配漆稀释剂</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2D126">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喷枪清洗剂</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8507A">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粉末涂料</w:t>
                  </w:r>
                </w:p>
              </w:tc>
            </w:tr>
            <w:tr w14:paraId="38914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3AC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用量</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t/a</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7CF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2.309 </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281A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3.242 </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A2E2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2.798 </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F75F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1.299 </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84D4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0.084 </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0B07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109.755 </w:t>
                  </w:r>
                </w:p>
              </w:tc>
            </w:tr>
            <w:tr w14:paraId="509C8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0FB7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密度</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g/cm</w:t>
                  </w:r>
                  <w:r>
                    <w:rPr>
                      <w:rFonts w:hint="default" w:ascii="Times New Roman" w:hAnsi="Times New Roman" w:eastAsia="宋体" w:cs="Times New Roman"/>
                      <w:i w:val="0"/>
                      <w:iCs w:val="0"/>
                      <w:color w:val="000000" w:themeColor="text1"/>
                      <w:kern w:val="0"/>
                      <w:sz w:val="21"/>
                      <w:szCs w:val="21"/>
                      <w:u w:val="none"/>
                      <w:vertAlign w:val="superscript"/>
                      <w:lang w:val="en-US" w:eastAsia="zh-CN" w:bidi="ar"/>
                      <w14:textFill>
                        <w14:solidFill>
                          <w14:schemeClr w14:val="tx1"/>
                        </w14:solidFill>
                      </w14:textFill>
                    </w:rPr>
                    <w:t>3</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3893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1.173</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0D9F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1.071</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5107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1.173</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52B4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0.892</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BE48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0.828 </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D064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5E811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C28E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VOCs</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含量</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6FC6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23.7852%</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D59B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30.6256%</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3D92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24.5524%</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7AB9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D60C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1A52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1.2kg/t</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粉末涂料</w:t>
                  </w:r>
                </w:p>
              </w:tc>
            </w:tr>
            <w:tr w14:paraId="2F734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4B05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VOCs</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产生量</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t/a</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78CB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0.5491 </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D709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0.9929 </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2E0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0.6871 </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151F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1.2990 </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1307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0.0419 </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3DAB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0.1317 </w:t>
                  </w:r>
                </w:p>
              </w:tc>
            </w:tr>
            <w:tr w14:paraId="2A0F5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8C6E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二甲苯含量</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29F6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E115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C31F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8.6%</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3CDE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DE132">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eastAsia" w:cs="Times New Roman"/>
                      <w:i w:val="0"/>
                      <w:iCs w:val="0"/>
                      <w:color w:val="000000" w:themeColor="text1"/>
                      <w:sz w:val="21"/>
                      <w:szCs w:val="21"/>
                      <w:u w:val="none"/>
                      <w:lang w:val="en-US" w:eastAsia="zh-CN"/>
                      <w14:textFill>
                        <w14:solidFill>
                          <w14:schemeClr w14:val="tx1"/>
                        </w14:solidFill>
                      </w14:textFill>
                    </w:rPr>
                    <w:t>/</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DE95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1DEBE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A471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二甲苯产生量合计</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t/a</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CB03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0.2309 </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C5CC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0.3566 </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2AA8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0.2407 </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CDF7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0.9093 </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25666">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eastAsia" w:cs="Times New Roman"/>
                      <w:i w:val="0"/>
                      <w:iCs w:val="0"/>
                      <w:color w:val="000000" w:themeColor="text1"/>
                      <w:sz w:val="21"/>
                      <w:szCs w:val="21"/>
                      <w:u w:val="none"/>
                      <w:lang w:val="en-US" w:eastAsia="zh-CN"/>
                      <w14:textFill>
                        <w14:solidFill>
                          <w14:schemeClr w14:val="tx1"/>
                        </w14:solidFill>
                      </w14:textFill>
                    </w:rPr>
                    <w:t>/</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6C85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6812A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306"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0AADE">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喷枪清洗剂以</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挥发计，其余</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进入危险废物</w:t>
                  </w:r>
                </w:p>
              </w:tc>
            </w:tr>
          </w:tbl>
          <w:p w14:paraId="77DA27AD">
            <w:pPr>
              <w:pStyle w:val="158"/>
              <w:pageBreakBefore w:val="0"/>
              <w:numPr>
                <w:ilvl w:val="0"/>
                <w:numId w:val="0"/>
              </w:numPr>
              <w:wordWrap w:val="0"/>
              <w:topLinePunct/>
              <w:bidi w:val="0"/>
              <w:snapToGrid/>
              <w:spacing w:beforeAutospacing="0" w:afterAutospacing="0"/>
              <w:rPr>
                <w:rFonts w:hint="default" w:ascii="Times New Roman" w:hAnsi="Times New Roman" w:cs="Times New Roman"/>
                <w:color w:val="000000" w:themeColor="text1"/>
                <w:highlight w:val="none"/>
                <w14:textFill>
                  <w14:solidFill>
                    <w14:schemeClr w14:val="tx1"/>
                  </w14:solidFill>
                </w14:textFill>
              </w:rPr>
            </w:pPr>
          </w:p>
          <w:p w14:paraId="3E0356E2">
            <w:pPr>
              <w:pStyle w:val="158"/>
              <w:pageBreakBefore w:val="0"/>
              <w:numPr>
                <w:ilvl w:val="0"/>
                <w:numId w:val="0"/>
              </w:numPr>
              <w:wordWrap w:val="0"/>
              <w:topLinePunct/>
              <w:bidi w:val="0"/>
              <w:snapToGrid/>
              <w:spacing w:beforeAutospacing="0" w:afterAutospacing="0"/>
              <w:ind w:firstLine="482"/>
              <w:rPr>
                <w:rFonts w:hint="default" w:ascii="Times New Roman" w:hAnsi="Times New Roman" w:cs="Times New Roman"/>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object>
                <v:shape id="_x0000_i1028" o:spt="75" type="#_x0000_t75" style="height:417pt;width:351pt;" o:ole="t" filled="f" o:preferrelative="t" stroked="f" coordsize="21600,21600">
                  <v:path/>
                  <v:fill on="f" focussize="0,0"/>
                  <v:stroke on="f"/>
                  <v:imagedata r:id="rId28" o:title=""/>
                  <o:lock v:ext="edit" aspectratio="f"/>
                  <w10:wrap type="none"/>
                  <w10:anchorlock/>
                </v:shape>
                <o:OLEObject Type="Embed" ProgID="Visio.Drawing.15" ShapeID="_x0000_i1028" DrawAspect="Content" ObjectID="_1468075728" r:id="rId27">
                  <o:LockedField>false</o:LockedField>
                </o:OLEObject>
              </w:object>
            </w:r>
          </w:p>
          <w:p w14:paraId="1B893E8E">
            <w:pPr>
              <w:pStyle w:val="158"/>
              <w:pageBreakBefore w:val="0"/>
              <w:numPr>
                <w:ilvl w:val="0"/>
                <w:numId w:val="0"/>
              </w:numPr>
              <w:wordWrap w:val="0"/>
              <w:topLinePunct/>
              <w:bidi w:val="0"/>
              <w:snapToGrid/>
              <w:spacing w:beforeAutospacing="0" w:afterAutospacing="0"/>
              <w:ind w:firstLine="482"/>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图4-2  VOCs产生排放平衡图</w:t>
            </w:r>
          </w:p>
          <w:p w14:paraId="4CF1BD5C">
            <w:pPr>
              <w:pStyle w:val="158"/>
              <w:pageBreakBefore w:val="0"/>
              <w:numPr>
                <w:ilvl w:val="0"/>
                <w:numId w:val="0"/>
              </w:numPr>
              <w:wordWrap w:val="0"/>
              <w:topLinePunct/>
              <w:bidi w:val="0"/>
              <w:snapToGrid/>
              <w:spacing w:beforeAutospacing="0" w:afterAutospacing="0"/>
              <w:ind w:firstLine="482"/>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color w:val="000000" w:themeColor="text1"/>
                <w:highlight w:val="none"/>
                <w14:textFill>
                  <w14:solidFill>
                    <w14:schemeClr w14:val="tx1"/>
                  </w14:solidFill>
                </w14:textFill>
              </w:rPr>
              <w:t>根据《广东省工业源挥发性有机物减排量核算方法（2023年修订版）》（粤环函〔2023〕538 号）中“表3.3-2 废气收集集气效率参考值”的说明</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②</w:t>
            </w:r>
            <w:r>
              <w:rPr>
                <w:color w:val="000000" w:themeColor="text1"/>
                <w:highlight w:val="none"/>
                <w14:textFill>
                  <w14:solidFill>
                    <w14:schemeClr w14:val="tx1"/>
                  </w14:solidFill>
                </w14:textFill>
              </w:rPr>
              <w:t>当废气收集类型为“全密封设备/空间”，废气收集方式为“单层密闭负压”，收集情况为“VOCs产生源设置在密闭车间、密闭设备（含反应釜）、密闭管道内，所有开口处，包括人员或物料进出口处呈负压”，此时收集效率可取90%</w:t>
            </w:r>
            <w:r>
              <w:rPr>
                <w:rFonts w:hint="eastAsia"/>
                <w:color w:val="000000" w:themeColor="text1"/>
                <w:highlight w:val="none"/>
                <w:lang w:eastAsia="zh-CN"/>
                <w14:textFill>
                  <w14:solidFill>
                    <w14:schemeClr w14:val="tx1"/>
                  </w14:solidFill>
                </w14:textFill>
              </w:rPr>
              <w:t>。</w:t>
            </w:r>
            <w:r>
              <w:rPr>
                <w:rFonts w:hint="eastAsia" w:ascii="Times New Roman" w:hAnsi="Times New Roman" w:cs="Times New Roman"/>
                <w:color w:val="000000" w:themeColor="text1"/>
                <w:highlight w:val="none"/>
                <w:lang w:val="en-US" w:eastAsia="zh-CN"/>
                <w14:textFill>
                  <w14:solidFill>
                    <w14:schemeClr w14:val="tx1"/>
                  </w14:solidFill>
                </w14:textFill>
              </w:rPr>
              <w:t>项目喷漆房、流平室、调漆间和危废间均为单层密闭负压空间，收集效率为90%。</w:t>
            </w:r>
          </w:p>
          <w:p w14:paraId="493CF764">
            <w:pPr>
              <w:pStyle w:val="158"/>
              <w:pageBreakBefore w:val="0"/>
              <w:wordWrap w:val="0"/>
              <w:topLinePunct/>
              <w:bidi w:val="0"/>
              <w:snapToGrid/>
              <w:spacing w:beforeAutospacing="0" w:afterAutospacing="0"/>
              <w:ind w:firstLine="480"/>
              <w:rPr>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项目喷房尺寸为</w:t>
            </w: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16m*5m*3.5m，流平室尺寸为13.5m*5m*3.5m，调漆间、危废间废气一同汇入喷漆废气处理设施处理。</w:t>
            </w:r>
            <w:r>
              <w:rPr>
                <w:rFonts w:hint="eastAsia" w:cs="Times New Roman"/>
                <w:i w:val="0"/>
                <w:iCs w:val="0"/>
                <w:color w:val="000000" w:themeColor="text1"/>
                <w:kern w:val="0"/>
                <w:sz w:val="24"/>
                <w:szCs w:val="24"/>
                <w:u w:val="none"/>
                <w:lang w:val="en-US" w:eastAsia="zh-CN" w:bidi="ar"/>
                <w14:textFill>
                  <w14:solidFill>
                    <w14:schemeClr w14:val="tx1"/>
                  </w14:solidFill>
                </w14:textFill>
              </w:rPr>
              <w:t>参考</w:t>
            </w:r>
            <w:r>
              <w:rPr>
                <w:color w:val="000000" w:themeColor="text1"/>
                <w:kern w:val="0"/>
                <w:highlight w:val="none"/>
                <w14:textFill>
                  <w14:solidFill>
                    <w14:schemeClr w14:val="tx1"/>
                  </w14:solidFill>
                </w14:textFill>
              </w:rPr>
              <w:t>《广东省表面涂装（汽车制造业）挥发性有机废气治理技术指南》，废气捕集率评价方法：按照车间空间体积和60次/小时换气次数计算新风量</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其余生产车间</w:t>
            </w:r>
            <w:r>
              <w:rPr>
                <w:rFonts w:hint="eastAsia"/>
                <w:color w:val="000000" w:themeColor="text1"/>
                <w:highlight w:val="none"/>
                <w:lang w:val="en-US" w:eastAsia="zh-CN"/>
                <w14:textFill>
                  <w14:solidFill>
                    <w14:schemeClr w14:val="tx1"/>
                  </w14:solidFill>
                </w14:textFill>
              </w:rPr>
              <w:t>区域</w:t>
            </w:r>
            <w:r>
              <w:rPr>
                <w:color w:val="000000" w:themeColor="text1"/>
                <w:highlight w:val="none"/>
                <w14:textFill>
                  <w14:solidFill>
                    <w14:schemeClr w14:val="tx1"/>
                  </w14:solidFill>
                </w14:textFill>
              </w:rPr>
              <w:t>按需设置集气罩，</w:t>
            </w:r>
            <w:r>
              <w:rPr>
                <w:rFonts w:hint="eastAsia"/>
                <w:color w:val="000000" w:themeColor="text1"/>
                <w:highlight w:val="none"/>
                <w:lang w:val="en-US" w:eastAsia="zh-CN"/>
                <w14:textFill>
                  <w14:solidFill>
                    <w14:schemeClr w14:val="tx1"/>
                  </w14:solidFill>
                </w14:textFill>
              </w:rPr>
              <w:t>危险废物贮存间参考</w:t>
            </w:r>
            <w:r>
              <w:rPr>
                <w:rFonts w:hint="eastAsia"/>
                <w:color w:val="000000" w:themeColor="text1"/>
                <w:highlight w:val="none"/>
                <w14:textFill>
                  <w14:solidFill>
                    <w14:schemeClr w14:val="tx1"/>
                  </w14:solidFill>
                </w14:textFill>
              </w:rPr>
              <w:t>《工业企业设计卫生标准》（GBZ 1-2010）：事故通风换气次数不宜低于12次/h</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①矩形集气罩风量计算</w:t>
            </w:r>
          </w:p>
          <w:p w14:paraId="00481ADA">
            <w:pPr>
              <w:pStyle w:val="158"/>
              <w:pageBreakBefore w:val="0"/>
              <w:wordWrap w:val="0"/>
              <w:topLinePunct/>
              <w:bidi w:val="0"/>
              <w:snapToGrid/>
              <w:spacing w:beforeAutospacing="0" w:afterAutospacing="0"/>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参考《简明通风设计手册》（主编：孙一坚）中矩形排风罩四周无边的排风量计算公式：</w:t>
            </w:r>
          </w:p>
          <w:p w14:paraId="12B0F900">
            <w:pPr>
              <w:pStyle w:val="158"/>
              <w:pageBreakBefore w:val="0"/>
              <w:wordWrap w:val="0"/>
              <w:topLinePunct/>
              <w:bidi w:val="0"/>
              <w:snapToGrid/>
              <w:spacing w:beforeAutospacing="0" w:afterAutospacing="0"/>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Q=KPHVx</w:t>
            </w:r>
          </w:p>
          <w:p w14:paraId="50C386CF">
            <w:pPr>
              <w:pStyle w:val="158"/>
              <w:pageBreakBefore w:val="0"/>
              <w:wordWrap w:val="0"/>
              <w:topLinePunct/>
              <w:bidi w:val="0"/>
              <w:snapToGrid/>
              <w:spacing w:beforeAutospacing="0" w:afterAutospacing="0"/>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式中：Q---集气罩排风量，m</w:t>
            </w:r>
            <w:r>
              <w:rPr>
                <w:color w:val="000000" w:themeColor="text1"/>
                <w:highlight w:val="none"/>
                <w:vertAlign w:val="superscript"/>
                <w14:textFill>
                  <w14:solidFill>
                    <w14:schemeClr w14:val="tx1"/>
                  </w14:solidFill>
                </w14:textFill>
              </w:rPr>
              <w:t>3</w:t>
            </w:r>
            <w:r>
              <w:rPr>
                <w:color w:val="000000" w:themeColor="text1"/>
                <w:highlight w:val="none"/>
                <w14:textFill>
                  <w14:solidFill>
                    <w14:schemeClr w14:val="tx1"/>
                  </w14:solidFill>
                </w14:textFill>
              </w:rPr>
              <w:t>/s；</w:t>
            </w:r>
          </w:p>
          <w:p w14:paraId="14BD8C7D">
            <w:pPr>
              <w:pStyle w:val="158"/>
              <w:pageBreakBefore w:val="0"/>
              <w:wordWrap w:val="0"/>
              <w:topLinePunct/>
              <w:bidi w:val="0"/>
              <w:snapToGrid/>
              <w:spacing w:beforeAutospacing="0" w:afterAutospacing="0"/>
              <w:ind w:firstLine="1200" w:firstLineChars="5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P---罩口的周长，m；</w:t>
            </w:r>
          </w:p>
          <w:p w14:paraId="44B6A6BB">
            <w:pPr>
              <w:pStyle w:val="158"/>
              <w:pageBreakBefore w:val="0"/>
              <w:wordWrap w:val="0"/>
              <w:topLinePunct/>
              <w:bidi w:val="0"/>
              <w:snapToGrid/>
              <w:spacing w:beforeAutospacing="0" w:afterAutospacing="0"/>
              <w:ind w:firstLine="1200" w:firstLineChars="5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H---控制点至吸气口的距离，取0.5m；</w:t>
            </w:r>
          </w:p>
          <w:p w14:paraId="1F6DAA42">
            <w:pPr>
              <w:pStyle w:val="158"/>
              <w:pageBreakBefore w:val="0"/>
              <w:wordWrap w:val="0"/>
              <w:topLinePunct/>
              <w:bidi w:val="0"/>
              <w:snapToGrid/>
              <w:spacing w:beforeAutospacing="0" w:afterAutospacing="0"/>
              <w:ind w:firstLine="1200" w:firstLineChars="5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V</w:t>
            </w:r>
            <w:r>
              <w:rPr>
                <w:color w:val="000000" w:themeColor="text1"/>
                <w:highlight w:val="none"/>
                <w:vertAlign w:val="subscript"/>
                <w14:textFill>
                  <w14:solidFill>
                    <w14:schemeClr w14:val="tx1"/>
                  </w14:solidFill>
                </w14:textFill>
              </w:rPr>
              <w:t>x</w:t>
            </w:r>
            <w:r>
              <w:rPr>
                <w:color w:val="000000" w:themeColor="text1"/>
                <w:highlight w:val="none"/>
                <w14:textFill>
                  <w14:solidFill>
                    <w14:schemeClr w14:val="tx1"/>
                  </w14:solidFill>
                </w14:textFill>
              </w:rPr>
              <w:t>---最小控制风速，m/s（项目污染物放散情况以缓慢的速度放散至平静的空气中，一般取0.25～0.5m/s，为保证收集效率，本项目最小控制风速取0.5m/s）；</w:t>
            </w:r>
          </w:p>
          <w:p w14:paraId="7D0922DB">
            <w:pPr>
              <w:pStyle w:val="158"/>
              <w:pageBreakBefore w:val="0"/>
              <w:wordWrap w:val="0"/>
              <w:topLinePunct/>
              <w:bidi w:val="0"/>
              <w:snapToGrid/>
              <w:spacing w:beforeAutospacing="0" w:afterAutospacing="0"/>
              <w:ind w:firstLine="1200" w:firstLineChars="5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K---考虑沿高度分布不均匀的安全系数，通常取K=1.4。</w:t>
            </w:r>
          </w:p>
          <w:p w14:paraId="46B3335C">
            <w:pPr>
              <w:pStyle w:val="158"/>
              <w:pageBreakBefore w:val="0"/>
              <w:wordWrap w:val="0"/>
              <w:topLinePunct/>
              <w:bidi w:val="0"/>
              <w:snapToGrid/>
              <w:spacing w:beforeAutospacing="0" w:afterAutospacing="0"/>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②圆形排风管风量计算</w:t>
            </w:r>
          </w:p>
          <w:p w14:paraId="4ACF8624">
            <w:pPr>
              <w:pStyle w:val="158"/>
              <w:pageBreakBefore w:val="0"/>
              <w:wordWrap w:val="0"/>
              <w:topLinePunct/>
              <w:bidi w:val="0"/>
              <w:snapToGrid/>
              <w:spacing w:beforeAutospacing="0" w:afterAutospacing="0"/>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参考《环境工程设计手册》中圆形分管的风量计算公式：</w:t>
            </w:r>
          </w:p>
          <w:p w14:paraId="36942420">
            <w:pPr>
              <w:pStyle w:val="158"/>
              <w:pageBreakBefore w:val="0"/>
              <w:wordWrap w:val="0"/>
              <w:topLinePunct/>
              <w:bidi w:val="0"/>
              <w:snapToGrid/>
              <w:spacing w:beforeAutospacing="0" w:afterAutospacing="0"/>
              <w:ind w:firstLine="48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1827530" cy="391795"/>
                  <wp:effectExtent l="0" t="0" r="1270" b="8255"/>
                  <wp:docPr id="213"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50"/>
                          <pic:cNvPicPr>
                            <a:picLocks noChangeAspect="1"/>
                          </pic:cNvPicPr>
                        </pic:nvPicPr>
                        <pic:blipFill>
                          <a:blip r:embed="rId29"/>
                          <a:stretch>
                            <a:fillRect/>
                          </a:stretch>
                        </pic:blipFill>
                        <pic:spPr>
                          <a:xfrm>
                            <a:off x="0" y="0"/>
                            <a:ext cx="1827530" cy="391795"/>
                          </a:xfrm>
                          <a:prstGeom prst="rect">
                            <a:avLst/>
                          </a:prstGeom>
                          <a:noFill/>
                          <a:ln>
                            <a:noFill/>
                          </a:ln>
                        </pic:spPr>
                      </pic:pic>
                    </a:graphicData>
                  </a:graphic>
                </wp:inline>
              </w:drawing>
            </w:r>
          </w:p>
          <w:p w14:paraId="6879FEBD">
            <w:pPr>
              <w:pStyle w:val="158"/>
              <w:pageBreakBefore w:val="0"/>
              <w:wordWrap w:val="0"/>
              <w:topLinePunct/>
              <w:bidi w:val="0"/>
              <w:snapToGrid/>
              <w:spacing w:beforeAutospacing="0" w:afterAutospacing="0"/>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式中：L---集气罩排风量，m</w:t>
            </w:r>
            <w:r>
              <w:rPr>
                <w:color w:val="000000" w:themeColor="text1"/>
                <w:highlight w:val="none"/>
                <w:vertAlign w:val="superscript"/>
                <w14:textFill>
                  <w14:solidFill>
                    <w14:schemeClr w14:val="tx1"/>
                  </w14:solidFill>
                </w14:textFill>
              </w:rPr>
              <w:t>3</w:t>
            </w:r>
            <w:r>
              <w:rPr>
                <w:color w:val="000000" w:themeColor="text1"/>
                <w:highlight w:val="none"/>
                <w14:textFill>
                  <w14:solidFill>
                    <w14:schemeClr w14:val="tx1"/>
                  </w14:solidFill>
                </w14:textFill>
              </w:rPr>
              <w:t>/h；</w:t>
            </w:r>
          </w:p>
          <w:p w14:paraId="62F8E2C0">
            <w:pPr>
              <w:pStyle w:val="158"/>
              <w:pageBreakBefore w:val="0"/>
              <w:wordWrap w:val="0"/>
              <w:topLinePunct/>
              <w:bidi w:val="0"/>
              <w:snapToGrid/>
              <w:spacing w:beforeAutospacing="0" w:afterAutospacing="0"/>
              <w:ind w:firstLine="1200" w:firstLineChars="5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D---分管直径，m；</w:t>
            </w:r>
          </w:p>
          <w:p w14:paraId="3917097B">
            <w:pPr>
              <w:pStyle w:val="158"/>
              <w:pageBreakBefore w:val="0"/>
              <w:wordWrap w:val="0"/>
              <w:topLinePunct/>
              <w:bidi w:val="0"/>
              <w:snapToGrid/>
              <w:spacing w:beforeAutospacing="0" w:afterAutospacing="0"/>
              <w:ind w:firstLine="1200" w:firstLineChars="5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V---断面平均风速，m/s，本项目断面平均风速取5.34m/s。</w:t>
            </w:r>
          </w:p>
          <w:p w14:paraId="5F22A0D0">
            <w:pPr>
              <w:pStyle w:val="158"/>
              <w:pageBreakBefore w:val="0"/>
              <w:numPr>
                <w:ilvl w:val="0"/>
                <w:numId w:val="0"/>
              </w:numPr>
              <w:wordWrap w:val="0"/>
              <w:topLinePunct/>
              <w:bidi w:val="0"/>
              <w:snapToGrid/>
              <w:spacing w:beforeAutospacing="0" w:afterAutospacing="0"/>
              <w:ind w:firstLine="482"/>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喷漆废气集气设备设计参数见下表。</w:t>
            </w:r>
          </w:p>
          <w:p w14:paraId="38285315">
            <w:pPr>
              <w:pStyle w:val="158"/>
              <w:pageBreakBefore w:val="0"/>
              <w:numPr>
                <w:ilvl w:val="0"/>
                <w:numId w:val="0"/>
              </w:numPr>
              <w:wordWrap w:val="0"/>
              <w:topLinePunct/>
              <w:bidi w:val="0"/>
              <w:snapToGrid/>
              <w:spacing w:beforeAutospacing="0" w:afterAutospacing="0"/>
              <w:ind w:firstLine="482"/>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表4-1</w:t>
            </w:r>
            <w:r>
              <w:rPr>
                <w:rFonts w:hint="eastAsia" w:cs="Times New Roman"/>
                <w:b/>
                <w:bCs/>
                <w:color w:val="000000" w:themeColor="text1"/>
                <w:sz w:val="21"/>
                <w:szCs w:val="21"/>
                <w:highlight w:val="none"/>
                <w:lang w:val="en-US" w:eastAsia="zh-CN"/>
                <w14:textFill>
                  <w14:solidFill>
                    <w14:schemeClr w14:val="tx1"/>
                  </w14:solidFill>
                </w14:textFill>
              </w:rPr>
              <w:t>6</w:t>
            </w: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 xml:space="preserve"> 集气设备设计参数</w:t>
            </w:r>
          </w:p>
          <w:tbl>
            <w:tblPr>
              <w:tblStyle w:val="44"/>
              <w:tblW w:w="830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83"/>
              <w:gridCol w:w="1756"/>
              <w:gridCol w:w="856"/>
              <w:gridCol w:w="1041"/>
              <w:gridCol w:w="1041"/>
              <w:gridCol w:w="1042"/>
              <w:gridCol w:w="1287"/>
            </w:tblGrid>
            <w:tr w14:paraId="1FAE8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0" w:hRule="atLeast"/>
              </w:trPr>
              <w:tc>
                <w:tcPr>
                  <w:tcW w:w="1283" w:type="dxa"/>
                  <w:tcBorders>
                    <w:top w:val="single" w:color="000000" w:sz="4" w:space="0"/>
                    <w:left w:val="single" w:color="000000" w:sz="4" w:space="0"/>
                    <w:bottom w:val="single" w:color="000000" w:sz="4" w:space="0"/>
                    <w:right w:val="single" w:color="000000" w:sz="4" w:space="0"/>
                  </w:tcBorders>
                  <w:noWrap w:val="0"/>
                  <w:vAlign w:val="center"/>
                </w:tcPr>
                <w:p w14:paraId="3B077820">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工序</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664A4CB5">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尺寸</w:t>
                  </w:r>
                </w:p>
              </w:tc>
              <w:tc>
                <w:tcPr>
                  <w:tcW w:w="856" w:type="dxa"/>
                  <w:tcBorders>
                    <w:top w:val="single" w:color="000000" w:sz="4" w:space="0"/>
                    <w:left w:val="single" w:color="000000" w:sz="4" w:space="0"/>
                    <w:bottom w:val="single" w:color="000000" w:sz="4" w:space="0"/>
                    <w:right w:val="single" w:color="000000" w:sz="4" w:space="0"/>
                  </w:tcBorders>
                  <w:noWrap w:val="0"/>
                  <w:vAlign w:val="center"/>
                </w:tcPr>
                <w:p w14:paraId="2FA066C6">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体积（</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m</w:t>
                  </w:r>
                  <w:r>
                    <w:rPr>
                      <w:rFonts w:hint="default" w:ascii="Times New Roman" w:hAnsi="Times New Roman" w:eastAsia="宋体" w:cs="Times New Roman"/>
                      <w:b/>
                      <w:bCs/>
                      <w:i w:val="0"/>
                      <w:iCs w:val="0"/>
                      <w:color w:val="000000" w:themeColor="text1"/>
                      <w:kern w:val="0"/>
                      <w:sz w:val="21"/>
                      <w:szCs w:val="21"/>
                      <w:u w:val="none"/>
                      <w:vertAlign w:val="superscript"/>
                      <w:lang w:val="en-US" w:eastAsia="zh-CN" w:bidi="ar"/>
                      <w14:textFill>
                        <w14:solidFill>
                          <w14:schemeClr w14:val="tx1"/>
                        </w14:solidFill>
                      </w14:textFill>
                    </w:rPr>
                    <w:t>3</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B861812">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换气常数（次</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/h</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B7B9E08">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数量</w:t>
                  </w:r>
                </w:p>
              </w:tc>
              <w:tc>
                <w:tcPr>
                  <w:tcW w:w="1042" w:type="dxa"/>
                  <w:tcBorders>
                    <w:top w:val="single" w:color="000000" w:sz="4" w:space="0"/>
                    <w:left w:val="single" w:color="000000" w:sz="4" w:space="0"/>
                    <w:bottom w:val="single" w:color="000000" w:sz="4" w:space="0"/>
                    <w:right w:val="single" w:color="000000" w:sz="4" w:space="0"/>
                  </w:tcBorders>
                  <w:noWrap w:val="0"/>
                  <w:vAlign w:val="center"/>
                </w:tcPr>
                <w:p w14:paraId="7C3B6ED2">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单个所需风量（</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m</w:t>
                  </w:r>
                  <w:r>
                    <w:rPr>
                      <w:rFonts w:hint="default" w:ascii="Times New Roman" w:hAnsi="Times New Roman" w:eastAsia="宋体" w:cs="Times New Roman"/>
                      <w:b/>
                      <w:bCs/>
                      <w:i w:val="0"/>
                      <w:iCs w:val="0"/>
                      <w:color w:val="000000" w:themeColor="text1"/>
                      <w:kern w:val="0"/>
                      <w:sz w:val="21"/>
                      <w:szCs w:val="21"/>
                      <w:u w:val="none"/>
                      <w:vertAlign w:val="superscript"/>
                      <w:lang w:val="en-US" w:eastAsia="zh-CN" w:bidi="ar"/>
                      <w14:textFill>
                        <w14:solidFill>
                          <w14:schemeClr w14:val="tx1"/>
                        </w14:solidFill>
                      </w14:textFill>
                    </w:rPr>
                    <w:t>3</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/h</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7BB59724">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整体所需风量（</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m</w:t>
                  </w:r>
                  <w:r>
                    <w:rPr>
                      <w:rFonts w:hint="default" w:ascii="Times New Roman" w:hAnsi="Times New Roman" w:eastAsia="宋体" w:cs="Times New Roman"/>
                      <w:b/>
                      <w:bCs/>
                      <w:i w:val="0"/>
                      <w:iCs w:val="0"/>
                      <w:color w:val="000000" w:themeColor="text1"/>
                      <w:kern w:val="0"/>
                      <w:sz w:val="21"/>
                      <w:szCs w:val="21"/>
                      <w:u w:val="none"/>
                      <w:vertAlign w:val="superscript"/>
                      <w:lang w:val="en-US" w:eastAsia="zh-CN" w:bidi="ar"/>
                      <w14:textFill>
                        <w14:solidFill>
                          <w14:schemeClr w14:val="tx1"/>
                        </w14:solidFill>
                      </w14:textFill>
                    </w:rPr>
                    <w:t>3</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/h</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p>
              </w:tc>
            </w:tr>
            <w:tr w14:paraId="38B5C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83" w:type="dxa"/>
                  <w:tcBorders>
                    <w:top w:val="single" w:color="000000" w:sz="4" w:space="0"/>
                    <w:left w:val="single" w:color="000000" w:sz="4" w:space="0"/>
                    <w:bottom w:val="single" w:color="000000" w:sz="4" w:space="0"/>
                    <w:right w:val="single" w:color="000000" w:sz="4" w:space="0"/>
                  </w:tcBorders>
                  <w:noWrap w:val="0"/>
                  <w:vAlign w:val="center"/>
                </w:tcPr>
                <w:p w14:paraId="133E834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底漆喷房</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5513E9F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16m*5m*3.5m</w:t>
                  </w:r>
                </w:p>
              </w:tc>
              <w:tc>
                <w:tcPr>
                  <w:tcW w:w="856" w:type="dxa"/>
                  <w:tcBorders>
                    <w:top w:val="single" w:color="000000" w:sz="4" w:space="0"/>
                    <w:left w:val="single" w:color="000000" w:sz="4" w:space="0"/>
                    <w:bottom w:val="single" w:color="000000" w:sz="4" w:space="0"/>
                    <w:right w:val="single" w:color="000000" w:sz="4" w:space="0"/>
                  </w:tcBorders>
                  <w:noWrap w:val="0"/>
                  <w:vAlign w:val="center"/>
                </w:tcPr>
                <w:p w14:paraId="08AD6B5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DAB9F4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42BB86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1042" w:type="dxa"/>
                  <w:tcBorders>
                    <w:top w:val="single" w:color="000000" w:sz="4" w:space="0"/>
                    <w:left w:val="single" w:color="000000" w:sz="4" w:space="0"/>
                    <w:bottom w:val="single" w:color="000000" w:sz="4" w:space="0"/>
                    <w:right w:val="single" w:color="000000" w:sz="4" w:space="0"/>
                  </w:tcBorders>
                  <w:noWrap w:val="0"/>
                  <w:vAlign w:val="center"/>
                </w:tcPr>
                <w:p w14:paraId="44266ED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16800</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153A97B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33600</w:t>
                  </w:r>
                </w:p>
              </w:tc>
            </w:tr>
            <w:tr w14:paraId="524FC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83" w:type="dxa"/>
                  <w:tcBorders>
                    <w:top w:val="single" w:color="000000" w:sz="4" w:space="0"/>
                    <w:left w:val="single" w:color="000000" w:sz="4" w:space="0"/>
                    <w:bottom w:val="single" w:color="000000" w:sz="4" w:space="0"/>
                    <w:right w:val="single" w:color="000000" w:sz="4" w:space="0"/>
                  </w:tcBorders>
                  <w:noWrap w:val="0"/>
                  <w:vAlign w:val="center"/>
                </w:tcPr>
                <w:p w14:paraId="54337CB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底漆流平室</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5AFFB4F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13.5m*5m*3.5m</w:t>
                  </w:r>
                </w:p>
              </w:tc>
              <w:tc>
                <w:tcPr>
                  <w:tcW w:w="856" w:type="dxa"/>
                  <w:tcBorders>
                    <w:top w:val="single" w:color="000000" w:sz="4" w:space="0"/>
                    <w:left w:val="single" w:color="000000" w:sz="4" w:space="0"/>
                    <w:bottom w:val="single" w:color="000000" w:sz="4" w:space="0"/>
                    <w:right w:val="single" w:color="000000" w:sz="4" w:space="0"/>
                  </w:tcBorders>
                  <w:noWrap w:val="0"/>
                  <w:vAlign w:val="center"/>
                </w:tcPr>
                <w:p w14:paraId="5BF9192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236.25</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9C6D41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D86354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042" w:type="dxa"/>
                  <w:tcBorders>
                    <w:top w:val="single" w:color="000000" w:sz="4" w:space="0"/>
                    <w:left w:val="single" w:color="000000" w:sz="4" w:space="0"/>
                    <w:bottom w:val="single" w:color="000000" w:sz="4" w:space="0"/>
                    <w:right w:val="single" w:color="000000" w:sz="4" w:space="0"/>
                  </w:tcBorders>
                  <w:noWrap w:val="0"/>
                  <w:vAlign w:val="center"/>
                </w:tcPr>
                <w:p w14:paraId="7BD6BEF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14175</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B7F378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14175</w:t>
                  </w:r>
                </w:p>
              </w:tc>
            </w:tr>
            <w:tr w14:paraId="1B46C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83" w:type="dxa"/>
                  <w:tcBorders>
                    <w:top w:val="single" w:color="000000" w:sz="4" w:space="0"/>
                    <w:left w:val="single" w:color="000000" w:sz="4" w:space="0"/>
                    <w:bottom w:val="single" w:color="000000" w:sz="4" w:space="0"/>
                    <w:right w:val="single" w:color="000000" w:sz="4" w:space="0"/>
                  </w:tcBorders>
                  <w:noWrap w:val="0"/>
                  <w:vAlign w:val="center"/>
                </w:tcPr>
                <w:p w14:paraId="244158D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面漆喷房</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7098B70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16m*5m*3.5m</w:t>
                  </w:r>
                </w:p>
              </w:tc>
              <w:tc>
                <w:tcPr>
                  <w:tcW w:w="856" w:type="dxa"/>
                  <w:tcBorders>
                    <w:top w:val="single" w:color="000000" w:sz="4" w:space="0"/>
                    <w:left w:val="single" w:color="000000" w:sz="4" w:space="0"/>
                    <w:bottom w:val="single" w:color="000000" w:sz="4" w:space="0"/>
                    <w:right w:val="single" w:color="000000" w:sz="4" w:space="0"/>
                  </w:tcBorders>
                  <w:noWrap w:val="0"/>
                  <w:vAlign w:val="center"/>
                </w:tcPr>
                <w:p w14:paraId="380D30E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2E9B36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1B54B5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1042" w:type="dxa"/>
                  <w:tcBorders>
                    <w:top w:val="single" w:color="000000" w:sz="4" w:space="0"/>
                    <w:left w:val="single" w:color="000000" w:sz="4" w:space="0"/>
                    <w:bottom w:val="single" w:color="000000" w:sz="4" w:space="0"/>
                    <w:right w:val="single" w:color="000000" w:sz="4" w:space="0"/>
                  </w:tcBorders>
                  <w:noWrap w:val="0"/>
                  <w:vAlign w:val="center"/>
                </w:tcPr>
                <w:p w14:paraId="380BD91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16800</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2EDCD3D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33600</w:t>
                  </w:r>
                </w:p>
              </w:tc>
            </w:tr>
            <w:tr w14:paraId="40650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83" w:type="dxa"/>
                  <w:tcBorders>
                    <w:top w:val="single" w:color="000000" w:sz="4" w:space="0"/>
                    <w:left w:val="single" w:color="000000" w:sz="4" w:space="0"/>
                    <w:bottom w:val="single" w:color="000000" w:sz="4" w:space="0"/>
                    <w:right w:val="single" w:color="000000" w:sz="4" w:space="0"/>
                  </w:tcBorders>
                  <w:noWrap w:val="0"/>
                  <w:vAlign w:val="center"/>
                </w:tcPr>
                <w:p w14:paraId="17014E0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面漆流平室</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21DE984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13.5m*5m*3.5m</w:t>
                  </w:r>
                </w:p>
              </w:tc>
              <w:tc>
                <w:tcPr>
                  <w:tcW w:w="856" w:type="dxa"/>
                  <w:tcBorders>
                    <w:top w:val="single" w:color="000000" w:sz="4" w:space="0"/>
                    <w:left w:val="single" w:color="000000" w:sz="4" w:space="0"/>
                    <w:bottom w:val="single" w:color="000000" w:sz="4" w:space="0"/>
                    <w:right w:val="single" w:color="000000" w:sz="4" w:space="0"/>
                  </w:tcBorders>
                  <w:noWrap w:val="0"/>
                  <w:vAlign w:val="center"/>
                </w:tcPr>
                <w:p w14:paraId="4F4E1D1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236.25</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201331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294592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042" w:type="dxa"/>
                  <w:tcBorders>
                    <w:top w:val="single" w:color="000000" w:sz="4" w:space="0"/>
                    <w:left w:val="single" w:color="000000" w:sz="4" w:space="0"/>
                    <w:bottom w:val="single" w:color="000000" w:sz="4" w:space="0"/>
                    <w:right w:val="single" w:color="000000" w:sz="4" w:space="0"/>
                  </w:tcBorders>
                  <w:noWrap w:val="0"/>
                  <w:vAlign w:val="center"/>
                </w:tcPr>
                <w:p w14:paraId="69CAA8A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14175</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52402B0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14175</w:t>
                  </w:r>
                </w:p>
              </w:tc>
            </w:tr>
            <w:tr w14:paraId="76B8D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83" w:type="dxa"/>
                  <w:tcBorders>
                    <w:top w:val="single" w:color="000000" w:sz="4" w:space="0"/>
                    <w:left w:val="single" w:color="000000" w:sz="4" w:space="0"/>
                    <w:bottom w:val="single" w:color="000000" w:sz="4" w:space="0"/>
                    <w:right w:val="single" w:color="000000" w:sz="4" w:space="0"/>
                  </w:tcBorders>
                  <w:noWrap w:val="0"/>
                  <w:vAlign w:val="center"/>
                </w:tcPr>
                <w:p w14:paraId="4BEB720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清漆喷房</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10EC8CE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16m*5m*3.5m</w:t>
                  </w:r>
                </w:p>
              </w:tc>
              <w:tc>
                <w:tcPr>
                  <w:tcW w:w="856" w:type="dxa"/>
                  <w:tcBorders>
                    <w:top w:val="single" w:color="000000" w:sz="4" w:space="0"/>
                    <w:left w:val="single" w:color="000000" w:sz="4" w:space="0"/>
                    <w:bottom w:val="single" w:color="000000" w:sz="4" w:space="0"/>
                    <w:right w:val="single" w:color="000000" w:sz="4" w:space="0"/>
                  </w:tcBorders>
                  <w:noWrap w:val="0"/>
                  <w:vAlign w:val="center"/>
                </w:tcPr>
                <w:p w14:paraId="33EC85B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F2BBC7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6A4F3C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1042" w:type="dxa"/>
                  <w:tcBorders>
                    <w:top w:val="single" w:color="000000" w:sz="4" w:space="0"/>
                    <w:left w:val="single" w:color="000000" w:sz="4" w:space="0"/>
                    <w:bottom w:val="single" w:color="000000" w:sz="4" w:space="0"/>
                    <w:right w:val="single" w:color="000000" w:sz="4" w:space="0"/>
                  </w:tcBorders>
                  <w:noWrap w:val="0"/>
                  <w:vAlign w:val="center"/>
                </w:tcPr>
                <w:p w14:paraId="4D9CB77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16800</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FE3526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33600</w:t>
                  </w:r>
                </w:p>
              </w:tc>
            </w:tr>
            <w:tr w14:paraId="1C591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83" w:type="dxa"/>
                  <w:tcBorders>
                    <w:top w:val="single" w:color="000000" w:sz="4" w:space="0"/>
                    <w:left w:val="single" w:color="000000" w:sz="4" w:space="0"/>
                    <w:bottom w:val="single" w:color="000000" w:sz="4" w:space="0"/>
                    <w:right w:val="single" w:color="000000" w:sz="4" w:space="0"/>
                  </w:tcBorders>
                  <w:noWrap w:val="0"/>
                  <w:vAlign w:val="center"/>
                </w:tcPr>
                <w:p w14:paraId="72FB5EE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清漆流平室</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6A1268C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13.5m*5m*3.5m</w:t>
                  </w:r>
                </w:p>
              </w:tc>
              <w:tc>
                <w:tcPr>
                  <w:tcW w:w="856" w:type="dxa"/>
                  <w:tcBorders>
                    <w:top w:val="single" w:color="000000" w:sz="4" w:space="0"/>
                    <w:left w:val="single" w:color="000000" w:sz="4" w:space="0"/>
                    <w:bottom w:val="single" w:color="000000" w:sz="4" w:space="0"/>
                    <w:right w:val="single" w:color="000000" w:sz="4" w:space="0"/>
                  </w:tcBorders>
                  <w:noWrap w:val="0"/>
                  <w:vAlign w:val="center"/>
                </w:tcPr>
                <w:p w14:paraId="0B74BCF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236.25</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DEFA24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4A169E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042" w:type="dxa"/>
                  <w:tcBorders>
                    <w:top w:val="single" w:color="000000" w:sz="4" w:space="0"/>
                    <w:left w:val="single" w:color="000000" w:sz="4" w:space="0"/>
                    <w:bottom w:val="single" w:color="000000" w:sz="4" w:space="0"/>
                    <w:right w:val="single" w:color="000000" w:sz="4" w:space="0"/>
                  </w:tcBorders>
                  <w:noWrap w:val="0"/>
                  <w:vAlign w:val="center"/>
                </w:tcPr>
                <w:p w14:paraId="3CD5006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14175</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4D9384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14175</w:t>
                  </w:r>
                </w:p>
              </w:tc>
            </w:tr>
            <w:tr w14:paraId="439E9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83" w:type="dxa"/>
                  <w:tcBorders>
                    <w:top w:val="single" w:color="000000" w:sz="4" w:space="0"/>
                    <w:left w:val="single" w:color="000000" w:sz="4" w:space="0"/>
                    <w:bottom w:val="single" w:color="000000" w:sz="4" w:space="0"/>
                    <w:right w:val="single" w:color="000000" w:sz="4" w:space="0"/>
                  </w:tcBorders>
                  <w:noWrap/>
                  <w:vAlign w:val="center"/>
                </w:tcPr>
                <w:p w14:paraId="42994EC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调漆间</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66C718B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6m*5m*3.5m</w:t>
                  </w:r>
                </w:p>
              </w:tc>
              <w:tc>
                <w:tcPr>
                  <w:tcW w:w="856" w:type="dxa"/>
                  <w:tcBorders>
                    <w:top w:val="single" w:color="000000" w:sz="4" w:space="0"/>
                    <w:left w:val="single" w:color="000000" w:sz="4" w:space="0"/>
                    <w:bottom w:val="single" w:color="000000" w:sz="4" w:space="0"/>
                    <w:right w:val="single" w:color="000000" w:sz="4" w:space="0"/>
                  </w:tcBorders>
                  <w:noWrap w:val="0"/>
                  <w:vAlign w:val="center"/>
                </w:tcPr>
                <w:p w14:paraId="0787159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840E09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2B58E8D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1042" w:type="dxa"/>
                  <w:tcBorders>
                    <w:top w:val="single" w:color="000000" w:sz="4" w:space="0"/>
                    <w:left w:val="single" w:color="000000" w:sz="4" w:space="0"/>
                    <w:bottom w:val="single" w:color="000000" w:sz="4" w:space="0"/>
                    <w:right w:val="single" w:color="000000" w:sz="4" w:space="0"/>
                  </w:tcBorders>
                  <w:noWrap w:val="0"/>
                  <w:vAlign w:val="center"/>
                </w:tcPr>
                <w:p w14:paraId="10FA41B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2100</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2D491A1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6300</w:t>
                  </w:r>
                </w:p>
              </w:tc>
            </w:tr>
            <w:tr w14:paraId="5A98E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83" w:type="dxa"/>
                  <w:tcBorders>
                    <w:top w:val="single" w:color="000000" w:sz="4" w:space="0"/>
                    <w:left w:val="single" w:color="000000" w:sz="4" w:space="0"/>
                    <w:bottom w:val="single" w:color="000000" w:sz="4" w:space="0"/>
                    <w:right w:val="single" w:color="000000" w:sz="4" w:space="0"/>
                  </w:tcBorders>
                  <w:noWrap/>
                  <w:vAlign w:val="center"/>
                </w:tcPr>
                <w:p w14:paraId="4C20462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危废间</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14:paraId="684DAE5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10m*5m*3.5m</w:t>
                  </w:r>
                </w:p>
              </w:tc>
              <w:tc>
                <w:tcPr>
                  <w:tcW w:w="856" w:type="dxa"/>
                  <w:tcBorders>
                    <w:top w:val="single" w:color="000000" w:sz="4" w:space="0"/>
                    <w:left w:val="single" w:color="000000" w:sz="4" w:space="0"/>
                    <w:bottom w:val="single" w:color="000000" w:sz="4" w:space="0"/>
                    <w:right w:val="single" w:color="000000" w:sz="4" w:space="0"/>
                  </w:tcBorders>
                  <w:noWrap/>
                  <w:vAlign w:val="center"/>
                </w:tcPr>
                <w:p w14:paraId="7886BAB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175</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1FC3A62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41" w:type="dxa"/>
                  <w:tcBorders>
                    <w:top w:val="single" w:color="000000" w:sz="4" w:space="0"/>
                    <w:left w:val="single" w:color="000000" w:sz="4" w:space="0"/>
                    <w:bottom w:val="single" w:color="000000" w:sz="4" w:space="0"/>
                    <w:right w:val="single" w:color="000000" w:sz="4" w:space="0"/>
                  </w:tcBorders>
                  <w:noWrap/>
                  <w:vAlign w:val="center"/>
                </w:tcPr>
                <w:p w14:paraId="2B97DB4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042" w:type="dxa"/>
                  <w:tcBorders>
                    <w:top w:val="single" w:color="000000" w:sz="4" w:space="0"/>
                    <w:left w:val="single" w:color="000000" w:sz="4" w:space="0"/>
                    <w:bottom w:val="single" w:color="000000" w:sz="4" w:space="0"/>
                    <w:right w:val="single" w:color="000000" w:sz="4" w:space="0"/>
                  </w:tcBorders>
                  <w:noWrap w:val="0"/>
                  <w:vAlign w:val="center"/>
                </w:tcPr>
                <w:p w14:paraId="143D751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10500</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522A1FD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10500</w:t>
                  </w:r>
                </w:p>
              </w:tc>
            </w:tr>
            <w:tr w14:paraId="2913A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19" w:type="dxa"/>
                  <w:gridSpan w:val="6"/>
                  <w:tcBorders>
                    <w:top w:val="single" w:color="000000" w:sz="4" w:space="0"/>
                    <w:left w:val="single" w:color="000000" w:sz="4" w:space="0"/>
                    <w:bottom w:val="single" w:color="000000" w:sz="4" w:space="0"/>
                    <w:right w:val="single" w:color="000000" w:sz="4" w:space="0"/>
                  </w:tcBorders>
                  <w:noWrap/>
                  <w:vAlign w:val="center"/>
                </w:tcPr>
                <w:p w14:paraId="6D009D4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合计</w:t>
                  </w:r>
                </w:p>
              </w:tc>
              <w:tc>
                <w:tcPr>
                  <w:tcW w:w="1287" w:type="dxa"/>
                  <w:tcBorders>
                    <w:top w:val="single" w:color="000000" w:sz="4" w:space="0"/>
                    <w:left w:val="single" w:color="000000" w:sz="4" w:space="0"/>
                    <w:bottom w:val="single" w:color="000000" w:sz="4" w:space="0"/>
                    <w:right w:val="single" w:color="000000" w:sz="4" w:space="0"/>
                  </w:tcBorders>
                  <w:noWrap/>
                  <w:vAlign w:val="center"/>
                </w:tcPr>
                <w:p w14:paraId="5D71E1B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160125</w:t>
                  </w:r>
                </w:p>
              </w:tc>
            </w:tr>
          </w:tbl>
          <w:p w14:paraId="00EE9283">
            <w:pPr>
              <w:pStyle w:val="158"/>
              <w:pageBreakBefore w:val="0"/>
              <w:numPr>
                <w:ilvl w:val="0"/>
                <w:numId w:val="0"/>
              </w:numPr>
              <w:wordWrap w:val="0"/>
              <w:topLinePunct/>
              <w:bidi w:val="0"/>
              <w:snapToGrid/>
              <w:spacing w:beforeAutospacing="0" w:afterAutospacing="0"/>
              <w:ind w:firstLine="482"/>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计算得整体所需风量为1</w:t>
            </w:r>
            <w:r>
              <w:rPr>
                <w:rFonts w:hint="eastAsia" w:cs="Times New Roman"/>
                <w:color w:val="000000" w:themeColor="text1"/>
                <w:highlight w:val="none"/>
                <w:lang w:val="en-US" w:eastAsia="zh-CN"/>
                <w14:textFill>
                  <w14:solidFill>
                    <w14:schemeClr w14:val="tx1"/>
                  </w14:solidFill>
                </w14:textFill>
              </w:rPr>
              <w:t>60125</w:t>
            </w:r>
            <w:r>
              <w:rPr>
                <w:rFonts w:hint="eastAsia" w:ascii="Times New Roman" w:hAnsi="Times New Roman" w:cs="Times New Roman"/>
                <w:color w:val="000000" w:themeColor="text1"/>
                <w:highlight w:val="none"/>
                <w:lang w:val="en-US" w:eastAsia="zh-CN"/>
                <w14:textFill>
                  <w14:solidFill>
                    <w14:schemeClr w14:val="tx1"/>
                  </w14:solidFill>
                </w14:textFill>
              </w:rPr>
              <w:t>m</w:t>
            </w:r>
            <w:r>
              <w:rPr>
                <w:rFonts w:hint="eastAsia" w:ascii="Times New Roman" w:hAnsi="Times New Roman" w:cs="Times New Roman"/>
                <w:color w:val="000000" w:themeColor="text1"/>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highlight w:val="none"/>
                <w:vertAlign w:val="baseline"/>
                <w:lang w:val="en-US" w:eastAsia="zh-CN"/>
                <w14:textFill>
                  <w14:solidFill>
                    <w14:schemeClr w14:val="tx1"/>
                  </w14:solidFill>
                </w14:textFill>
              </w:rPr>
              <w:t>/h，项目配套喷漆废气处理设施设计风量1</w:t>
            </w:r>
            <w:r>
              <w:rPr>
                <w:rFonts w:hint="eastAsia" w:cs="Times New Roman"/>
                <w:color w:val="000000" w:themeColor="text1"/>
                <w:highlight w:val="none"/>
                <w:vertAlign w:val="baseline"/>
                <w:lang w:val="en-US" w:eastAsia="zh-CN"/>
                <w14:textFill>
                  <w14:solidFill>
                    <w14:schemeClr w14:val="tx1"/>
                  </w14:solidFill>
                </w14:textFill>
              </w:rPr>
              <w:t>812</w:t>
            </w:r>
            <w:r>
              <w:rPr>
                <w:rFonts w:hint="eastAsia" w:ascii="Times New Roman" w:hAnsi="Times New Roman" w:cs="Times New Roman"/>
                <w:color w:val="000000" w:themeColor="text1"/>
                <w:highlight w:val="none"/>
                <w:vertAlign w:val="baseline"/>
                <w:lang w:val="en-US" w:eastAsia="zh-CN"/>
                <w14:textFill>
                  <w14:solidFill>
                    <w14:schemeClr w14:val="tx1"/>
                  </w14:solidFill>
                </w14:textFill>
              </w:rPr>
              <w:t>00m</w:t>
            </w:r>
            <w:r>
              <w:rPr>
                <w:rFonts w:hint="eastAsia" w:ascii="Times New Roman" w:hAnsi="Times New Roman" w:cs="Times New Roman"/>
                <w:color w:val="000000" w:themeColor="text1"/>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highlight w:val="none"/>
                <w:vertAlign w:val="baseline"/>
                <w:lang w:val="en-US" w:eastAsia="zh-CN"/>
                <w14:textFill>
                  <w14:solidFill>
                    <w14:schemeClr w14:val="tx1"/>
                  </w14:solidFill>
                </w14:textFill>
              </w:rPr>
              <w:t>/h，大于所需风量，风量设计合理。</w:t>
            </w:r>
          </w:p>
          <w:p w14:paraId="44510D14">
            <w:pPr>
              <w:pStyle w:val="158"/>
              <w:pageBreakBefore w:val="0"/>
              <w:wordWrap w:val="0"/>
              <w:topLinePunct/>
              <w:bidi w:val="0"/>
              <w:snapToGrid/>
              <w:spacing w:beforeAutospacing="0" w:afterAutospacing="0"/>
              <w:ind w:firstLine="480"/>
              <w:rPr>
                <w:rFonts w:hint="default" w:ascii="Times New Roman" w:hAnsi="Times New Roman" w:eastAsia="宋体" w:cs="Times New Roman"/>
                <w:i w:val="0"/>
                <w:iCs w:val="0"/>
                <w:color w:val="000000" w:themeColor="text1"/>
                <w:spacing w:val="0"/>
                <w:kern w:val="0"/>
                <w:sz w:val="24"/>
                <w:szCs w:val="24"/>
                <w:u w:val="none"/>
                <w:lang w:val="en-US" w:eastAsia="zh-CN" w:bidi="ar"/>
                <w14:textFill>
                  <w14:solidFill>
                    <w14:schemeClr w14:val="tx1"/>
                  </w14:solidFill>
                </w14:textFill>
              </w:rPr>
            </w:pPr>
            <w:r>
              <w:rPr>
                <w:rFonts w:hint="eastAsia" w:cs="Times New Roman"/>
                <w:i w:val="0"/>
                <w:iCs w:val="0"/>
                <w:color w:val="000000" w:themeColor="text1"/>
                <w:spacing w:val="0"/>
                <w:kern w:val="0"/>
                <w:sz w:val="24"/>
                <w:szCs w:val="24"/>
                <w:u w:val="none"/>
                <w:lang w:val="en-US" w:eastAsia="zh-CN" w:bidi="ar"/>
                <w14:textFill>
                  <w14:solidFill>
                    <w14:schemeClr w14:val="tx1"/>
                  </w14:solidFill>
                </w14:textFill>
              </w:rPr>
              <w:t>本项目采用</w:t>
            </w:r>
            <w:r>
              <w:rPr>
                <w:rFonts w:hint="eastAsia"/>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活性炭吸脱附+催化燃烧</w:t>
            </w:r>
            <w:r>
              <w:rPr>
                <w:rFonts w:hint="eastAsia"/>
                <w:color w:val="000000" w:themeColor="text1"/>
                <w:highlight w:val="none"/>
                <w:lang w:val="en-US" w:eastAsia="zh-CN"/>
                <w14:textFill>
                  <w14:solidFill>
                    <w14:schemeClr w14:val="tx1"/>
                  </w14:solidFill>
                </w14:textFill>
              </w:rPr>
              <w:t>+活性炭吸附</w:t>
            </w: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工艺处理喷漆线废气。</w:t>
            </w:r>
            <w:r>
              <w:rPr>
                <w:rFonts w:hint="default" w:ascii="Times New Roman" w:hAnsi="Times New Roman" w:eastAsia="宋体" w:cs="Times New Roman"/>
                <w:i w:val="0"/>
                <w:iCs w:val="0"/>
                <w:color w:val="000000" w:themeColor="text1"/>
                <w:spacing w:val="0"/>
                <w:kern w:val="0"/>
                <w:sz w:val="24"/>
                <w:szCs w:val="24"/>
                <w:u w:val="none"/>
                <w:lang w:val="en-US" w:eastAsia="zh-CN" w:bidi="ar"/>
                <w14:textFill>
                  <w14:solidFill>
                    <w14:schemeClr w14:val="tx1"/>
                  </w14:solidFill>
                </w14:textFill>
              </w:rPr>
              <w:t>据《广东省生态环境厅关于印发工业源挥发性有机物和氮氧化物减排量核算方法的通知》（粤环函〔2023〕538号）中“表3.3-3 废气治理效率参考值”的说明，</w:t>
            </w:r>
            <w:r>
              <w:rPr>
                <w:rFonts w:hint="eastAsia"/>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活性炭吸脱附+催化燃烧</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治理效率为</w:t>
            </w:r>
            <w:r>
              <w:rPr>
                <w:rFonts w:hint="eastAsia"/>
                <w:color w:val="000000" w:themeColor="text1"/>
                <w:highlight w:val="none"/>
                <w14:textFill>
                  <w14:solidFill>
                    <w14:schemeClr w14:val="tx1"/>
                  </w14:solidFill>
                </w14:textFill>
              </w:rPr>
              <w:t>60</w:t>
            </w:r>
            <w:r>
              <w:rPr>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参考《广东省家具行业挥发性有机化合物废气治理技术指南》（粤环</w:t>
            </w:r>
            <w:r>
              <w:rPr>
                <w:rFonts w:hint="default" w:ascii="Times New Roman" w:hAnsi="Times New Roman" w:cs="Times New Roman"/>
                <w:color w:val="000000" w:themeColor="text1"/>
                <w:spacing w:val="-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2013</w:t>
            </w:r>
            <w:r>
              <w:rPr>
                <w:rFonts w:hint="default" w:ascii="Times New Roman" w:hAnsi="Times New Roman" w:cs="Times New Roman"/>
                <w:color w:val="000000" w:themeColor="text1"/>
                <w:spacing w:val="-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79号）中对有机废气治理设施的治理效率可得，吸附法处理效率为50～80%（本报告一级活性炭处理效率取</w:t>
            </w:r>
            <w:r>
              <w:rPr>
                <w:rFonts w:hint="eastAsia" w:cs="Times New Roman"/>
                <w:color w:val="000000" w:themeColor="text1"/>
                <w:sz w:val="24"/>
                <w:lang w:val="en-US" w:eastAsia="zh-CN"/>
                <w14:textFill>
                  <w14:solidFill>
                    <w14:schemeClr w14:val="tx1"/>
                  </w14:solidFill>
                </w14:textFill>
              </w:rPr>
              <w:t>5</w:t>
            </w:r>
            <w:r>
              <w:rPr>
                <w:rFonts w:hint="default" w:ascii="Times New Roman" w:hAnsi="Times New Roman" w:cs="Times New Roman"/>
                <w:color w:val="000000" w:themeColor="text1"/>
                <w:sz w:val="24"/>
                <w14:textFill>
                  <w14:solidFill>
                    <w14:schemeClr w14:val="tx1"/>
                  </w14:solidFill>
                </w14:textFill>
              </w:rPr>
              <w:t>0%），项目采取两级</w:t>
            </w:r>
            <w:r>
              <w:rPr>
                <w:rFonts w:hint="eastAsia" w:ascii="Times New Roman" w:hAnsi="Times New Roman" w:cs="Times New Roman"/>
                <w:color w:val="000000" w:themeColor="text1"/>
                <w:sz w:val="24"/>
                <w:lang w:val="en-US" w:eastAsia="zh-CN"/>
                <w14:textFill>
                  <w14:solidFill>
                    <w14:schemeClr w14:val="tx1"/>
                  </w14:solidFill>
                </w14:textFill>
              </w:rPr>
              <w:t>废气处理工艺</w:t>
            </w:r>
            <w:r>
              <w:rPr>
                <w:rFonts w:hint="default" w:ascii="Times New Roman" w:hAnsi="Times New Roman" w:cs="Times New Roman"/>
                <w:color w:val="000000" w:themeColor="text1"/>
                <w:sz w:val="24"/>
                <w14:textFill>
                  <w14:solidFill>
                    <w14:schemeClr w14:val="tx1"/>
                  </w14:solidFill>
                </w14:textFill>
              </w:rPr>
              <w:t>串联方式，当存在两种或两种以上治理设施联合治理时，治理效率可按公式η=1-（1-η</w:t>
            </w:r>
            <w:r>
              <w:rPr>
                <w:rFonts w:hint="default" w:ascii="Times New Roman" w:hAnsi="Times New Roman" w:cs="Times New Roman"/>
                <w:color w:val="000000" w:themeColor="text1"/>
                <w:sz w:val="24"/>
                <w:vertAlign w:val="subscript"/>
                <w14:textFill>
                  <w14:solidFill>
                    <w14:schemeClr w14:val="tx1"/>
                  </w14:solidFill>
                </w14:textFill>
              </w:rPr>
              <w:t>1</w:t>
            </w:r>
            <w:r>
              <w:rPr>
                <w:rFonts w:hint="default" w:ascii="Times New Roman" w:hAnsi="Times New Roman" w:cs="Times New Roman"/>
                <w:color w:val="000000" w:themeColor="text1"/>
                <w:sz w:val="24"/>
                <w14:textFill>
                  <w14:solidFill>
                    <w14:schemeClr w14:val="tx1"/>
                  </w14:solidFill>
                </w14:textFill>
              </w:rPr>
              <w:t>）×（1-η</w:t>
            </w:r>
            <w:r>
              <w:rPr>
                <w:rFonts w:hint="default" w:ascii="Times New Roman" w:hAnsi="Times New Roman" w:cs="Times New Roman"/>
                <w:color w:val="000000" w:themeColor="text1"/>
                <w:sz w:val="24"/>
                <w:vertAlign w:val="subscript"/>
                <w14:textFill>
                  <w14:solidFill>
                    <w14:schemeClr w14:val="tx1"/>
                  </w14:solidFill>
                </w14:textFill>
              </w:rPr>
              <w:t>2</w:t>
            </w:r>
            <w:r>
              <w:rPr>
                <w:rFonts w:hint="default" w:ascii="Times New Roman" w:hAnsi="Times New Roman" w:cs="Times New Roman"/>
                <w:color w:val="000000" w:themeColor="text1"/>
                <w:sz w:val="24"/>
                <w14:textFill>
                  <w14:solidFill>
                    <w14:schemeClr w14:val="tx1"/>
                  </w14:solidFill>
                </w14:textFill>
              </w:rPr>
              <w:t>）...（1-η</w:t>
            </w:r>
            <w:r>
              <w:rPr>
                <w:rFonts w:hint="default" w:ascii="Times New Roman" w:hAnsi="Times New Roman" w:cs="Times New Roman"/>
                <w:color w:val="000000" w:themeColor="text1"/>
                <w:sz w:val="24"/>
                <w:vertAlign w:val="subscript"/>
                <w14:textFill>
                  <w14:solidFill>
                    <w14:schemeClr w14:val="tx1"/>
                  </w14:solidFill>
                </w14:textFill>
              </w:rPr>
              <w:t>n</w:t>
            </w:r>
            <w:r>
              <w:rPr>
                <w:rFonts w:hint="default" w:ascii="Times New Roman" w:hAnsi="Times New Roman" w:cs="Times New Roman"/>
                <w:color w:val="000000" w:themeColor="text1"/>
                <w:sz w:val="24"/>
                <w14:textFill>
                  <w14:solidFill>
                    <w14:schemeClr w14:val="tx1"/>
                  </w14:solidFill>
                </w14:textFill>
              </w:rPr>
              <w:t>）进行计算，则本项目废气处理工艺对有机废气总处理效率合计为1-（1-</w:t>
            </w:r>
            <w:r>
              <w:rPr>
                <w:rFonts w:hint="eastAsia" w:cs="Times New Roman"/>
                <w:color w:val="000000" w:themeColor="text1"/>
                <w:sz w:val="24"/>
                <w:lang w:val="en-US" w:eastAsia="zh-CN"/>
                <w14:textFill>
                  <w14:solidFill>
                    <w14:schemeClr w14:val="tx1"/>
                  </w14:solidFill>
                </w14:textFill>
              </w:rPr>
              <w:t>6</w:t>
            </w:r>
            <w:r>
              <w:rPr>
                <w:rFonts w:hint="default" w:ascii="Times New Roman" w:hAnsi="Times New Roman" w:cs="Times New Roman"/>
                <w:color w:val="000000" w:themeColor="text1"/>
                <w:sz w:val="24"/>
                <w14:textFill>
                  <w14:solidFill>
                    <w14:schemeClr w14:val="tx1"/>
                  </w14:solidFill>
                </w14:textFill>
              </w:rPr>
              <w:t>0%）×（1-50%）=</w:t>
            </w:r>
            <w:r>
              <w:rPr>
                <w:rFonts w:hint="eastAsia" w:cs="Times New Roman"/>
                <w:color w:val="000000" w:themeColor="text1"/>
                <w:sz w:val="24"/>
                <w:lang w:val="en-US" w:eastAsia="zh-CN"/>
                <w14:textFill>
                  <w14:solidFill>
                    <w14:schemeClr w14:val="tx1"/>
                  </w14:solidFill>
                </w14:textFill>
              </w:rPr>
              <w:t>80</w:t>
            </w:r>
            <w:r>
              <w:rPr>
                <w:rFonts w:hint="default" w:ascii="Times New Roman" w:hAnsi="Times New Roman" w:cs="Times New Roman"/>
                <w:color w:val="000000" w:themeColor="text1"/>
                <w:sz w:val="24"/>
                <w14:textFill>
                  <w14:solidFill>
                    <w14:schemeClr w14:val="tx1"/>
                  </w14:solidFill>
                </w14:textFill>
              </w:rPr>
              <w:t>%。</w:t>
            </w:r>
          </w:p>
          <w:p w14:paraId="4594B40D">
            <w:pPr>
              <w:keepNext w:val="0"/>
              <w:keepLines w:val="0"/>
              <w:suppressLineNumbers w:val="0"/>
              <w:spacing w:before="0" w:beforeAutospacing="0" w:after="0" w:afterAutospacing="0" w:line="360" w:lineRule="auto"/>
              <w:ind w:left="0" w:right="0" w:firstLine="470" w:firstLineChars="200"/>
              <w:rPr>
                <w:rFonts w:hint="eastAsia" w:ascii="Times New Roman" w:hAnsi="Times New Roman" w:cs="Times New Roman"/>
                <w:b/>
                <w:bCs/>
                <w:color w:val="000000" w:themeColor="text1"/>
                <w:spacing w:val="-3"/>
                <w:sz w:val="24"/>
                <w:szCs w:val="24"/>
                <w:lang w:val="en-US" w:eastAsia="zh-CN"/>
                <w14:textFill>
                  <w14:solidFill>
                    <w14:schemeClr w14:val="tx1"/>
                  </w14:solidFill>
                </w14:textFill>
              </w:rPr>
            </w:pPr>
            <w:r>
              <w:rPr>
                <w:rFonts w:hint="eastAsia" w:cs="Times New Roman"/>
                <w:b/>
                <w:bCs/>
                <w:color w:val="000000" w:themeColor="text1"/>
                <w:spacing w:val="-3"/>
                <w:sz w:val="24"/>
                <w:szCs w:val="24"/>
                <w:lang w:val="en-US" w:eastAsia="zh-CN"/>
                <w14:textFill>
                  <w14:solidFill>
                    <w14:schemeClr w14:val="tx1"/>
                  </w14:solidFill>
                </w14:textFill>
              </w:rPr>
              <w:t>1</w:t>
            </w:r>
            <w:r>
              <w:rPr>
                <w:rFonts w:hint="default" w:ascii="Times New Roman" w:hAnsi="Times New Roman" w:cs="Times New Roman"/>
                <w:b/>
                <w:bCs/>
                <w:color w:val="000000" w:themeColor="text1"/>
                <w:spacing w:val="-3"/>
                <w:sz w:val="24"/>
                <w:szCs w:val="24"/>
                <w:lang w:val="en-US" w:eastAsia="zh-CN"/>
                <w14:textFill>
                  <w14:solidFill>
                    <w14:schemeClr w14:val="tx1"/>
                  </w14:solidFill>
                </w14:textFill>
              </w:rPr>
              <w:t>.</w:t>
            </w:r>
            <w:r>
              <w:rPr>
                <w:rFonts w:hint="eastAsia" w:cs="Times New Roman"/>
                <w:b/>
                <w:bCs/>
                <w:color w:val="000000" w:themeColor="text1"/>
                <w:spacing w:val="-3"/>
                <w:sz w:val="24"/>
                <w:szCs w:val="24"/>
                <w:lang w:val="en-US" w:eastAsia="zh-CN"/>
                <w14:textFill>
                  <w14:solidFill>
                    <w14:schemeClr w14:val="tx1"/>
                  </w14:solidFill>
                </w14:textFill>
              </w:rPr>
              <w:t>2</w:t>
            </w:r>
            <w:r>
              <w:rPr>
                <w:rFonts w:hint="default" w:ascii="Times New Roman" w:hAnsi="Times New Roman" w:cs="Times New Roman"/>
                <w:b/>
                <w:bCs/>
                <w:color w:val="000000" w:themeColor="text1"/>
                <w:spacing w:val="-3"/>
                <w:sz w:val="24"/>
                <w:szCs w:val="24"/>
                <w:lang w:val="en-US" w:eastAsia="zh-CN"/>
                <w14:textFill>
                  <w14:solidFill>
                    <w14:schemeClr w14:val="tx1"/>
                  </w14:solidFill>
                </w14:textFill>
              </w:rPr>
              <w:t>.</w:t>
            </w:r>
            <w:r>
              <w:rPr>
                <w:rFonts w:hint="eastAsia" w:ascii="Times New Roman" w:hAnsi="Times New Roman" w:cs="Times New Roman"/>
                <w:b/>
                <w:bCs/>
                <w:color w:val="000000" w:themeColor="text1"/>
                <w:spacing w:val="-3"/>
                <w:sz w:val="24"/>
                <w:szCs w:val="24"/>
                <w:lang w:val="en-US" w:eastAsia="zh-CN"/>
                <w14:textFill>
                  <w14:solidFill>
                    <w14:schemeClr w14:val="tx1"/>
                  </w14:solidFill>
                </w14:textFill>
              </w:rPr>
              <w:t>6 固化废气</w:t>
            </w:r>
          </w:p>
          <w:p w14:paraId="47BC6D71">
            <w:pPr>
              <w:keepNext w:val="0"/>
              <w:keepLines w:val="0"/>
              <w:suppressLineNumbers w:val="0"/>
              <w:spacing w:before="0" w:beforeAutospacing="0" w:after="0" w:afterAutospacing="0" w:line="360" w:lineRule="auto"/>
              <w:ind w:left="0" w:right="0" w:firstLine="468" w:firstLineChars="200"/>
              <w:rPr>
                <w:rFonts w:hint="default" w:ascii="Times New Roman" w:hAnsi="Times New Roman" w:cs="Times New Roman"/>
                <w:b w:val="0"/>
                <w:bCs w:val="0"/>
                <w:color w:val="000000" w:themeColor="text1"/>
                <w:spacing w:val="-3"/>
                <w:sz w:val="24"/>
                <w:szCs w:val="24"/>
                <w:lang w:val="en-US" w:eastAsia="zh-CN"/>
                <w14:textFill>
                  <w14:solidFill>
                    <w14:schemeClr w14:val="tx1"/>
                  </w14:solidFill>
                </w14:textFill>
              </w:rPr>
            </w:pPr>
            <w:r>
              <w:rPr>
                <w:rFonts w:hint="default" w:ascii="Times New Roman" w:hAnsi="Times New Roman" w:cs="Times New Roman"/>
                <w:b w:val="0"/>
                <w:bCs w:val="0"/>
                <w:color w:val="000000" w:themeColor="text1"/>
                <w:spacing w:val="-3"/>
                <w:sz w:val="24"/>
                <w:szCs w:val="24"/>
                <w:lang w:val="en-US" w:eastAsia="zh-CN"/>
                <w14:textFill>
                  <w14:solidFill>
                    <w14:schemeClr w14:val="tx1"/>
                  </w14:solidFill>
                </w14:textFill>
              </w:rPr>
              <w:t>固化废气主要包括固化炉天然气燃烧废气及固化时产生的有机废气。固化炉天然气燃烧废气及固化时产生的有机废气一同收集，经</w:t>
            </w:r>
            <w:r>
              <w:rPr>
                <w:rFonts w:hint="eastAsia" w:cs="Times New Roman"/>
                <w:b w:val="0"/>
                <w:bCs w:val="0"/>
                <w:color w:val="000000" w:themeColor="text1"/>
                <w:spacing w:val="-3"/>
                <w:sz w:val="24"/>
                <w:szCs w:val="24"/>
                <w:lang w:val="en-US" w:eastAsia="zh-CN"/>
                <w14:textFill>
                  <w14:solidFill>
                    <w14:schemeClr w14:val="tx1"/>
                  </w14:solidFill>
                </w14:textFill>
              </w:rPr>
              <w:t>喷淋+干式过滤+</w:t>
            </w:r>
            <w:r>
              <w:rPr>
                <w:rFonts w:hint="default" w:ascii="Times New Roman" w:hAnsi="Times New Roman" w:cs="Times New Roman"/>
                <w:b w:val="0"/>
                <w:bCs w:val="0"/>
                <w:color w:val="000000" w:themeColor="text1"/>
                <w:spacing w:val="-3"/>
                <w:sz w:val="24"/>
                <w:szCs w:val="24"/>
                <w:lang w:val="en-US" w:eastAsia="zh-CN"/>
                <w14:textFill>
                  <w14:solidFill>
                    <w14:schemeClr w14:val="tx1"/>
                  </w14:solidFill>
                </w14:textFill>
              </w:rPr>
              <w:t>二级活性炭吸附处理后，由一根 15m 高排气筒（</w:t>
            </w:r>
            <w:r>
              <w:rPr>
                <w:rFonts w:hint="eastAsia" w:cs="Times New Roman"/>
                <w:b w:val="0"/>
                <w:bCs w:val="0"/>
                <w:color w:val="000000" w:themeColor="text1"/>
                <w:spacing w:val="-3"/>
                <w:sz w:val="24"/>
                <w:szCs w:val="24"/>
                <w:lang w:val="en-US" w:eastAsia="zh-CN"/>
                <w14:textFill>
                  <w14:solidFill>
                    <w14:schemeClr w14:val="tx1"/>
                  </w14:solidFill>
                </w14:textFill>
              </w:rPr>
              <w:t>DA002</w:t>
            </w:r>
            <w:r>
              <w:rPr>
                <w:rFonts w:hint="default" w:ascii="Times New Roman" w:hAnsi="Times New Roman" w:cs="Times New Roman"/>
                <w:b w:val="0"/>
                <w:bCs w:val="0"/>
                <w:color w:val="000000" w:themeColor="text1"/>
                <w:spacing w:val="-3"/>
                <w:sz w:val="24"/>
                <w:szCs w:val="24"/>
                <w:lang w:val="en-US" w:eastAsia="zh-CN"/>
                <w14:textFill>
                  <w14:solidFill>
                    <w14:schemeClr w14:val="tx1"/>
                  </w14:solidFill>
                </w14:textFill>
              </w:rPr>
              <w:t>）排放，配套风机风量为</w:t>
            </w:r>
            <w:r>
              <w:rPr>
                <w:rFonts w:hint="eastAsia" w:ascii="Times New Roman" w:hAnsi="Times New Roman" w:cs="Times New Roman"/>
                <w:b w:val="0"/>
                <w:bCs w:val="0"/>
                <w:color w:val="000000" w:themeColor="text1"/>
                <w:spacing w:val="-3"/>
                <w:sz w:val="24"/>
                <w:szCs w:val="24"/>
                <w:lang w:val="en-US" w:eastAsia="zh-CN"/>
                <w14:textFill>
                  <w14:solidFill>
                    <w14:schemeClr w14:val="tx1"/>
                  </w14:solidFill>
                </w14:textFill>
              </w:rPr>
              <w:t>40</w:t>
            </w:r>
            <w:r>
              <w:rPr>
                <w:rFonts w:hint="default" w:ascii="Times New Roman" w:hAnsi="Times New Roman" w:cs="Times New Roman"/>
                <w:b w:val="0"/>
                <w:bCs w:val="0"/>
                <w:color w:val="000000" w:themeColor="text1"/>
                <w:spacing w:val="-3"/>
                <w:sz w:val="24"/>
                <w:szCs w:val="24"/>
                <w:lang w:val="en-US" w:eastAsia="zh-CN"/>
                <w14:textFill>
                  <w14:solidFill>
                    <w14:schemeClr w14:val="tx1"/>
                  </w14:solidFill>
                </w14:textFill>
              </w:rPr>
              <w:t xml:space="preserve">000m³/h，年工作时间为 </w:t>
            </w:r>
            <w:r>
              <w:rPr>
                <w:rFonts w:hint="eastAsia" w:ascii="Times New Roman" w:hAnsi="Times New Roman" w:cs="Times New Roman"/>
                <w:b w:val="0"/>
                <w:bCs w:val="0"/>
                <w:color w:val="000000" w:themeColor="text1"/>
                <w:spacing w:val="-3"/>
                <w:sz w:val="24"/>
                <w:szCs w:val="24"/>
                <w:lang w:val="en-US" w:eastAsia="zh-CN"/>
                <w14:textFill>
                  <w14:solidFill>
                    <w14:schemeClr w14:val="tx1"/>
                  </w14:solidFill>
                </w14:textFill>
              </w:rPr>
              <w:t>1928</w:t>
            </w:r>
            <w:r>
              <w:rPr>
                <w:rFonts w:hint="default" w:ascii="Times New Roman" w:hAnsi="Times New Roman" w:cs="Times New Roman"/>
                <w:b w:val="0"/>
                <w:bCs w:val="0"/>
                <w:color w:val="000000" w:themeColor="text1"/>
                <w:spacing w:val="-3"/>
                <w:sz w:val="24"/>
                <w:szCs w:val="24"/>
                <w:lang w:val="en-US" w:eastAsia="zh-CN"/>
                <w14:textFill>
                  <w14:solidFill>
                    <w14:schemeClr w14:val="tx1"/>
                  </w14:solidFill>
                </w14:textFill>
              </w:rPr>
              <w:t>h。</w:t>
            </w:r>
          </w:p>
          <w:p w14:paraId="18689A0F">
            <w:pPr>
              <w:keepNext w:val="0"/>
              <w:keepLines w:val="0"/>
              <w:suppressLineNumbers w:val="0"/>
              <w:spacing w:before="0" w:beforeAutospacing="0" w:after="0" w:afterAutospacing="0" w:line="360" w:lineRule="auto"/>
              <w:ind w:left="0" w:right="0" w:firstLine="468" w:firstLineChars="200"/>
              <w:rPr>
                <w:rFonts w:hint="default" w:ascii="Times New Roman" w:hAnsi="Times New Roman" w:cs="Times New Roman"/>
                <w:b w:val="0"/>
                <w:bCs w:val="0"/>
                <w:color w:val="000000" w:themeColor="text1"/>
                <w:spacing w:val="-3"/>
                <w:sz w:val="24"/>
                <w:szCs w:val="24"/>
                <w:lang w:val="en-US" w:eastAsia="zh-CN"/>
                <w14:textFill>
                  <w14:solidFill>
                    <w14:schemeClr w14:val="tx1"/>
                  </w14:solidFill>
                </w14:textFill>
              </w:rPr>
            </w:pPr>
            <w:r>
              <w:rPr>
                <w:rFonts w:hint="default" w:ascii="Times New Roman" w:hAnsi="Times New Roman" w:cs="Times New Roman"/>
                <w:b w:val="0"/>
                <w:bCs w:val="0"/>
                <w:color w:val="000000" w:themeColor="text1"/>
                <w:spacing w:val="-3"/>
                <w:sz w:val="24"/>
                <w:szCs w:val="24"/>
                <w:lang w:val="en-US" w:eastAsia="zh-CN"/>
                <w14:textFill>
                  <w14:solidFill>
                    <w14:schemeClr w14:val="tx1"/>
                  </w14:solidFill>
                </w14:textFill>
              </w:rPr>
              <w:t>固化炉采用天然气热风循环供热，</w:t>
            </w:r>
            <w:r>
              <w:rPr>
                <w:rFonts w:hint="eastAsia" w:ascii="Times New Roman" w:hAnsi="Times New Roman" w:cs="Times New Roman"/>
                <w:b w:val="0"/>
                <w:bCs w:val="0"/>
                <w:color w:val="000000" w:themeColor="text1"/>
                <w:spacing w:val="-3"/>
                <w:sz w:val="24"/>
                <w:szCs w:val="24"/>
                <w:lang w:val="en-US" w:eastAsia="zh-CN"/>
                <w14:textFill>
                  <w14:solidFill>
                    <w14:schemeClr w14:val="tx1"/>
                  </w14:solidFill>
                </w14:textFill>
              </w:rPr>
              <w:t>天然气燃烧废气产生排放情况见表4-1</w:t>
            </w:r>
            <w:r>
              <w:rPr>
                <w:rFonts w:hint="eastAsia" w:cs="Times New Roman"/>
                <w:b w:val="0"/>
                <w:bCs w:val="0"/>
                <w:color w:val="000000" w:themeColor="text1"/>
                <w:spacing w:val="-3"/>
                <w:sz w:val="24"/>
                <w:szCs w:val="24"/>
                <w:lang w:val="en-US" w:eastAsia="zh-CN"/>
                <w14:textFill>
                  <w14:solidFill>
                    <w14:schemeClr w14:val="tx1"/>
                  </w14:solidFill>
                </w14:textFill>
              </w:rPr>
              <w:t>0</w:t>
            </w:r>
            <w:r>
              <w:rPr>
                <w:rFonts w:hint="eastAsia" w:ascii="Times New Roman" w:hAnsi="Times New Roman" w:cs="Times New Roman"/>
                <w:b w:val="0"/>
                <w:bCs w:val="0"/>
                <w:color w:val="000000" w:themeColor="text1"/>
                <w:spacing w:val="-3"/>
                <w:sz w:val="24"/>
                <w:szCs w:val="24"/>
                <w:lang w:val="en-US" w:eastAsia="zh-CN"/>
                <w14:textFill>
                  <w14:solidFill>
                    <w14:schemeClr w14:val="tx1"/>
                  </w14:solidFill>
                </w14:textFill>
              </w:rPr>
              <w:t>。</w:t>
            </w:r>
          </w:p>
          <w:p w14:paraId="0CA19E2C">
            <w:pPr>
              <w:keepNext w:val="0"/>
              <w:keepLines w:val="0"/>
              <w:suppressLineNumbers w:val="0"/>
              <w:spacing w:before="0" w:beforeAutospacing="0" w:after="0" w:afterAutospacing="0" w:line="360" w:lineRule="auto"/>
              <w:ind w:left="0" w:right="0" w:firstLine="468" w:firstLineChars="200"/>
              <w:rPr>
                <w:rFonts w:hint="eastAsia" w:ascii="Times New Roman" w:hAnsi="Times New Roman" w:cs="Times New Roman"/>
                <w:b w:val="0"/>
                <w:bCs w:val="0"/>
                <w:color w:val="000000" w:themeColor="text1"/>
                <w:spacing w:val="-3"/>
                <w:sz w:val="24"/>
                <w:szCs w:val="24"/>
                <w:lang w:val="en-US" w:eastAsia="zh-CN"/>
                <w14:textFill>
                  <w14:solidFill>
                    <w14:schemeClr w14:val="tx1"/>
                  </w14:solidFill>
                </w14:textFill>
              </w:rPr>
            </w:pPr>
            <w:r>
              <w:rPr>
                <w:rFonts w:hint="default" w:ascii="Times New Roman" w:hAnsi="Times New Roman" w:cs="Times New Roman"/>
                <w:b w:val="0"/>
                <w:bCs w:val="0"/>
                <w:color w:val="000000" w:themeColor="text1"/>
                <w:spacing w:val="-3"/>
                <w:sz w:val="24"/>
                <w:szCs w:val="24"/>
                <w:lang w:val="en-US" w:eastAsia="zh-CN"/>
                <w14:textFill>
                  <w14:solidFill>
                    <w14:schemeClr w14:val="tx1"/>
                  </w14:solidFill>
                </w14:textFill>
              </w:rPr>
              <w:t>固化炉有机废气由</w:t>
            </w:r>
            <w:r>
              <w:rPr>
                <w:rFonts w:hint="eastAsia" w:ascii="Times New Roman" w:hAnsi="Times New Roman" w:cs="Times New Roman"/>
                <w:b w:val="0"/>
                <w:bCs w:val="0"/>
                <w:color w:val="000000" w:themeColor="text1"/>
                <w:spacing w:val="-3"/>
                <w:sz w:val="24"/>
                <w:szCs w:val="24"/>
                <w:lang w:val="en-US" w:eastAsia="zh-CN"/>
                <w14:textFill>
                  <w14:solidFill>
                    <w14:schemeClr w14:val="tx1"/>
                  </w14:solidFill>
                </w14:textFill>
              </w:rPr>
              <w:t>粉末涂料</w:t>
            </w:r>
            <w:r>
              <w:rPr>
                <w:rFonts w:hint="default" w:ascii="Times New Roman" w:hAnsi="Times New Roman" w:cs="Times New Roman"/>
                <w:b w:val="0"/>
                <w:bCs w:val="0"/>
                <w:color w:val="000000" w:themeColor="text1"/>
                <w:spacing w:val="-3"/>
                <w:sz w:val="24"/>
                <w:szCs w:val="24"/>
                <w:lang w:val="en-US" w:eastAsia="zh-CN"/>
                <w14:textFill>
                  <w14:solidFill>
                    <w14:schemeClr w14:val="tx1"/>
                  </w14:solidFill>
                </w14:textFill>
              </w:rPr>
              <w:t>喷涂后固化过程产生，主要为高温下塑粉熔融释放的有机物，以非甲烷总烃计。喷塑后的工件在烘道内通过送回风管道循环风烘干固化，固化温度为 180℃~220℃。根据《工业源产排污核算方法和系数手册 - 机械行业系数手册》，喷塑后烘干过程挥发性有机物产污系数为 1.20kg/t - 原料。项目设</w:t>
            </w:r>
            <w:r>
              <w:rPr>
                <w:rFonts w:hint="eastAsia" w:ascii="Times New Roman" w:hAnsi="Times New Roman" w:cs="Times New Roman"/>
                <w:b w:val="0"/>
                <w:bCs w:val="0"/>
                <w:color w:val="000000" w:themeColor="text1"/>
                <w:spacing w:val="-3"/>
                <w:sz w:val="24"/>
                <w:szCs w:val="24"/>
                <w:lang w:val="en-US" w:eastAsia="zh-CN"/>
                <w14:textFill>
                  <w14:solidFill>
                    <w14:schemeClr w14:val="tx1"/>
                  </w14:solidFill>
                </w14:textFill>
              </w:rPr>
              <w:t>1</w:t>
            </w:r>
            <w:r>
              <w:rPr>
                <w:rFonts w:hint="default" w:ascii="Times New Roman" w:hAnsi="Times New Roman" w:cs="Times New Roman"/>
                <w:b w:val="0"/>
                <w:bCs w:val="0"/>
                <w:color w:val="000000" w:themeColor="text1"/>
                <w:spacing w:val="-3"/>
                <w:sz w:val="24"/>
                <w:szCs w:val="24"/>
                <w:lang w:val="en-US" w:eastAsia="zh-CN"/>
                <w14:textFill>
                  <w14:solidFill>
                    <w14:schemeClr w14:val="tx1"/>
                  </w14:solidFill>
                </w14:textFill>
              </w:rPr>
              <w:t>个喷</w:t>
            </w:r>
            <w:r>
              <w:rPr>
                <w:rFonts w:hint="eastAsia" w:ascii="Times New Roman" w:hAnsi="Times New Roman" w:cs="Times New Roman"/>
                <w:b w:val="0"/>
                <w:bCs w:val="0"/>
                <w:color w:val="000000" w:themeColor="text1"/>
                <w:spacing w:val="-3"/>
                <w:sz w:val="24"/>
                <w:szCs w:val="24"/>
                <w:lang w:val="en-US" w:eastAsia="zh-CN"/>
                <w14:textFill>
                  <w14:solidFill>
                    <w14:schemeClr w14:val="tx1"/>
                  </w14:solidFill>
                </w14:textFill>
              </w:rPr>
              <w:t>粉</w:t>
            </w:r>
            <w:r>
              <w:rPr>
                <w:rFonts w:hint="default" w:ascii="Times New Roman" w:hAnsi="Times New Roman" w:cs="Times New Roman"/>
                <w:b w:val="0"/>
                <w:bCs w:val="0"/>
                <w:color w:val="000000" w:themeColor="text1"/>
                <w:spacing w:val="-3"/>
                <w:sz w:val="24"/>
                <w:szCs w:val="24"/>
                <w:lang w:val="en-US" w:eastAsia="zh-CN"/>
                <w14:textFill>
                  <w14:solidFill>
                    <w14:schemeClr w14:val="tx1"/>
                  </w14:solidFill>
                </w14:textFill>
              </w:rPr>
              <w:t>房，</w:t>
            </w:r>
            <w:r>
              <w:rPr>
                <w:rFonts w:hint="eastAsia" w:ascii="Times New Roman" w:hAnsi="Times New Roman" w:cs="Times New Roman"/>
                <w:b w:val="0"/>
                <w:bCs w:val="0"/>
                <w:color w:val="000000" w:themeColor="text1"/>
                <w:spacing w:val="-3"/>
                <w:sz w:val="24"/>
                <w:szCs w:val="24"/>
                <w:lang w:val="en-US" w:eastAsia="zh-CN"/>
                <w14:textFill>
                  <w14:solidFill>
                    <w14:schemeClr w14:val="tx1"/>
                  </w14:solidFill>
                </w14:textFill>
              </w:rPr>
              <w:t>粉末涂料</w:t>
            </w:r>
            <w:r>
              <w:rPr>
                <w:rFonts w:hint="default" w:ascii="Times New Roman" w:hAnsi="Times New Roman" w:cs="Times New Roman"/>
                <w:b w:val="0"/>
                <w:bCs w:val="0"/>
                <w:color w:val="000000" w:themeColor="text1"/>
                <w:spacing w:val="-3"/>
                <w:sz w:val="24"/>
                <w:szCs w:val="24"/>
                <w:lang w:val="en-US" w:eastAsia="zh-CN"/>
                <w14:textFill>
                  <w14:solidFill>
                    <w14:schemeClr w14:val="tx1"/>
                  </w14:solidFill>
                </w14:textFill>
              </w:rPr>
              <w:t>年总用量为</w:t>
            </w:r>
            <w:r>
              <w:rPr>
                <w:rFonts w:hint="eastAsia" w:cs="Times New Roman"/>
                <w:b w:val="0"/>
                <w:bCs w:val="0"/>
                <w:color w:val="000000" w:themeColor="text1"/>
                <w:spacing w:val="-3"/>
                <w:sz w:val="24"/>
                <w:szCs w:val="24"/>
                <w:lang w:val="en-US" w:eastAsia="zh-CN"/>
                <w14:textFill>
                  <w14:solidFill>
                    <w14:schemeClr w14:val="tx1"/>
                  </w14:solidFill>
                </w14:textFill>
              </w:rPr>
              <w:t>109.755</w:t>
            </w:r>
            <w:r>
              <w:rPr>
                <w:rFonts w:hint="default" w:ascii="Times New Roman" w:hAnsi="Times New Roman" w:cs="Times New Roman"/>
                <w:b w:val="0"/>
                <w:bCs w:val="0"/>
                <w:color w:val="000000" w:themeColor="text1"/>
                <w:spacing w:val="-3"/>
                <w:sz w:val="24"/>
                <w:szCs w:val="24"/>
                <w:lang w:val="en-US" w:eastAsia="zh-CN"/>
                <w14:textFill>
                  <w14:solidFill>
                    <w14:schemeClr w14:val="tx1"/>
                  </w14:solidFill>
                </w14:textFill>
              </w:rPr>
              <w:t>t/a</w:t>
            </w:r>
            <w:r>
              <w:rPr>
                <w:rFonts w:hint="eastAsia" w:ascii="Times New Roman" w:hAnsi="Times New Roman" w:cs="Times New Roman"/>
                <w:b w:val="0"/>
                <w:bCs w:val="0"/>
                <w:color w:val="000000" w:themeColor="text1"/>
                <w:spacing w:val="-3"/>
                <w:sz w:val="24"/>
                <w:szCs w:val="24"/>
                <w:lang w:val="en-US" w:eastAsia="zh-CN"/>
                <w14:textFill>
                  <w14:solidFill>
                    <w14:schemeClr w14:val="tx1"/>
                  </w14:solidFill>
                </w14:textFill>
              </w:rPr>
              <w:t>，则</w:t>
            </w:r>
            <w:r>
              <w:rPr>
                <w:rFonts w:hint="default" w:ascii="Times New Roman" w:hAnsi="Times New Roman" w:cs="Times New Roman"/>
                <w:b w:val="0"/>
                <w:bCs w:val="0"/>
                <w:color w:val="000000" w:themeColor="text1"/>
                <w:spacing w:val="-3"/>
                <w:sz w:val="24"/>
                <w:szCs w:val="24"/>
                <w:lang w:val="en-US" w:eastAsia="zh-CN"/>
                <w14:textFill>
                  <w14:solidFill>
                    <w14:schemeClr w14:val="tx1"/>
                  </w14:solidFill>
                </w14:textFill>
              </w:rPr>
              <w:t xml:space="preserve">非甲烷总烃产生量为 </w:t>
            </w:r>
            <w:r>
              <w:rPr>
                <w:rFonts w:hint="eastAsia" w:cs="Times New Roman"/>
                <w:b w:val="0"/>
                <w:bCs w:val="0"/>
                <w:color w:val="000000" w:themeColor="text1"/>
                <w:spacing w:val="-3"/>
                <w:sz w:val="24"/>
                <w:szCs w:val="24"/>
                <w:lang w:val="en-US" w:eastAsia="zh-CN"/>
                <w14:textFill>
                  <w14:solidFill>
                    <w14:schemeClr w14:val="tx1"/>
                  </w14:solidFill>
                </w14:textFill>
              </w:rPr>
              <w:t>0.1317</w:t>
            </w:r>
            <w:r>
              <w:rPr>
                <w:rFonts w:hint="default" w:ascii="Times New Roman" w:hAnsi="Times New Roman" w:cs="Times New Roman"/>
                <w:b w:val="0"/>
                <w:bCs w:val="0"/>
                <w:color w:val="000000" w:themeColor="text1"/>
                <w:spacing w:val="-3"/>
                <w:sz w:val="24"/>
                <w:szCs w:val="24"/>
                <w:lang w:val="en-US" w:eastAsia="zh-CN"/>
                <w14:textFill>
                  <w14:solidFill>
                    <w14:schemeClr w14:val="tx1"/>
                  </w14:solidFill>
                </w14:textFill>
              </w:rPr>
              <w:t>t/a。</w:t>
            </w:r>
            <w:r>
              <w:rPr>
                <w:rFonts w:hint="eastAsia" w:ascii="Times New Roman" w:hAnsi="Times New Roman" w:cs="Times New Roman"/>
                <w:b w:val="0"/>
                <w:bCs w:val="0"/>
                <w:color w:val="000000" w:themeColor="text1"/>
                <w:spacing w:val="-3"/>
                <w:sz w:val="24"/>
                <w:szCs w:val="24"/>
                <w:lang w:val="en-US" w:eastAsia="zh-CN"/>
                <w14:textFill>
                  <w14:solidFill>
                    <w14:schemeClr w14:val="tx1"/>
                  </w14:solidFill>
                </w14:textFill>
              </w:rPr>
              <w:t>年工作时间1928h，</w:t>
            </w:r>
            <w:r>
              <w:rPr>
                <w:rFonts w:hint="eastAsia" w:cs="Times New Roman"/>
                <w:b w:val="0"/>
                <w:bCs w:val="0"/>
                <w:color w:val="000000" w:themeColor="text1"/>
                <w:spacing w:val="-3"/>
                <w:sz w:val="24"/>
                <w:szCs w:val="24"/>
                <w:lang w:val="en-US" w:eastAsia="zh-CN"/>
                <w14:textFill>
                  <w14:solidFill>
                    <w14:schemeClr w14:val="tx1"/>
                  </w14:solidFill>
                </w14:textFill>
              </w:rPr>
              <w:t>4</w:t>
            </w:r>
            <w:r>
              <w:rPr>
                <w:rFonts w:hint="eastAsia" w:ascii="Times New Roman" w:hAnsi="Times New Roman" w:cs="Times New Roman"/>
                <w:b w:val="0"/>
                <w:bCs w:val="0"/>
                <w:color w:val="000000" w:themeColor="text1"/>
                <w:spacing w:val="-3"/>
                <w:sz w:val="24"/>
                <w:szCs w:val="24"/>
                <w:lang w:val="en-US" w:eastAsia="zh-CN"/>
                <w14:textFill>
                  <w14:solidFill>
                    <w14:schemeClr w14:val="tx1"/>
                  </w14:solidFill>
                </w14:textFill>
              </w:rPr>
              <w:t>台固化炉</w:t>
            </w:r>
            <w:r>
              <w:rPr>
                <w:rFonts w:hint="default" w:ascii="Times New Roman" w:hAnsi="Times New Roman" w:cs="Times New Roman"/>
                <w:b w:val="0"/>
                <w:bCs w:val="0"/>
                <w:color w:val="000000" w:themeColor="text1"/>
                <w:spacing w:val="-3"/>
                <w:sz w:val="24"/>
                <w:szCs w:val="24"/>
                <w:lang w:val="en-US" w:eastAsia="zh-CN"/>
                <w14:textFill>
                  <w14:solidFill>
                    <w14:schemeClr w14:val="tx1"/>
                  </w14:solidFill>
                </w14:textFill>
              </w:rPr>
              <w:t>固化有机废气经管道密闭收集后</w:t>
            </w:r>
            <w:r>
              <w:rPr>
                <w:rFonts w:hint="eastAsia" w:ascii="Times New Roman" w:hAnsi="Times New Roman" w:cs="Times New Roman"/>
                <w:b w:val="0"/>
                <w:bCs w:val="0"/>
                <w:color w:val="000000" w:themeColor="text1"/>
                <w:spacing w:val="-3"/>
                <w:sz w:val="24"/>
                <w:szCs w:val="24"/>
                <w:lang w:val="en-US" w:eastAsia="zh-CN"/>
                <w14:textFill>
                  <w14:solidFill>
                    <w14:schemeClr w14:val="tx1"/>
                  </w14:solidFill>
                </w14:textFill>
              </w:rPr>
              <w:t>一并</w:t>
            </w:r>
            <w:r>
              <w:rPr>
                <w:rFonts w:hint="default" w:ascii="Times New Roman" w:hAnsi="Times New Roman" w:cs="Times New Roman"/>
                <w:b w:val="0"/>
                <w:bCs w:val="0"/>
                <w:color w:val="000000" w:themeColor="text1"/>
                <w:spacing w:val="-3"/>
                <w:sz w:val="24"/>
                <w:szCs w:val="24"/>
                <w:lang w:val="en-US" w:eastAsia="zh-CN"/>
                <w14:textFill>
                  <w14:solidFill>
                    <w14:schemeClr w14:val="tx1"/>
                  </w14:solidFill>
                </w14:textFill>
              </w:rPr>
              <w:t>进入</w:t>
            </w:r>
            <w:r>
              <w:rPr>
                <w:rFonts w:hint="eastAsia" w:cs="Times New Roman"/>
                <w:b w:val="0"/>
                <w:bCs w:val="0"/>
                <w:color w:val="000000" w:themeColor="text1"/>
                <w:spacing w:val="-3"/>
                <w:sz w:val="24"/>
                <w:szCs w:val="24"/>
                <w:lang w:val="en-US" w:eastAsia="zh-CN"/>
                <w14:textFill>
                  <w14:solidFill>
                    <w14:schemeClr w14:val="tx1"/>
                  </w14:solidFill>
                </w14:textFill>
              </w:rPr>
              <w:t>喷淋+干式过滤+</w:t>
            </w:r>
            <w:r>
              <w:rPr>
                <w:rFonts w:hint="default" w:ascii="Times New Roman" w:hAnsi="Times New Roman" w:cs="Times New Roman"/>
                <w:b w:val="0"/>
                <w:bCs w:val="0"/>
                <w:color w:val="000000" w:themeColor="text1"/>
                <w:spacing w:val="-3"/>
                <w:sz w:val="24"/>
                <w:szCs w:val="24"/>
                <w:lang w:val="en-US" w:eastAsia="zh-CN"/>
                <w14:textFill>
                  <w14:solidFill>
                    <w14:schemeClr w14:val="tx1"/>
                  </w14:solidFill>
                </w14:textFill>
              </w:rPr>
              <w:t>二级活性炭吸附装置处理</w:t>
            </w:r>
            <w:r>
              <w:rPr>
                <w:rFonts w:hint="eastAsia" w:ascii="Times New Roman" w:hAnsi="Times New Roman" w:cs="Times New Roman"/>
                <w:b w:val="0"/>
                <w:bCs w:val="0"/>
                <w:color w:val="000000" w:themeColor="text1"/>
                <w:spacing w:val="-3"/>
                <w:sz w:val="24"/>
                <w:szCs w:val="24"/>
                <w:lang w:val="en-US" w:eastAsia="zh-CN"/>
                <w14:textFill>
                  <w14:solidFill>
                    <w14:schemeClr w14:val="tx1"/>
                  </w14:solidFill>
                </w14:textFill>
              </w:rPr>
              <w:t>。</w:t>
            </w:r>
          </w:p>
          <w:p w14:paraId="6438D799">
            <w:pPr>
              <w:pStyle w:val="158"/>
              <w:pageBreakBefore w:val="0"/>
              <w:wordWrap w:val="0"/>
              <w:topLinePunct/>
              <w:bidi w:val="0"/>
              <w:snapToGrid/>
              <w:spacing w:beforeAutospacing="0" w:afterAutospacing="0"/>
              <w:ind w:firstLine="480"/>
              <w:rPr>
                <w:color w:val="000000" w:themeColor="text1"/>
                <w:highlight w:val="none"/>
                <w14:textFill>
                  <w14:solidFill>
                    <w14:schemeClr w14:val="tx1"/>
                  </w14:solidFill>
                </w14:textFill>
              </w:rPr>
            </w:pPr>
            <w:r>
              <w:rPr>
                <w:rFonts w:hint="eastAsia" w:cs="Times New Roman"/>
                <w:b w:val="0"/>
                <w:bCs w:val="0"/>
                <w:color w:val="000000" w:themeColor="text1"/>
                <w:spacing w:val="-3"/>
                <w:sz w:val="24"/>
                <w:szCs w:val="24"/>
                <w:lang w:val="en-US" w:eastAsia="zh-CN"/>
                <w14:textFill>
                  <w14:solidFill>
                    <w14:schemeClr w14:val="tx1"/>
                  </w14:solidFill>
                </w14:textFill>
              </w:rPr>
              <w:t>项目共设2个固化通道，一个通道为漆粉共线固化使用，另一个用于喷粉线固化使用。</w:t>
            </w:r>
            <w:r>
              <w:rPr>
                <w:rFonts w:hint="eastAsia" w:ascii="Times New Roman" w:hAnsi="Times New Roman" w:cs="Times New Roman"/>
                <w:b w:val="0"/>
                <w:bCs w:val="0"/>
                <w:color w:val="000000" w:themeColor="text1"/>
                <w:spacing w:val="-3"/>
                <w:sz w:val="24"/>
                <w:szCs w:val="24"/>
                <w:lang w:val="en-US" w:eastAsia="zh-CN"/>
                <w14:textFill>
                  <w14:solidFill>
                    <w14:schemeClr w14:val="tx1"/>
                  </w14:solidFill>
                </w14:textFill>
              </w:rPr>
              <w:t>固化通道为全密封空间，设备有固定排放管直接与风管连接，通道尾端设置送风风机，</w:t>
            </w:r>
            <w:r>
              <w:rPr>
                <w:color w:val="000000" w:themeColor="text1"/>
                <w:highlight w:val="none"/>
                <w14:textFill>
                  <w14:solidFill>
                    <w14:schemeClr w14:val="tx1"/>
                  </w14:solidFill>
                </w14:textFill>
              </w:rPr>
              <w:t>根据《广东省工业源挥发性有机物减排量核算方法（2023年修订版）》（粤环函〔2023〕538 号）中“表3.3-2 废气收集集气效率参考值”的说明：</w:t>
            </w:r>
          </w:p>
          <w:p w14:paraId="20C39CF2">
            <w:pPr>
              <w:pStyle w:val="158"/>
              <w:pageBreakBefore w:val="0"/>
              <w:wordWrap w:val="0"/>
              <w:topLinePunct/>
              <w:bidi w:val="0"/>
              <w:snapToGrid/>
              <w:spacing w:beforeAutospacing="0" w:afterAutospacing="0"/>
              <w:ind w:firstLine="480"/>
              <w:rPr>
                <w:rFonts w:hint="eastAsia" w:cs="Times New Roman"/>
                <w:b w:val="0"/>
                <w:bCs w:val="0"/>
                <w:color w:val="000000" w:themeColor="text1"/>
                <w:spacing w:val="-3"/>
                <w:sz w:val="24"/>
                <w:szCs w:val="24"/>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③</w:t>
            </w:r>
            <w:r>
              <w:rPr>
                <w:color w:val="000000" w:themeColor="text1"/>
                <w:highlight w:val="none"/>
                <w14:textFill>
                  <w14:solidFill>
                    <w14:schemeClr w14:val="tx1"/>
                  </w14:solidFill>
                </w14:textFill>
              </w:rPr>
              <w:t>当废气收集类型为“全密封设备/空间”，废气收集方式为“设备废气排口直连”，收集情况为“设备有固定排放管（或口）直接与风管连接，设备整体密闭只留产品进出口，且进出口处有废气收集措施，收集系统运行时周边基本无VOCs散发。”，此时收集效率可取95%</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因此固化废气</w:t>
            </w:r>
            <w:r>
              <w:rPr>
                <w:rFonts w:hint="eastAsia" w:ascii="Times New Roman" w:hAnsi="Times New Roman" w:cs="Times New Roman"/>
                <w:b w:val="0"/>
                <w:bCs w:val="0"/>
                <w:color w:val="000000" w:themeColor="text1"/>
                <w:spacing w:val="-3"/>
                <w:sz w:val="24"/>
                <w:szCs w:val="24"/>
                <w:lang w:val="en-US" w:eastAsia="zh-CN"/>
                <w14:textFill>
                  <w14:solidFill>
                    <w14:schemeClr w14:val="tx1"/>
                  </w14:solidFill>
                </w14:textFill>
              </w:rPr>
              <w:t>集气效率取95%；</w:t>
            </w:r>
            <w:r>
              <w:rPr>
                <w:rFonts w:hint="eastAsia" w:cs="Times New Roman"/>
                <w:b w:val="0"/>
                <w:bCs w:val="0"/>
                <w:color w:val="000000" w:themeColor="text1"/>
                <w:spacing w:val="-3"/>
                <w:sz w:val="24"/>
                <w:szCs w:val="24"/>
                <w:lang w:val="en-US" w:eastAsia="zh-CN"/>
                <w14:textFill>
                  <w14:solidFill>
                    <w14:schemeClr w14:val="tx1"/>
                  </w14:solidFill>
                </w14:textFill>
              </w:rPr>
              <w:t>整体</w:t>
            </w:r>
            <w:r>
              <w:rPr>
                <w:rFonts w:hint="eastAsia" w:ascii="Times New Roman" w:hAnsi="Times New Roman" w:cs="Times New Roman"/>
                <w:b w:val="0"/>
                <w:bCs w:val="0"/>
                <w:color w:val="000000" w:themeColor="text1"/>
                <w:spacing w:val="-3"/>
                <w:sz w:val="24"/>
                <w:szCs w:val="24"/>
                <w:lang w:val="en-US" w:eastAsia="zh-CN"/>
                <w14:textFill>
                  <w14:solidFill>
                    <w14:schemeClr w14:val="tx1"/>
                  </w14:solidFill>
                </w14:textFill>
              </w:rPr>
              <w:t>风量为40000</w:t>
            </w:r>
            <w:r>
              <w:rPr>
                <w:rFonts w:hint="default" w:ascii="Times New Roman" w:hAnsi="Times New Roman" w:cs="Times New Roman"/>
                <w:b w:val="0"/>
                <w:bCs w:val="0"/>
                <w:color w:val="000000" w:themeColor="text1"/>
                <w:spacing w:val="-3"/>
                <w:sz w:val="24"/>
                <w:szCs w:val="24"/>
                <w:lang w:val="en-US" w:eastAsia="zh-CN"/>
                <w14:textFill>
                  <w14:solidFill>
                    <w14:schemeClr w14:val="tx1"/>
                  </w14:solidFill>
                </w14:textFill>
              </w:rPr>
              <w:t>m³/h</w:t>
            </w:r>
            <w:r>
              <w:rPr>
                <w:rFonts w:hint="eastAsia" w:cs="Times New Roman"/>
                <w:b w:val="0"/>
                <w:bCs w:val="0"/>
                <w:color w:val="000000" w:themeColor="text1"/>
                <w:spacing w:val="-3"/>
                <w:sz w:val="24"/>
                <w:szCs w:val="24"/>
                <w:lang w:val="en-US" w:eastAsia="zh-CN"/>
                <w14:textFill>
                  <w14:solidFill>
                    <w14:schemeClr w14:val="tx1"/>
                  </w14:solidFill>
                </w14:textFill>
              </w:rPr>
              <w:t>。</w:t>
            </w:r>
          </w:p>
          <w:p w14:paraId="116E56A7">
            <w:pPr>
              <w:pStyle w:val="158"/>
              <w:keepNext w:val="0"/>
              <w:keepLines w:val="0"/>
              <w:numPr>
                <w:ilvl w:val="0"/>
                <w:numId w:val="0"/>
              </w:numPr>
              <w:suppressLineNumbers w:val="0"/>
              <w:tabs>
                <w:tab w:val="left" w:pos="0"/>
              </w:tabs>
              <w:snapToGrid/>
              <w:spacing w:before="0" w:beforeAutospacing="0" w:after="0" w:afterAutospacing="0"/>
              <w:ind w:left="0" w:leftChars="0" w:right="0" w:rightChars="0" w:firstLine="40" w:firstLineChars="0"/>
              <w:jc w:val="center"/>
              <w:outlineLvl w:val="9"/>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kern w:val="2"/>
                <w:sz w:val="21"/>
                <w:szCs w:val="21"/>
                <w:lang w:val="en-US" w:eastAsia="zh-CN" w:bidi="ar-SA"/>
                <w14:textFill>
                  <w14:solidFill>
                    <w14:schemeClr w14:val="tx1"/>
                  </w14:solidFill>
                </w14:textFill>
              </w:rPr>
              <w:t>表4-1</w:t>
            </w:r>
            <w:r>
              <w:rPr>
                <w:rFonts w:hint="eastAsia" w:cs="Times New Roman"/>
                <w:b/>
                <w:bCs/>
                <w:color w:val="000000" w:themeColor="text1"/>
                <w:spacing w:val="0"/>
                <w:kern w:val="2"/>
                <w:sz w:val="21"/>
                <w:szCs w:val="21"/>
                <w:lang w:val="en-US" w:eastAsia="zh-CN" w:bidi="ar-SA"/>
                <w14:textFill>
                  <w14:solidFill>
                    <w14:schemeClr w14:val="tx1"/>
                  </w14:solidFill>
                </w14:textFill>
              </w:rPr>
              <w:t xml:space="preserve">7 </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有机废气集气设备设计参数</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一览表</w:t>
            </w:r>
          </w:p>
          <w:tbl>
            <w:tblPr>
              <w:tblStyle w:val="44"/>
              <w:tblW w:w="8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136"/>
              <w:gridCol w:w="632"/>
              <w:gridCol w:w="677"/>
              <w:gridCol w:w="1334"/>
              <w:gridCol w:w="984"/>
              <w:gridCol w:w="1468"/>
              <w:gridCol w:w="1420"/>
            </w:tblGrid>
            <w:tr w14:paraId="2986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58" w:hRule="atLeast"/>
              </w:trPr>
              <w:tc>
                <w:tcPr>
                  <w:tcW w:w="665" w:type="dxa"/>
                  <w:vAlign w:val="center"/>
                </w:tcPr>
                <w:p w14:paraId="2CC17473">
                  <w:pPr>
                    <w:pageBreakBefore w:val="0"/>
                    <w:wordWrap w:val="0"/>
                    <w:topLinePunct/>
                    <w:bidi w:val="0"/>
                    <w:adjustRightInd w:val="0"/>
                    <w:spacing w:beforeAutospacing="0" w:afterAutospacing="0"/>
                    <w:jc w:val="center"/>
                    <w:rPr>
                      <w:b/>
                      <w:bCs/>
                      <w:color w:val="000000" w:themeColor="text1"/>
                      <w:kern w:val="2"/>
                      <w:sz w:val="21"/>
                      <w:szCs w:val="21"/>
                      <w:highlight w:val="none"/>
                      <w14:textFill>
                        <w14:solidFill>
                          <w14:schemeClr w14:val="tx1"/>
                        </w14:solidFill>
                      </w14:textFill>
                    </w:rPr>
                  </w:pPr>
                  <w:r>
                    <w:rPr>
                      <w:b/>
                      <w:bCs/>
                      <w:color w:val="000000" w:themeColor="text1"/>
                      <w:kern w:val="2"/>
                      <w:sz w:val="21"/>
                      <w:szCs w:val="21"/>
                      <w:highlight w:val="none"/>
                      <w14:textFill>
                        <w14:solidFill>
                          <w14:schemeClr w14:val="tx1"/>
                        </w14:solidFill>
                      </w14:textFill>
                    </w:rPr>
                    <w:t>收集环节</w:t>
                  </w:r>
                </w:p>
              </w:tc>
              <w:tc>
                <w:tcPr>
                  <w:tcW w:w="1136" w:type="dxa"/>
                  <w:vAlign w:val="center"/>
                </w:tcPr>
                <w:p w14:paraId="26395E5E">
                  <w:pPr>
                    <w:pageBreakBefore w:val="0"/>
                    <w:wordWrap w:val="0"/>
                    <w:topLinePunct/>
                    <w:bidi w:val="0"/>
                    <w:adjustRightInd w:val="0"/>
                    <w:spacing w:beforeAutospacing="0" w:afterAutospacing="0"/>
                    <w:jc w:val="center"/>
                    <w:rPr>
                      <w:b/>
                      <w:bCs/>
                      <w:color w:val="000000" w:themeColor="text1"/>
                      <w:kern w:val="2"/>
                      <w:sz w:val="21"/>
                      <w:szCs w:val="21"/>
                      <w:highlight w:val="none"/>
                      <w14:textFill>
                        <w14:solidFill>
                          <w14:schemeClr w14:val="tx1"/>
                        </w14:solidFill>
                      </w14:textFill>
                    </w:rPr>
                  </w:pPr>
                  <w:r>
                    <w:rPr>
                      <w:b/>
                      <w:bCs/>
                      <w:color w:val="000000" w:themeColor="text1"/>
                      <w:kern w:val="2"/>
                      <w:sz w:val="21"/>
                      <w:szCs w:val="21"/>
                      <w:highlight w:val="none"/>
                      <w14:textFill>
                        <w14:solidFill>
                          <w14:schemeClr w14:val="tx1"/>
                        </w14:solidFill>
                      </w14:textFill>
                    </w:rPr>
                    <w:t>集气罩尺寸</w:t>
                  </w:r>
                </w:p>
              </w:tc>
              <w:tc>
                <w:tcPr>
                  <w:tcW w:w="632" w:type="dxa"/>
                  <w:vAlign w:val="center"/>
                </w:tcPr>
                <w:p w14:paraId="612CA6FC">
                  <w:pPr>
                    <w:pageBreakBefore w:val="0"/>
                    <w:wordWrap w:val="0"/>
                    <w:topLinePunct/>
                    <w:bidi w:val="0"/>
                    <w:adjustRightInd w:val="0"/>
                    <w:spacing w:beforeAutospacing="0" w:afterAutospacing="0"/>
                    <w:jc w:val="center"/>
                    <w:rPr>
                      <w:b/>
                      <w:bCs/>
                      <w:color w:val="000000" w:themeColor="text1"/>
                      <w:kern w:val="2"/>
                      <w:sz w:val="21"/>
                      <w:szCs w:val="21"/>
                      <w:highlight w:val="none"/>
                      <w14:textFill>
                        <w14:solidFill>
                          <w14:schemeClr w14:val="tx1"/>
                        </w14:solidFill>
                      </w14:textFill>
                    </w:rPr>
                  </w:pPr>
                  <w:r>
                    <w:rPr>
                      <w:b/>
                      <w:bCs/>
                      <w:color w:val="000000" w:themeColor="text1"/>
                      <w:kern w:val="2"/>
                      <w:sz w:val="21"/>
                      <w:szCs w:val="21"/>
                      <w:highlight w:val="none"/>
                      <w14:textFill>
                        <w14:solidFill>
                          <w14:schemeClr w14:val="tx1"/>
                        </w14:solidFill>
                      </w14:textFill>
                    </w:rPr>
                    <w:t>形状</w:t>
                  </w:r>
                </w:p>
              </w:tc>
              <w:tc>
                <w:tcPr>
                  <w:tcW w:w="677" w:type="dxa"/>
                  <w:vAlign w:val="center"/>
                </w:tcPr>
                <w:p w14:paraId="50E60774">
                  <w:pPr>
                    <w:pageBreakBefore w:val="0"/>
                    <w:wordWrap w:val="0"/>
                    <w:topLinePunct/>
                    <w:bidi w:val="0"/>
                    <w:adjustRightInd w:val="0"/>
                    <w:spacing w:beforeAutospacing="0" w:afterAutospacing="0"/>
                    <w:jc w:val="center"/>
                    <w:rPr>
                      <w:b/>
                      <w:bCs/>
                      <w:color w:val="000000" w:themeColor="text1"/>
                      <w:kern w:val="2"/>
                      <w:sz w:val="21"/>
                      <w:szCs w:val="21"/>
                      <w:highlight w:val="none"/>
                      <w14:textFill>
                        <w14:solidFill>
                          <w14:schemeClr w14:val="tx1"/>
                        </w14:solidFill>
                      </w14:textFill>
                    </w:rPr>
                  </w:pPr>
                  <w:r>
                    <w:rPr>
                      <w:b/>
                      <w:bCs/>
                      <w:color w:val="000000" w:themeColor="text1"/>
                      <w:kern w:val="2"/>
                      <w:sz w:val="21"/>
                      <w:szCs w:val="21"/>
                      <w:highlight w:val="none"/>
                      <w14:textFill>
                        <w14:solidFill>
                          <w14:schemeClr w14:val="tx1"/>
                        </w14:solidFill>
                      </w14:textFill>
                    </w:rPr>
                    <w:t>数量</w:t>
                  </w:r>
                </w:p>
              </w:tc>
              <w:tc>
                <w:tcPr>
                  <w:tcW w:w="1334" w:type="dxa"/>
                  <w:vAlign w:val="center"/>
                </w:tcPr>
                <w:p w14:paraId="572A5236">
                  <w:pPr>
                    <w:pageBreakBefore w:val="0"/>
                    <w:wordWrap w:val="0"/>
                    <w:topLinePunct/>
                    <w:bidi w:val="0"/>
                    <w:adjustRightInd w:val="0"/>
                    <w:spacing w:beforeAutospacing="0" w:afterAutospacing="0"/>
                    <w:jc w:val="center"/>
                    <w:rPr>
                      <w:b/>
                      <w:bCs/>
                      <w:color w:val="000000" w:themeColor="text1"/>
                      <w:kern w:val="2"/>
                      <w:sz w:val="21"/>
                      <w:szCs w:val="21"/>
                      <w:highlight w:val="none"/>
                      <w14:textFill>
                        <w14:solidFill>
                          <w14:schemeClr w14:val="tx1"/>
                        </w14:solidFill>
                      </w14:textFill>
                    </w:rPr>
                  </w:pPr>
                  <w:r>
                    <w:rPr>
                      <w:b/>
                      <w:bCs/>
                      <w:color w:val="000000" w:themeColor="text1"/>
                      <w:kern w:val="2"/>
                      <w:sz w:val="21"/>
                      <w:szCs w:val="21"/>
                      <w:highlight w:val="none"/>
                      <w14:textFill>
                        <w14:solidFill>
                          <w14:schemeClr w14:val="tx1"/>
                        </w14:solidFill>
                      </w14:textFill>
                    </w:rPr>
                    <w:t>集气罩/管与控制点的距离</w:t>
                  </w:r>
                </w:p>
              </w:tc>
              <w:tc>
                <w:tcPr>
                  <w:tcW w:w="984" w:type="dxa"/>
                  <w:vAlign w:val="center"/>
                </w:tcPr>
                <w:p w14:paraId="1B14C4EA">
                  <w:pPr>
                    <w:pageBreakBefore w:val="0"/>
                    <w:wordWrap w:val="0"/>
                    <w:topLinePunct/>
                    <w:bidi w:val="0"/>
                    <w:adjustRightInd w:val="0"/>
                    <w:spacing w:beforeAutospacing="0" w:afterAutospacing="0"/>
                    <w:jc w:val="center"/>
                    <w:rPr>
                      <w:b/>
                      <w:bCs/>
                      <w:color w:val="000000" w:themeColor="text1"/>
                      <w:kern w:val="2"/>
                      <w:sz w:val="21"/>
                      <w:szCs w:val="21"/>
                      <w:highlight w:val="none"/>
                      <w14:textFill>
                        <w14:solidFill>
                          <w14:schemeClr w14:val="tx1"/>
                        </w14:solidFill>
                      </w14:textFill>
                    </w:rPr>
                  </w:pPr>
                  <w:r>
                    <w:rPr>
                      <w:b/>
                      <w:bCs/>
                      <w:color w:val="000000" w:themeColor="text1"/>
                      <w:kern w:val="2"/>
                      <w:sz w:val="21"/>
                      <w:szCs w:val="21"/>
                      <w:highlight w:val="none"/>
                      <w14:textFill>
                        <w14:solidFill>
                          <w14:schemeClr w14:val="tx1"/>
                        </w14:solidFill>
                      </w14:textFill>
                    </w:rPr>
                    <w:t>控制点的吸入速度</w:t>
                  </w:r>
                </w:p>
              </w:tc>
              <w:tc>
                <w:tcPr>
                  <w:tcW w:w="1468" w:type="dxa"/>
                  <w:vAlign w:val="center"/>
                </w:tcPr>
                <w:p w14:paraId="46472DBE">
                  <w:pPr>
                    <w:pageBreakBefore w:val="0"/>
                    <w:wordWrap w:val="0"/>
                    <w:topLinePunct/>
                    <w:bidi w:val="0"/>
                    <w:adjustRightInd w:val="0"/>
                    <w:spacing w:beforeAutospacing="0" w:afterAutospacing="0"/>
                    <w:jc w:val="center"/>
                    <w:rPr>
                      <w:b/>
                      <w:bCs/>
                      <w:color w:val="000000" w:themeColor="text1"/>
                      <w:kern w:val="2"/>
                      <w:sz w:val="21"/>
                      <w:szCs w:val="21"/>
                      <w:highlight w:val="none"/>
                      <w14:textFill>
                        <w14:solidFill>
                          <w14:schemeClr w14:val="tx1"/>
                        </w14:solidFill>
                      </w14:textFill>
                    </w:rPr>
                  </w:pPr>
                  <w:r>
                    <w:rPr>
                      <w:b/>
                      <w:bCs/>
                      <w:color w:val="000000" w:themeColor="text1"/>
                      <w:kern w:val="2"/>
                      <w:sz w:val="21"/>
                      <w:szCs w:val="21"/>
                      <w:highlight w:val="none"/>
                      <w14:textFill>
                        <w14:solidFill>
                          <w14:schemeClr w14:val="tx1"/>
                        </w14:solidFill>
                      </w14:textFill>
                    </w:rPr>
                    <w:t>单个集气罩/管</w:t>
                  </w:r>
                  <w:r>
                    <w:rPr>
                      <w:rFonts w:hint="eastAsia"/>
                      <w:b/>
                      <w:bCs/>
                      <w:color w:val="000000" w:themeColor="text1"/>
                      <w:kern w:val="2"/>
                      <w:sz w:val="21"/>
                      <w:szCs w:val="21"/>
                      <w:highlight w:val="none"/>
                      <w:lang w:eastAsia="zh-CN"/>
                      <w14:textFill>
                        <w14:solidFill>
                          <w14:schemeClr w14:val="tx1"/>
                        </w14:solidFill>
                      </w14:textFill>
                    </w:rPr>
                    <w:t>、</w:t>
                  </w:r>
                  <w:r>
                    <w:rPr>
                      <w:rFonts w:hint="eastAsia"/>
                      <w:b/>
                      <w:bCs/>
                      <w:color w:val="000000" w:themeColor="text1"/>
                      <w:kern w:val="2"/>
                      <w:sz w:val="21"/>
                      <w:szCs w:val="21"/>
                      <w:highlight w:val="none"/>
                      <w:lang w:val="en-US" w:eastAsia="zh-CN"/>
                      <w14:textFill>
                        <w14:solidFill>
                          <w14:schemeClr w14:val="tx1"/>
                        </w14:solidFill>
                      </w14:textFill>
                    </w:rPr>
                    <w:t>风机</w:t>
                  </w:r>
                  <w:r>
                    <w:rPr>
                      <w:b/>
                      <w:bCs/>
                      <w:color w:val="000000" w:themeColor="text1"/>
                      <w:kern w:val="2"/>
                      <w:sz w:val="21"/>
                      <w:szCs w:val="21"/>
                      <w:highlight w:val="none"/>
                      <w14:textFill>
                        <w14:solidFill>
                          <w14:schemeClr w14:val="tx1"/>
                        </w14:solidFill>
                      </w14:textFill>
                    </w:rPr>
                    <w:t>风量m</w:t>
                  </w:r>
                  <w:r>
                    <w:rPr>
                      <w:b/>
                      <w:bCs/>
                      <w:color w:val="000000" w:themeColor="text1"/>
                      <w:kern w:val="2"/>
                      <w:sz w:val="21"/>
                      <w:szCs w:val="21"/>
                      <w:highlight w:val="none"/>
                      <w:vertAlign w:val="superscript"/>
                      <w14:textFill>
                        <w14:solidFill>
                          <w14:schemeClr w14:val="tx1"/>
                        </w14:solidFill>
                      </w14:textFill>
                    </w:rPr>
                    <w:t>3</w:t>
                  </w:r>
                  <w:r>
                    <w:rPr>
                      <w:b/>
                      <w:bCs/>
                      <w:color w:val="000000" w:themeColor="text1"/>
                      <w:kern w:val="2"/>
                      <w:sz w:val="21"/>
                      <w:szCs w:val="21"/>
                      <w:highlight w:val="none"/>
                      <w14:textFill>
                        <w14:solidFill>
                          <w14:schemeClr w14:val="tx1"/>
                        </w14:solidFill>
                      </w14:textFill>
                    </w:rPr>
                    <w:t>/h</w:t>
                  </w:r>
                </w:p>
              </w:tc>
              <w:tc>
                <w:tcPr>
                  <w:tcW w:w="1420" w:type="dxa"/>
                  <w:vAlign w:val="center"/>
                </w:tcPr>
                <w:p w14:paraId="461A5C83">
                  <w:pPr>
                    <w:pageBreakBefore w:val="0"/>
                    <w:wordWrap w:val="0"/>
                    <w:topLinePunct/>
                    <w:bidi w:val="0"/>
                    <w:adjustRightInd w:val="0"/>
                    <w:spacing w:beforeAutospacing="0" w:afterAutospacing="0"/>
                    <w:jc w:val="center"/>
                    <w:rPr>
                      <w:b/>
                      <w:bCs/>
                      <w:color w:val="000000" w:themeColor="text1"/>
                      <w:kern w:val="2"/>
                      <w:sz w:val="21"/>
                      <w:szCs w:val="21"/>
                      <w:highlight w:val="none"/>
                      <w14:textFill>
                        <w14:solidFill>
                          <w14:schemeClr w14:val="tx1"/>
                        </w14:solidFill>
                      </w14:textFill>
                    </w:rPr>
                  </w:pPr>
                  <w:r>
                    <w:rPr>
                      <w:rFonts w:hint="eastAsia"/>
                      <w:b/>
                      <w:bCs/>
                      <w:color w:val="000000" w:themeColor="text1"/>
                      <w:kern w:val="2"/>
                      <w:sz w:val="21"/>
                      <w:szCs w:val="21"/>
                      <w:highlight w:val="none"/>
                      <w:lang w:val="en-US" w:eastAsia="zh-CN"/>
                      <w14:textFill>
                        <w14:solidFill>
                          <w14:schemeClr w14:val="tx1"/>
                        </w14:solidFill>
                      </w14:textFill>
                    </w:rPr>
                    <w:t>总</w:t>
                  </w:r>
                  <w:r>
                    <w:rPr>
                      <w:b/>
                      <w:bCs/>
                      <w:color w:val="000000" w:themeColor="text1"/>
                      <w:kern w:val="2"/>
                      <w:sz w:val="21"/>
                      <w:szCs w:val="21"/>
                      <w:highlight w:val="none"/>
                      <w14:textFill>
                        <w14:solidFill>
                          <w14:schemeClr w14:val="tx1"/>
                        </w14:solidFill>
                      </w14:textFill>
                    </w:rPr>
                    <w:t>集气罩/管</w:t>
                  </w:r>
                  <w:r>
                    <w:rPr>
                      <w:rFonts w:hint="eastAsia"/>
                      <w:b/>
                      <w:bCs/>
                      <w:color w:val="000000" w:themeColor="text1"/>
                      <w:kern w:val="2"/>
                      <w:sz w:val="21"/>
                      <w:szCs w:val="21"/>
                      <w:highlight w:val="none"/>
                      <w:lang w:eastAsia="zh-CN"/>
                      <w14:textFill>
                        <w14:solidFill>
                          <w14:schemeClr w14:val="tx1"/>
                        </w14:solidFill>
                      </w14:textFill>
                    </w:rPr>
                    <w:t>、</w:t>
                  </w:r>
                  <w:r>
                    <w:rPr>
                      <w:rFonts w:hint="eastAsia"/>
                      <w:b/>
                      <w:bCs/>
                      <w:color w:val="000000" w:themeColor="text1"/>
                      <w:kern w:val="2"/>
                      <w:sz w:val="21"/>
                      <w:szCs w:val="21"/>
                      <w:highlight w:val="none"/>
                      <w:lang w:val="en-US" w:eastAsia="zh-CN"/>
                      <w14:textFill>
                        <w14:solidFill>
                          <w14:schemeClr w14:val="tx1"/>
                        </w14:solidFill>
                      </w14:textFill>
                    </w:rPr>
                    <w:t>风机</w:t>
                  </w:r>
                  <w:r>
                    <w:rPr>
                      <w:b/>
                      <w:bCs/>
                      <w:color w:val="000000" w:themeColor="text1"/>
                      <w:kern w:val="2"/>
                      <w:sz w:val="21"/>
                      <w:szCs w:val="21"/>
                      <w:highlight w:val="none"/>
                      <w14:textFill>
                        <w14:solidFill>
                          <w14:schemeClr w14:val="tx1"/>
                        </w14:solidFill>
                      </w14:textFill>
                    </w:rPr>
                    <w:t>风量m</w:t>
                  </w:r>
                  <w:r>
                    <w:rPr>
                      <w:b/>
                      <w:bCs/>
                      <w:color w:val="000000" w:themeColor="text1"/>
                      <w:kern w:val="2"/>
                      <w:sz w:val="21"/>
                      <w:szCs w:val="21"/>
                      <w:highlight w:val="none"/>
                      <w:vertAlign w:val="superscript"/>
                      <w14:textFill>
                        <w14:solidFill>
                          <w14:schemeClr w14:val="tx1"/>
                        </w14:solidFill>
                      </w14:textFill>
                    </w:rPr>
                    <w:t>3</w:t>
                  </w:r>
                  <w:r>
                    <w:rPr>
                      <w:b/>
                      <w:bCs/>
                      <w:color w:val="000000" w:themeColor="text1"/>
                      <w:kern w:val="2"/>
                      <w:sz w:val="21"/>
                      <w:szCs w:val="21"/>
                      <w:highlight w:val="none"/>
                      <w14:textFill>
                        <w14:solidFill>
                          <w14:schemeClr w14:val="tx1"/>
                        </w14:solidFill>
                      </w14:textFill>
                    </w:rPr>
                    <w:t>/h</w:t>
                  </w:r>
                </w:p>
              </w:tc>
            </w:tr>
            <w:tr w14:paraId="52D36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8316" w:type="dxa"/>
                  <w:gridSpan w:val="8"/>
                  <w:vAlign w:val="center"/>
                </w:tcPr>
                <w:p w14:paraId="6EF59BE5">
                  <w:pPr>
                    <w:pageBreakBefore w:val="0"/>
                    <w:wordWrap w:val="0"/>
                    <w:topLinePunct/>
                    <w:bidi w:val="0"/>
                    <w:adjustRightInd w:val="0"/>
                    <w:spacing w:beforeAutospacing="0" w:afterAutospacing="0"/>
                    <w:jc w:val="center"/>
                    <w:rPr>
                      <w:color w:val="000000" w:themeColor="text1"/>
                      <w:kern w:val="2"/>
                      <w:sz w:val="21"/>
                      <w:szCs w:val="21"/>
                      <w:highlight w:val="none"/>
                      <w14:textFill>
                        <w14:solidFill>
                          <w14:schemeClr w14:val="tx1"/>
                        </w14:solidFill>
                      </w14:textFill>
                    </w:rPr>
                  </w:pPr>
                  <w:r>
                    <w:rPr>
                      <w:b/>
                      <w:bCs/>
                      <w:color w:val="000000" w:themeColor="text1"/>
                      <w:sz w:val="21"/>
                      <w:szCs w:val="21"/>
                      <w:highlight w:val="none"/>
                      <w:lang w:val="pt-PT"/>
                      <w14:textFill>
                        <w14:solidFill>
                          <w14:schemeClr w14:val="tx1"/>
                        </w14:solidFill>
                      </w14:textFill>
                    </w:rPr>
                    <w:t>漆粉涂装线</w:t>
                  </w:r>
                </w:p>
              </w:tc>
            </w:tr>
            <w:tr w14:paraId="1F14C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665" w:type="dxa"/>
                  <w:vAlign w:val="center"/>
                </w:tcPr>
                <w:p w14:paraId="4B58EEF6">
                  <w:pPr>
                    <w:pageBreakBefore w:val="0"/>
                    <w:wordWrap w:val="0"/>
                    <w:topLinePunct/>
                    <w:bidi w:val="0"/>
                    <w:adjustRightInd w:val="0"/>
                    <w:spacing w:beforeAutospacing="0" w:afterAutospacing="0"/>
                    <w:jc w:val="center"/>
                    <w:rPr>
                      <w:rFonts w:hint="eastAsia" w:eastAsia="宋体"/>
                      <w:color w:val="000000" w:themeColor="text1"/>
                      <w:kern w:val="2"/>
                      <w:sz w:val="21"/>
                      <w:szCs w:val="21"/>
                      <w:highlight w:val="none"/>
                      <w:lang w:eastAsia="zh-CN"/>
                      <w14:textFill>
                        <w14:solidFill>
                          <w14:schemeClr w14:val="tx1"/>
                        </w14:solidFill>
                      </w14:textFill>
                    </w:rPr>
                  </w:pPr>
                  <w:r>
                    <w:rPr>
                      <w:rFonts w:hint="eastAsia"/>
                      <w:color w:val="000000" w:themeColor="text1"/>
                      <w:kern w:val="2"/>
                      <w:sz w:val="21"/>
                      <w:szCs w:val="21"/>
                      <w:highlight w:val="none"/>
                      <w:lang w:val="en-US" w:eastAsia="zh-CN"/>
                      <w14:textFill>
                        <w14:solidFill>
                          <w14:schemeClr w14:val="tx1"/>
                        </w14:solidFill>
                      </w14:textFill>
                    </w:rPr>
                    <w:t>固化炉排风机</w:t>
                  </w:r>
                </w:p>
              </w:tc>
              <w:tc>
                <w:tcPr>
                  <w:tcW w:w="1136" w:type="dxa"/>
                  <w:vAlign w:val="center"/>
                </w:tcPr>
                <w:p w14:paraId="4570CAFF">
                  <w:pPr>
                    <w:pageBreakBefore w:val="0"/>
                    <w:wordWrap w:val="0"/>
                    <w:topLinePunct/>
                    <w:bidi w:val="0"/>
                    <w:adjustRightInd w:val="0"/>
                    <w:spacing w:beforeAutospacing="0" w:afterAutospacing="0"/>
                    <w:jc w:val="center"/>
                    <w:rPr>
                      <w:rFonts w:hint="default"/>
                      <w:color w:val="000000" w:themeColor="text1"/>
                      <w:kern w:val="2"/>
                      <w:sz w:val="21"/>
                      <w:szCs w:val="21"/>
                      <w:highlight w:val="none"/>
                      <w:lang w:val="en-US"/>
                      <w14:textFill>
                        <w14:solidFill>
                          <w14:schemeClr w14:val="tx1"/>
                        </w14:solidFill>
                      </w14:textFill>
                    </w:rPr>
                  </w:pPr>
                  <w:r>
                    <w:rPr>
                      <w:rFonts w:hint="eastAsia"/>
                      <w:color w:val="000000" w:themeColor="text1"/>
                      <w:kern w:val="2"/>
                      <w:sz w:val="21"/>
                      <w:szCs w:val="21"/>
                      <w:highlight w:val="none"/>
                      <w:lang w:val="en-US" w:eastAsia="zh-CN"/>
                      <w14:textFill>
                        <w14:solidFill>
                          <w14:schemeClr w14:val="tx1"/>
                        </w14:solidFill>
                      </w14:textFill>
                    </w:rPr>
                    <w:t>直连风管+排风风机</w:t>
                  </w:r>
                </w:p>
              </w:tc>
              <w:tc>
                <w:tcPr>
                  <w:tcW w:w="632" w:type="dxa"/>
                  <w:vAlign w:val="center"/>
                </w:tcPr>
                <w:p w14:paraId="3D02FBFB">
                  <w:pPr>
                    <w:pageBreakBefore w:val="0"/>
                    <w:wordWrap w:val="0"/>
                    <w:topLinePunct/>
                    <w:bidi w:val="0"/>
                    <w:adjustRightInd w:val="0"/>
                    <w:spacing w:beforeAutospacing="0" w:afterAutospacing="0"/>
                    <w:jc w:val="center"/>
                    <w:rPr>
                      <w:rFonts w:hint="eastAsia" w:eastAsia="宋体"/>
                      <w:color w:val="000000" w:themeColor="text1"/>
                      <w:kern w:val="2"/>
                      <w:sz w:val="21"/>
                      <w:szCs w:val="21"/>
                      <w:highlight w:val="none"/>
                      <w:lang w:eastAsia="zh-CN"/>
                      <w14:textFill>
                        <w14:solidFill>
                          <w14:schemeClr w14:val="tx1"/>
                        </w14:solidFill>
                      </w14:textFill>
                    </w:rPr>
                  </w:pPr>
                  <w:r>
                    <w:rPr>
                      <w:rFonts w:hint="eastAsia"/>
                      <w:color w:val="000000" w:themeColor="text1"/>
                      <w:kern w:val="2"/>
                      <w:sz w:val="21"/>
                      <w:szCs w:val="21"/>
                      <w:highlight w:val="none"/>
                      <w:lang w:val="en-US" w:eastAsia="zh-CN"/>
                      <w14:textFill>
                        <w14:solidFill>
                          <w14:schemeClr w14:val="tx1"/>
                        </w14:solidFill>
                      </w14:textFill>
                    </w:rPr>
                    <w:t>/</w:t>
                  </w:r>
                </w:p>
              </w:tc>
              <w:tc>
                <w:tcPr>
                  <w:tcW w:w="677" w:type="dxa"/>
                  <w:vAlign w:val="center"/>
                </w:tcPr>
                <w:p w14:paraId="4D907147">
                  <w:pPr>
                    <w:pageBreakBefore w:val="0"/>
                    <w:wordWrap w:val="0"/>
                    <w:topLinePunct/>
                    <w:bidi w:val="0"/>
                    <w:adjustRightInd w:val="0"/>
                    <w:spacing w:beforeAutospacing="0" w:afterAutospacing="0"/>
                    <w:jc w:val="center"/>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lang w:val="en-US" w:eastAsia="zh-CN"/>
                      <w14:textFill>
                        <w14:solidFill>
                          <w14:schemeClr w14:val="tx1"/>
                        </w14:solidFill>
                      </w14:textFill>
                    </w:rPr>
                    <w:t>1</w:t>
                  </w:r>
                  <w:r>
                    <w:rPr>
                      <w:color w:val="000000" w:themeColor="text1"/>
                      <w:kern w:val="2"/>
                      <w:sz w:val="21"/>
                      <w:szCs w:val="21"/>
                      <w:highlight w:val="none"/>
                      <w14:textFill>
                        <w14:solidFill>
                          <w14:schemeClr w14:val="tx1"/>
                        </w14:solidFill>
                      </w14:textFill>
                    </w:rPr>
                    <w:t>个</w:t>
                  </w:r>
                </w:p>
              </w:tc>
              <w:tc>
                <w:tcPr>
                  <w:tcW w:w="1334" w:type="dxa"/>
                  <w:vAlign w:val="center"/>
                </w:tcPr>
                <w:p w14:paraId="28A7015C">
                  <w:pPr>
                    <w:pageBreakBefore w:val="0"/>
                    <w:wordWrap w:val="0"/>
                    <w:topLinePunct/>
                    <w:bidi w:val="0"/>
                    <w:adjustRightInd w:val="0"/>
                    <w:spacing w:beforeAutospacing="0" w:afterAutospacing="0"/>
                    <w:jc w:val="center"/>
                    <w:rPr>
                      <w:color w:val="000000" w:themeColor="text1"/>
                      <w:kern w:val="2"/>
                      <w:sz w:val="21"/>
                      <w:szCs w:val="21"/>
                      <w:highlight w:val="none"/>
                      <w14:textFill>
                        <w14:solidFill>
                          <w14:schemeClr w14:val="tx1"/>
                        </w14:solidFill>
                      </w14:textFill>
                    </w:rPr>
                  </w:pPr>
                  <w:r>
                    <w:rPr>
                      <w:color w:val="000000" w:themeColor="text1"/>
                      <w:kern w:val="2"/>
                      <w:sz w:val="21"/>
                      <w:szCs w:val="21"/>
                      <w:highlight w:val="none"/>
                      <w14:textFill>
                        <w14:solidFill>
                          <w14:schemeClr w14:val="tx1"/>
                        </w14:solidFill>
                      </w14:textFill>
                    </w:rPr>
                    <w:t>/</w:t>
                  </w:r>
                </w:p>
              </w:tc>
              <w:tc>
                <w:tcPr>
                  <w:tcW w:w="984" w:type="dxa"/>
                  <w:vAlign w:val="center"/>
                </w:tcPr>
                <w:p w14:paraId="58C979F0">
                  <w:pPr>
                    <w:pageBreakBefore w:val="0"/>
                    <w:wordWrap w:val="0"/>
                    <w:topLinePunct/>
                    <w:bidi w:val="0"/>
                    <w:adjustRightInd w:val="0"/>
                    <w:spacing w:beforeAutospacing="0" w:afterAutospacing="0"/>
                    <w:jc w:val="center"/>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lang w:val="en-US" w:eastAsia="zh-CN"/>
                      <w14:textFill>
                        <w14:solidFill>
                          <w14:schemeClr w14:val="tx1"/>
                        </w14:solidFill>
                      </w14:textFill>
                    </w:rPr>
                    <w:t>/</w:t>
                  </w:r>
                </w:p>
              </w:tc>
              <w:tc>
                <w:tcPr>
                  <w:tcW w:w="1468" w:type="dxa"/>
                  <w:vAlign w:val="center"/>
                </w:tcPr>
                <w:p w14:paraId="2C7BB943">
                  <w:pPr>
                    <w:pageBreakBefore w:val="0"/>
                    <w:wordWrap w:val="0"/>
                    <w:topLinePunct/>
                    <w:bidi w:val="0"/>
                    <w:adjustRightInd w:val="0"/>
                    <w:spacing w:beforeAutospacing="0" w:afterAutospacing="0"/>
                    <w:jc w:val="center"/>
                    <w:rPr>
                      <w:rFonts w:hint="default" w:eastAsia="宋体"/>
                      <w:color w:val="000000" w:themeColor="text1"/>
                      <w:kern w:val="2"/>
                      <w:sz w:val="21"/>
                      <w:szCs w:val="21"/>
                      <w:highlight w:val="none"/>
                      <w:lang w:val="en-US" w:eastAsia="zh-CN"/>
                      <w14:textFill>
                        <w14:solidFill>
                          <w14:schemeClr w14:val="tx1"/>
                        </w14:solidFill>
                      </w14:textFill>
                    </w:rPr>
                  </w:pPr>
                  <w:r>
                    <w:rPr>
                      <w:rFonts w:hint="eastAsia"/>
                      <w:color w:val="000000" w:themeColor="text1"/>
                      <w:kern w:val="2"/>
                      <w:sz w:val="21"/>
                      <w:szCs w:val="21"/>
                      <w:highlight w:val="none"/>
                      <w:lang w:val="en-US" w:eastAsia="zh-CN"/>
                      <w14:textFill>
                        <w14:solidFill>
                          <w14:schemeClr w14:val="tx1"/>
                        </w14:solidFill>
                      </w14:textFill>
                    </w:rPr>
                    <w:t>40000</w:t>
                  </w:r>
                </w:p>
              </w:tc>
              <w:tc>
                <w:tcPr>
                  <w:tcW w:w="1420" w:type="dxa"/>
                  <w:vAlign w:val="center"/>
                </w:tcPr>
                <w:p w14:paraId="0D9AF9A6">
                  <w:pPr>
                    <w:pageBreakBefore w:val="0"/>
                    <w:wordWrap w:val="0"/>
                    <w:topLinePunct/>
                    <w:bidi w:val="0"/>
                    <w:adjustRightInd w:val="0"/>
                    <w:spacing w:beforeAutospacing="0" w:afterAutospacing="0"/>
                    <w:jc w:val="center"/>
                    <w:rPr>
                      <w:rFonts w:hint="default" w:eastAsia="宋体"/>
                      <w:color w:val="000000" w:themeColor="text1"/>
                      <w:kern w:val="2"/>
                      <w:sz w:val="21"/>
                      <w:szCs w:val="21"/>
                      <w:highlight w:val="none"/>
                      <w:lang w:val="en-US" w:eastAsia="zh-CN"/>
                      <w14:textFill>
                        <w14:solidFill>
                          <w14:schemeClr w14:val="tx1"/>
                        </w14:solidFill>
                      </w14:textFill>
                    </w:rPr>
                  </w:pPr>
                  <w:r>
                    <w:rPr>
                      <w:rFonts w:hint="eastAsia"/>
                      <w:color w:val="000000" w:themeColor="text1"/>
                      <w:kern w:val="2"/>
                      <w:sz w:val="21"/>
                      <w:szCs w:val="21"/>
                      <w:highlight w:val="none"/>
                      <w:lang w:val="en-US" w:eastAsia="zh-CN"/>
                      <w14:textFill>
                        <w14:solidFill>
                          <w14:schemeClr w14:val="tx1"/>
                        </w14:solidFill>
                      </w14:textFill>
                    </w:rPr>
                    <w:t>40000</w:t>
                  </w:r>
                </w:p>
              </w:tc>
            </w:tr>
            <w:tr w14:paraId="54C3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896" w:type="dxa"/>
                  <w:gridSpan w:val="7"/>
                  <w:vAlign w:val="center"/>
                </w:tcPr>
                <w:p w14:paraId="4CE2CD2F">
                  <w:pPr>
                    <w:pageBreakBefore w:val="0"/>
                    <w:wordWrap w:val="0"/>
                    <w:topLinePunct/>
                    <w:bidi w:val="0"/>
                    <w:adjustRightInd w:val="0"/>
                    <w:spacing w:beforeAutospacing="0" w:afterAutospacing="0"/>
                    <w:jc w:val="center"/>
                    <w:rPr>
                      <w:color w:val="000000" w:themeColor="text1"/>
                      <w:kern w:val="2"/>
                      <w:sz w:val="21"/>
                      <w:szCs w:val="21"/>
                      <w:highlight w:val="none"/>
                      <w14:textFill>
                        <w14:solidFill>
                          <w14:schemeClr w14:val="tx1"/>
                        </w14:solidFill>
                      </w14:textFill>
                    </w:rPr>
                  </w:pPr>
                  <w:r>
                    <w:rPr>
                      <w:color w:val="000000" w:themeColor="text1"/>
                      <w:kern w:val="2"/>
                      <w:sz w:val="21"/>
                      <w:szCs w:val="21"/>
                      <w:highlight w:val="none"/>
                      <w14:textFill>
                        <w14:solidFill>
                          <w14:schemeClr w14:val="tx1"/>
                        </w14:solidFill>
                      </w14:textFill>
                    </w:rPr>
                    <w:t>合计</w:t>
                  </w:r>
                </w:p>
              </w:tc>
              <w:tc>
                <w:tcPr>
                  <w:tcW w:w="1420" w:type="dxa"/>
                  <w:vAlign w:val="center"/>
                </w:tcPr>
                <w:p w14:paraId="1D852521">
                  <w:pPr>
                    <w:pageBreakBefore w:val="0"/>
                    <w:wordWrap w:val="0"/>
                    <w:topLinePunct/>
                    <w:bidi w:val="0"/>
                    <w:adjustRightInd w:val="0"/>
                    <w:spacing w:beforeAutospacing="0" w:afterAutospacing="0"/>
                    <w:jc w:val="center"/>
                    <w:rPr>
                      <w:rFonts w:hint="default" w:eastAsia="宋体"/>
                      <w:color w:val="000000" w:themeColor="text1"/>
                      <w:kern w:val="2"/>
                      <w:sz w:val="21"/>
                      <w:szCs w:val="21"/>
                      <w:highlight w:val="none"/>
                      <w:lang w:val="en-US" w:eastAsia="zh-CN"/>
                      <w14:textFill>
                        <w14:solidFill>
                          <w14:schemeClr w14:val="tx1"/>
                        </w14:solidFill>
                      </w14:textFill>
                    </w:rPr>
                  </w:pPr>
                  <w:r>
                    <w:rPr>
                      <w:rFonts w:hint="eastAsia"/>
                      <w:color w:val="000000" w:themeColor="text1"/>
                      <w:kern w:val="2"/>
                      <w:sz w:val="21"/>
                      <w:szCs w:val="21"/>
                      <w:highlight w:val="none"/>
                      <w:lang w:val="en-US" w:eastAsia="zh-CN"/>
                      <w14:textFill>
                        <w14:solidFill>
                          <w14:schemeClr w14:val="tx1"/>
                        </w14:solidFill>
                      </w14:textFill>
                    </w:rPr>
                    <w:t>40000</w:t>
                  </w:r>
                </w:p>
              </w:tc>
            </w:tr>
          </w:tbl>
          <w:p w14:paraId="52F12E62">
            <w:pPr>
              <w:pStyle w:val="158"/>
              <w:pageBreakBefore w:val="0"/>
              <w:wordWrap w:val="0"/>
              <w:topLinePunct/>
              <w:bidi w:val="0"/>
              <w:snapToGrid/>
              <w:spacing w:beforeAutospacing="0" w:afterAutospacing="0"/>
              <w:ind w:firstLine="480"/>
              <w:rPr>
                <w:rFonts w:hint="default" w:ascii="Times New Roman" w:hAnsi="Times New Roman" w:cs="Times New Roman"/>
                <w:b w:val="0"/>
                <w:bCs w:val="0"/>
                <w:color w:val="000000" w:themeColor="text1"/>
                <w:spacing w:val="-3"/>
                <w:sz w:val="24"/>
                <w:szCs w:val="24"/>
                <w:lang w:val="en-US" w:eastAsia="zh-CN"/>
                <w14:textFill>
                  <w14:solidFill>
                    <w14:schemeClr w14:val="tx1"/>
                  </w14:solidFill>
                </w14:textFill>
              </w:rPr>
            </w:pPr>
            <w:r>
              <w:rPr>
                <w:rFonts w:hint="eastAsia"/>
                <w:color w:val="000000" w:themeColor="text1"/>
                <w:highlight w:val="none"/>
                <w14:textFill>
                  <w14:solidFill>
                    <w14:schemeClr w14:val="tx1"/>
                  </w14:solidFill>
                </w14:textFill>
              </w:rPr>
              <w:t>固化工序产生的有机废气治理效率</w:t>
            </w:r>
            <w:r>
              <w:rPr>
                <w:rFonts w:hint="default" w:ascii="Times New Roman" w:hAnsi="Times New Roman" w:cs="Times New Roman"/>
                <w:color w:val="000000" w:themeColor="text1"/>
                <w:sz w:val="24"/>
                <w14:textFill>
                  <w14:solidFill>
                    <w14:schemeClr w14:val="tx1"/>
                  </w14:solidFill>
                </w14:textFill>
              </w:rPr>
              <w:t>参考《广东省家具行业挥发性有机化合物废气治理技术指南》（粤环</w:t>
            </w:r>
            <w:r>
              <w:rPr>
                <w:rFonts w:hint="default" w:ascii="Times New Roman" w:hAnsi="Times New Roman" w:cs="Times New Roman"/>
                <w:color w:val="000000" w:themeColor="text1"/>
                <w:spacing w:val="-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2013</w:t>
            </w:r>
            <w:r>
              <w:rPr>
                <w:rFonts w:hint="default" w:ascii="Times New Roman" w:hAnsi="Times New Roman" w:cs="Times New Roman"/>
                <w:color w:val="000000" w:themeColor="text1"/>
                <w:spacing w:val="-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79号）中对有机废气治理设施的治理效率可得，吸附法处理效率为50～80%（本报告一级活性炭处理效率取</w:t>
            </w:r>
            <w:r>
              <w:rPr>
                <w:rFonts w:hint="eastAsia" w:cs="Times New Roman"/>
                <w:color w:val="000000" w:themeColor="text1"/>
                <w:sz w:val="24"/>
                <w:lang w:val="en-US" w:eastAsia="zh-CN"/>
                <w14:textFill>
                  <w14:solidFill>
                    <w14:schemeClr w14:val="tx1"/>
                  </w14:solidFill>
                </w14:textFill>
              </w:rPr>
              <w:t>6</w:t>
            </w:r>
            <w:r>
              <w:rPr>
                <w:rFonts w:hint="default" w:ascii="Times New Roman" w:hAnsi="Times New Roman" w:cs="Times New Roman"/>
                <w:color w:val="000000" w:themeColor="text1"/>
                <w:sz w:val="24"/>
                <w14:textFill>
                  <w14:solidFill>
                    <w14:schemeClr w14:val="tx1"/>
                  </w14:solidFill>
                </w14:textFill>
              </w:rPr>
              <w:t>0%，二级活性炭处理效率取50%），项目采取两级活性炭串联方式，当存在两种或两种以上治理设施联合治理时，治理效率可按公式η=1-（1-η</w:t>
            </w:r>
            <w:r>
              <w:rPr>
                <w:rFonts w:hint="default" w:ascii="Times New Roman" w:hAnsi="Times New Roman" w:cs="Times New Roman"/>
                <w:color w:val="000000" w:themeColor="text1"/>
                <w:sz w:val="24"/>
                <w:vertAlign w:val="subscript"/>
                <w14:textFill>
                  <w14:solidFill>
                    <w14:schemeClr w14:val="tx1"/>
                  </w14:solidFill>
                </w14:textFill>
              </w:rPr>
              <w:t>1</w:t>
            </w:r>
            <w:r>
              <w:rPr>
                <w:rFonts w:hint="default" w:ascii="Times New Roman" w:hAnsi="Times New Roman" w:cs="Times New Roman"/>
                <w:color w:val="000000" w:themeColor="text1"/>
                <w:sz w:val="24"/>
                <w14:textFill>
                  <w14:solidFill>
                    <w14:schemeClr w14:val="tx1"/>
                  </w14:solidFill>
                </w14:textFill>
              </w:rPr>
              <w:t>）×（1-η</w:t>
            </w:r>
            <w:r>
              <w:rPr>
                <w:rFonts w:hint="default" w:ascii="Times New Roman" w:hAnsi="Times New Roman" w:cs="Times New Roman"/>
                <w:color w:val="000000" w:themeColor="text1"/>
                <w:sz w:val="24"/>
                <w:vertAlign w:val="subscript"/>
                <w14:textFill>
                  <w14:solidFill>
                    <w14:schemeClr w14:val="tx1"/>
                  </w14:solidFill>
                </w14:textFill>
              </w:rPr>
              <w:t>2</w:t>
            </w:r>
            <w:r>
              <w:rPr>
                <w:rFonts w:hint="default" w:ascii="Times New Roman" w:hAnsi="Times New Roman" w:cs="Times New Roman"/>
                <w:color w:val="000000" w:themeColor="text1"/>
                <w:sz w:val="24"/>
                <w14:textFill>
                  <w14:solidFill>
                    <w14:schemeClr w14:val="tx1"/>
                  </w14:solidFill>
                </w14:textFill>
              </w:rPr>
              <w:t>）...（1-η</w:t>
            </w:r>
            <w:r>
              <w:rPr>
                <w:rFonts w:hint="default" w:ascii="Times New Roman" w:hAnsi="Times New Roman" w:cs="Times New Roman"/>
                <w:color w:val="000000" w:themeColor="text1"/>
                <w:sz w:val="24"/>
                <w:vertAlign w:val="subscript"/>
                <w14:textFill>
                  <w14:solidFill>
                    <w14:schemeClr w14:val="tx1"/>
                  </w14:solidFill>
                </w14:textFill>
              </w:rPr>
              <w:t>n</w:t>
            </w:r>
            <w:r>
              <w:rPr>
                <w:rFonts w:hint="default" w:ascii="Times New Roman" w:hAnsi="Times New Roman" w:cs="Times New Roman"/>
                <w:color w:val="000000" w:themeColor="text1"/>
                <w:sz w:val="24"/>
                <w14:textFill>
                  <w14:solidFill>
                    <w14:schemeClr w14:val="tx1"/>
                  </w14:solidFill>
                </w14:textFill>
              </w:rPr>
              <w:t>）进行计算，则本项目废气处理工艺对有机废气总处理效率合计为1-（1-</w:t>
            </w:r>
            <w:r>
              <w:rPr>
                <w:rFonts w:hint="eastAsia" w:cs="Times New Roman"/>
                <w:color w:val="000000" w:themeColor="text1"/>
                <w:sz w:val="24"/>
                <w:lang w:val="en-US" w:eastAsia="zh-CN"/>
                <w14:textFill>
                  <w14:solidFill>
                    <w14:schemeClr w14:val="tx1"/>
                  </w14:solidFill>
                </w14:textFill>
              </w:rPr>
              <w:t>6</w:t>
            </w:r>
            <w:r>
              <w:rPr>
                <w:rFonts w:hint="default" w:ascii="Times New Roman" w:hAnsi="Times New Roman" w:cs="Times New Roman"/>
                <w:color w:val="000000" w:themeColor="text1"/>
                <w:sz w:val="24"/>
                <w14:textFill>
                  <w14:solidFill>
                    <w14:schemeClr w14:val="tx1"/>
                  </w14:solidFill>
                </w14:textFill>
              </w:rPr>
              <w:t>0%）×（1-50%）=</w:t>
            </w:r>
            <w:r>
              <w:rPr>
                <w:rFonts w:hint="eastAsia" w:cs="Times New Roman"/>
                <w:color w:val="000000" w:themeColor="text1"/>
                <w:sz w:val="24"/>
                <w:lang w:val="en-US" w:eastAsia="zh-CN"/>
                <w14:textFill>
                  <w14:solidFill>
                    <w14:schemeClr w14:val="tx1"/>
                  </w14:solidFill>
                </w14:textFill>
              </w:rPr>
              <w:t>80</w:t>
            </w:r>
            <w:r>
              <w:rPr>
                <w:rFonts w:hint="default" w:ascii="Times New Roman" w:hAnsi="Times New Roman" w:cs="Times New Roman"/>
                <w:color w:val="000000" w:themeColor="text1"/>
                <w:sz w:val="24"/>
                <w14:textFill>
                  <w14:solidFill>
                    <w14:schemeClr w14:val="tx1"/>
                  </w14:solidFill>
                </w14:textFill>
              </w:rPr>
              <w:t>%。</w:t>
            </w:r>
          </w:p>
          <w:p w14:paraId="589F1D12">
            <w:pPr>
              <w:widowControl w:val="0"/>
              <w:wordWrap w:val="0"/>
              <w:topLinePunct/>
              <w:adjustRightInd w:val="0"/>
              <w:snapToGrid/>
              <w:spacing w:line="360" w:lineRule="auto"/>
              <w:ind w:firstLine="482" w:firstLineChars="200"/>
              <w:jc w:val="both"/>
              <w:rPr>
                <w:rFonts w:ascii="Times New Roman" w:hAnsi="Times New Roman" w:eastAsia="宋体" w:cs="Times New Roman"/>
                <w:b/>
                <w:bCs/>
                <w:color w:val="000000" w:themeColor="text1"/>
                <w:spacing w:val="0"/>
                <w:kern w:val="2"/>
                <w:sz w:val="24"/>
                <w:szCs w:val="24"/>
                <w:highlight w:val="none"/>
                <w:lang w:val="en-US" w:eastAsia="zh-CN" w:bidi="ar-SA"/>
                <w14:textFill>
                  <w14:solidFill>
                    <w14:schemeClr w14:val="tx1"/>
                  </w14:solidFill>
                </w14:textFill>
              </w:rPr>
            </w:pPr>
            <w:bookmarkStart w:id="25" w:name="_Toc14680"/>
            <w:r>
              <w:rPr>
                <w:rFonts w:hint="eastAsia" w:cs="Times New Roman"/>
                <w:b/>
                <w:bCs/>
                <w:color w:val="000000" w:themeColor="text1"/>
                <w:spacing w:val="0"/>
                <w:kern w:val="2"/>
                <w:sz w:val="24"/>
                <w:szCs w:val="24"/>
                <w:highlight w:val="none"/>
                <w:lang w:val="en-US" w:eastAsia="zh-CN" w:bidi="ar-SA"/>
                <w14:textFill>
                  <w14:solidFill>
                    <w14:schemeClr w14:val="tx1"/>
                  </w14:solidFill>
                </w14:textFill>
              </w:rPr>
              <w:t>1</w:t>
            </w:r>
            <w:r>
              <w:rPr>
                <w:rFonts w:hint="eastAsia" w:ascii="Times New Roman" w:hAnsi="Times New Roman" w:eastAsia="宋体" w:cs="Times New Roman"/>
                <w:b/>
                <w:bCs/>
                <w:color w:val="000000" w:themeColor="text1"/>
                <w:spacing w:val="0"/>
                <w:kern w:val="2"/>
                <w:sz w:val="24"/>
                <w:szCs w:val="24"/>
                <w:highlight w:val="none"/>
                <w:lang w:val="en-US" w:eastAsia="zh-CN" w:bidi="ar-SA"/>
                <w14:textFill>
                  <w14:solidFill>
                    <w14:schemeClr w14:val="tx1"/>
                  </w14:solidFill>
                </w14:textFill>
              </w:rPr>
              <w:t>.</w:t>
            </w:r>
            <w:r>
              <w:rPr>
                <w:rFonts w:hint="eastAsia" w:cs="Times New Roman"/>
                <w:b/>
                <w:bCs/>
                <w:color w:val="000000" w:themeColor="text1"/>
                <w:spacing w:val="0"/>
                <w:kern w:val="2"/>
                <w:sz w:val="24"/>
                <w:szCs w:val="24"/>
                <w:highlight w:val="none"/>
                <w:lang w:val="en-US" w:eastAsia="zh-CN" w:bidi="ar-SA"/>
                <w14:textFill>
                  <w14:solidFill>
                    <w14:schemeClr w14:val="tx1"/>
                  </w14:solidFill>
                </w14:textFill>
              </w:rPr>
              <w:t>2</w:t>
            </w:r>
            <w:r>
              <w:rPr>
                <w:rFonts w:hint="eastAsia" w:ascii="Times New Roman" w:hAnsi="Times New Roman" w:eastAsia="宋体" w:cs="Times New Roman"/>
                <w:b/>
                <w:bCs/>
                <w:color w:val="000000" w:themeColor="text1"/>
                <w:spacing w:val="0"/>
                <w:kern w:val="2"/>
                <w:sz w:val="24"/>
                <w:szCs w:val="24"/>
                <w:highlight w:val="none"/>
                <w:lang w:val="en-US" w:eastAsia="zh-CN" w:bidi="ar-SA"/>
                <w14:textFill>
                  <w14:solidFill>
                    <w14:schemeClr w14:val="tx1"/>
                  </w14:solidFill>
                </w14:textFill>
              </w:rPr>
              <w:t>.7</w:t>
            </w:r>
            <w:r>
              <w:rPr>
                <w:rFonts w:ascii="Times New Roman" w:hAnsi="Times New Roman" w:eastAsia="宋体" w:cs="Times New Roman"/>
                <w:b/>
                <w:bCs/>
                <w:color w:val="000000" w:themeColor="text1"/>
                <w:spacing w:val="0"/>
                <w:kern w:val="2"/>
                <w:sz w:val="24"/>
                <w:szCs w:val="24"/>
                <w:highlight w:val="none"/>
                <w:lang w:val="en-US" w:eastAsia="zh-CN" w:bidi="ar-SA"/>
                <w14:textFill>
                  <w14:solidFill>
                    <w14:schemeClr w14:val="tx1"/>
                  </w14:solidFill>
                </w14:textFill>
              </w:rPr>
              <w:t>喷枪清洗有机废气</w:t>
            </w:r>
            <w:bookmarkEnd w:id="25"/>
          </w:p>
          <w:p w14:paraId="754D3DAE">
            <w:pPr>
              <w:pStyle w:val="158"/>
              <w:pageBreakBefore w:val="0"/>
              <w:wordWrap w:val="0"/>
              <w:topLinePunct/>
              <w:bidi w:val="0"/>
              <w:snapToGrid/>
              <w:spacing w:beforeAutospacing="0" w:afterAutospacing="0"/>
              <w:ind w:firstLine="480"/>
              <w:rPr>
                <w:color w:val="000000" w:themeColor="text1"/>
                <w:highlight w:val="none"/>
                <w14:textFill>
                  <w14:solidFill>
                    <w14:schemeClr w14:val="tx1"/>
                  </w14:solidFill>
                </w14:textFill>
              </w:rPr>
            </w:pPr>
            <w:r>
              <w:rPr>
                <w:rFonts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t>本项目喷枪需要定期清洗，在流平室进行，拆卸喷枪后放入</w:t>
            </w:r>
            <w:r>
              <w:rPr>
                <w:rFonts w:hint="eastAsia" w:cs="Times New Roman"/>
                <w:color w:val="000000" w:themeColor="text1"/>
                <w:spacing w:val="0"/>
                <w:kern w:val="2"/>
                <w:sz w:val="24"/>
                <w:szCs w:val="24"/>
                <w:highlight w:val="none"/>
                <w:lang w:val="en-US" w:eastAsia="zh-CN" w:bidi="ar-SA"/>
                <w14:textFill>
                  <w14:solidFill>
                    <w14:schemeClr w14:val="tx1"/>
                  </w14:solidFill>
                </w14:textFill>
              </w:rPr>
              <w:t>清洗剂</w:t>
            </w:r>
            <w:r>
              <w:rPr>
                <w:rFonts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t>原料桶内，加盖浸泡一段时间后取出，完成清洗。该过程会无组织排放少量有机废气，由于产生量较小，因此喷枪清洗有机废气仅考虑定性分析，使用后的</w:t>
            </w:r>
            <w:r>
              <w:rPr>
                <w:rFonts w:hint="eastAsia" w:cs="Times New Roman"/>
                <w:color w:val="000000" w:themeColor="text1"/>
                <w:spacing w:val="0"/>
                <w:kern w:val="2"/>
                <w:sz w:val="24"/>
                <w:szCs w:val="24"/>
                <w:highlight w:val="none"/>
                <w:lang w:val="en-US" w:eastAsia="zh-CN" w:bidi="ar-SA"/>
                <w14:textFill>
                  <w14:solidFill>
                    <w14:schemeClr w14:val="tx1"/>
                  </w14:solidFill>
                </w14:textFill>
              </w:rPr>
              <w:t>清洗</w:t>
            </w:r>
            <w:r>
              <w:rPr>
                <w:rFonts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t>剂及原料桶作为危废处理。</w:t>
            </w:r>
          </w:p>
          <w:p w14:paraId="4C70C59B">
            <w:pPr>
              <w:pStyle w:val="158"/>
              <w:pageBreakBefore w:val="0"/>
              <w:wordWrap w:val="0"/>
              <w:topLinePunct/>
              <w:bidi w:val="0"/>
              <w:snapToGrid/>
              <w:spacing w:beforeAutospacing="0" w:afterAutospacing="0"/>
              <w:ind w:firstLine="480"/>
              <w:rPr>
                <w:rFonts w:hint="default" w:eastAsia="宋体"/>
                <w:color w:val="000000" w:themeColor="text1"/>
                <w:highlight w:val="none"/>
                <w:lang w:val="en-US" w:eastAsia="zh-CN"/>
                <w14:textFill>
                  <w14:solidFill>
                    <w14:schemeClr w14:val="tx1"/>
                  </w14:solidFill>
                </w14:textFill>
              </w:rPr>
            </w:pPr>
            <w:r>
              <w:rPr>
                <w:color w:val="000000" w:themeColor="text1"/>
                <w14:textFill>
                  <w14:solidFill>
                    <w14:schemeClr w14:val="tx1"/>
                  </w14:solidFill>
                </w14:textFill>
              </w:rPr>
              <w:t>综上，</w:t>
            </w:r>
            <w:r>
              <w:rPr>
                <w:rFonts w:hint="eastAsia"/>
                <w:color w:val="000000" w:themeColor="text1"/>
                <w:lang w:val="en-US" w:eastAsia="zh-CN"/>
                <w14:textFill>
                  <w14:solidFill>
                    <w14:schemeClr w14:val="tx1"/>
                  </w14:solidFill>
                </w14:textFill>
              </w:rPr>
              <w:t>项目喷粉废气经过</w:t>
            </w:r>
            <w:r>
              <w:rPr>
                <w:color w:val="000000" w:themeColor="text1"/>
                <w14:textFill>
                  <w14:solidFill>
                    <w14:schemeClr w14:val="tx1"/>
                  </w14:solidFill>
                </w14:textFill>
              </w:rPr>
              <w:t>“大旋风+滤芯式二级回收系统”</w:t>
            </w:r>
            <w:r>
              <w:rPr>
                <w:rFonts w:hint="eastAsia"/>
                <w:color w:val="000000" w:themeColor="text1"/>
                <w:lang w:val="en-US" w:eastAsia="zh-CN"/>
                <w14:textFill>
                  <w14:solidFill>
                    <w14:schemeClr w14:val="tx1"/>
                  </w14:solidFill>
                </w14:textFill>
              </w:rPr>
              <w:t>处理后无组织排放，</w:t>
            </w:r>
            <w:r>
              <w:rPr>
                <w:color w:val="000000" w:themeColor="text1"/>
                <w14:textFill>
                  <w14:solidFill>
                    <w14:schemeClr w14:val="tx1"/>
                  </w14:solidFill>
                </w14:textFill>
              </w:rPr>
              <w:t>喷漆工序产生的漆雾</w:t>
            </w:r>
            <w:r>
              <w:rPr>
                <w:rFonts w:hint="eastAsia"/>
                <w:color w:val="000000" w:themeColor="text1"/>
                <w:lang w:eastAsia="zh-CN"/>
                <w14:textFill>
                  <w14:solidFill>
                    <w14:schemeClr w14:val="tx1"/>
                  </w14:solidFill>
                </w14:textFill>
              </w:rPr>
              <w:t>经水帘</w:t>
            </w:r>
            <w:r>
              <w:rPr>
                <w:rFonts w:hint="eastAsia"/>
                <w:color w:val="000000" w:themeColor="text1"/>
                <w:lang w:val="en-US" w:eastAsia="zh-CN"/>
                <w14:textFill>
                  <w14:solidFill>
                    <w14:schemeClr w14:val="tx1"/>
                  </w14:solidFill>
                </w14:textFill>
              </w:rPr>
              <w:t>柜</w:t>
            </w:r>
            <w:r>
              <w:rPr>
                <w:rFonts w:hint="eastAsia"/>
                <w:color w:val="000000" w:themeColor="text1"/>
                <w:lang w:eastAsia="zh-CN"/>
                <w14:textFill>
                  <w14:solidFill>
                    <w14:schemeClr w14:val="tx1"/>
                  </w14:solidFill>
                </w14:textFill>
              </w:rPr>
              <w:t>预处理后</w:t>
            </w:r>
            <w:r>
              <w:rPr>
                <w:color w:val="000000" w:themeColor="text1"/>
                <w14:textFill>
                  <w14:solidFill>
                    <w14:schemeClr w14:val="tx1"/>
                  </w14:solidFill>
                </w14:textFill>
              </w:rPr>
              <w:t>进入“</w:t>
            </w:r>
            <w:r>
              <w:rPr>
                <w:rFonts w:hint="eastAsia"/>
                <w:color w:val="000000" w:themeColor="text1"/>
                <w:lang w:eastAsia="zh-CN"/>
                <w14:textFill>
                  <w14:solidFill>
                    <w14:schemeClr w14:val="tx1"/>
                  </w14:solidFill>
                </w14:textFill>
              </w:rPr>
              <w:t>喷淋塔+干式过滤器+活性炭吸脱附催化燃烧</w:t>
            </w:r>
            <w:r>
              <w:rPr>
                <w:rFonts w:hint="eastAsia"/>
                <w:color w:val="000000" w:themeColor="text1"/>
                <w:lang w:val="en-US" w:eastAsia="zh-CN"/>
                <w14:textFill>
                  <w14:solidFill>
                    <w14:schemeClr w14:val="tx1"/>
                  </w14:solidFill>
                </w14:textFill>
              </w:rPr>
              <w:t>+活性炭吸附</w:t>
            </w:r>
            <w:r>
              <w:rPr>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装置</w:t>
            </w:r>
            <w:r>
              <w:rPr>
                <w:color w:val="000000" w:themeColor="text1"/>
                <w:highlight w:val="none"/>
                <w14:textFill>
                  <w14:solidFill>
                    <w14:schemeClr w14:val="tx1"/>
                  </w14:solidFill>
                </w14:textFill>
              </w:rPr>
              <w:t>处理</w:t>
            </w:r>
            <w:r>
              <w:rPr>
                <w:rFonts w:hint="eastAsia"/>
                <w:color w:val="000000" w:themeColor="text1"/>
                <w:highlight w:val="none"/>
                <w:lang w:eastAsia="zh-CN"/>
                <w14:textFill>
                  <w14:solidFill>
                    <w14:schemeClr w14:val="tx1"/>
                  </w14:solidFill>
                </w14:textFill>
              </w:rPr>
              <w:t>，经</w:t>
            </w:r>
            <w:r>
              <w:rPr>
                <w:rFonts w:hint="eastAsia"/>
                <w:color w:val="000000" w:themeColor="text1"/>
                <w:highlight w:val="none"/>
                <w:lang w:val="en-US" w:eastAsia="zh-CN"/>
                <w14:textFill>
                  <w14:solidFill>
                    <w14:schemeClr w14:val="tx1"/>
                  </w14:solidFill>
                </w14:textFill>
              </w:rPr>
              <w:t>DA001排气筒排放</w:t>
            </w: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固化废气经</w:t>
            </w:r>
            <w:r>
              <w:rPr>
                <w:color w:val="000000" w:themeColor="text1"/>
                <w14:textFill>
                  <w14:solidFill>
                    <w14:schemeClr w14:val="tx1"/>
                  </w14:solidFill>
                </w14:textFill>
              </w:rPr>
              <w:t>“</w:t>
            </w:r>
            <w:r>
              <w:rPr>
                <w:rFonts w:hint="eastAsia"/>
                <w:color w:val="000000" w:themeColor="text1"/>
                <w:lang w:eastAsia="zh-CN"/>
                <w14:textFill>
                  <w14:solidFill>
                    <w14:schemeClr w14:val="tx1"/>
                  </w14:solidFill>
                </w14:textFill>
              </w:rPr>
              <w:t>喷淋塔+干式过滤器+</w:t>
            </w:r>
            <w:r>
              <w:rPr>
                <w:rFonts w:hint="eastAsia"/>
                <w:color w:val="000000" w:themeColor="text1"/>
                <w:lang w:val="en-US" w:eastAsia="zh-CN"/>
                <w14:textFill>
                  <w14:solidFill>
                    <w14:schemeClr w14:val="tx1"/>
                  </w14:solidFill>
                </w14:textFill>
              </w:rPr>
              <w:t>二级活性炭吸附</w:t>
            </w:r>
            <w:r>
              <w:rPr>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装置</w:t>
            </w:r>
            <w:r>
              <w:rPr>
                <w:color w:val="000000" w:themeColor="text1"/>
                <w:highlight w:val="none"/>
                <w14:textFill>
                  <w14:solidFill>
                    <w14:schemeClr w14:val="tx1"/>
                  </w14:solidFill>
                </w14:textFill>
              </w:rPr>
              <w:t>处理</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与天然气燃烧废气一同</w:t>
            </w:r>
            <w:r>
              <w:rPr>
                <w:rFonts w:hint="eastAsia"/>
                <w:color w:val="000000" w:themeColor="text1"/>
                <w:highlight w:val="none"/>
                <w:lang w:eastAsia="zh-CN"/>
                <w14:textFill>
                  <w14:solidFill>
                    <w14:schemeClr w14:val="tx1"/>
                  </w14:solidFill>
                </w14:textFill>
              </w:rPr>
              <w:t>经</w:t>
            </w:r>
            <w:r>
              <w:rPr>
                <w:rFonts w:hint="eastAsia"/>
                <w:color w:val="000000" w:themeColor="text1"/>
                <w:highlight w:val="none"/>
                <w:lang w:val="en-US" w:eastAsia="zh-CN"/>
                <w14:textFill>
                  <w14:solidFill>
                    <w14:schemeClr w14:val="tx1"/>
                  </w14:solidFill>
                </w14:textFill>
              </w:rPr>
              <w:t>DA002排气筒排放。</w:t>
            </w:r>
          </w:p>
          <w:p w14:paraId="5B8CC7E9">
            <w:pPr>
              <w:pStyle w:val="158"/>
              <w:keepNext w:val="0"/>
              <w:keepLines w:val="0"/>
              <w:numPr>
                <w:ilvl w:val="0"/>
                <w:numId w:val="0"/>
              </w:numPr>
              <w:suppressLineNumbers w:val="0"/>
              <w:tabs>
                <w:tab w:val="left" w:pos="0"/>
              </w:tabs>
              <w:snapToGrid/>
              <w:spacing w:before="0" w:beforeAutospacing="0" w:after="0" w:afterAutospacing="0"/>
              <w:ind w:left="0" w:leftChars="0" w:right="0" w:rightChars="0" w:firstLine="40" w:firstLineChars="0"/>
              <w:jc w:val="center"/>
              <w:outlineLvl w:val="9"/>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kern w:val="2"/>
                <w:sz w:val="21"/>
                <w:szCs w:val="21"/>
                <w:lang w:val="en-US" w:eastAsia="zh-CN" w:bidi="ar-SA"/>
                <w14:textFill>
                  <w14:solidFill>
                    <w14:schemeClr w14:val="tx1"/>
                  </w14:solidFill>
                </w14:textFill>
              </w:rPr>
              <w:t>表4-1</w:t>
            </w:r>
            <w:r>
              <w:rPr>
                <w:rFonts w:hint="eastAsia" w:cs="Times New Roman"/>
                <w:b/>
                <w:bCs/>
                <w:color w:val="000000" w:themeColor="text1"/>
                <w:spacing w:val="0"/>
                <w:kern w:val="2"/>
                <w:sz w:val="21"/>
                <w:szCs w:val="21"/>
                <w:lang w:val="en-US" w:eastAsia="zh-CN" w:bidi="ar-SA"/>
                <w14:textFill>
                  <w14:solidFill>
                    <w14:schemeClr w14:val="tx1"/>
                  </w14:solidFill>
                </w14:textFill>
              </w:rPr>
              <w:t>8</w:t>
            </w:r>
            <w:r>
              <w:rPr>
                <w:b/>
                <w:bCs/>
                <w:color w:val="000000" w:themeColor="text1"/>
                <w:sz w:val="21"/>
                <w:szCs w:val="21"/>
                <w14:textFill>
                  <w14:solidFill>
                    <w14:schemeClr w14:val="tx1"/>
                  </w14:solidFill>
                </w14:textFill>
              </w:rPr>
              <w:t>项目各污染物收集、治理、排放方式一览表</w:t>
            </w:r>
          </w:p>
          <w:tbl>
            <w:tblPr>
              <w:tblStyle w:val="45"/>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719"/>
              <w:gridCol w:w="668"/>
              <w:gridCol w:w="1044"/>
              <w:gridCol w:w="1220"/>
              <w:gridCol w:w="904"/>
              <w:gridCol w:w="1133"/>
              <w:gridCol w:w="621"/>
              <w:gridCol w:w="575"/>
              <w:gridCol w:w="738"/>
            </w:tblGrid>
            <w:tr w14:paraId="7816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4" w:type="pct"/>
                  <w:vAlign w:val="center"/>
                </w:tcPr>
                <w:p w14:paraId="6B195445">
                  <w:pPr>
                    <w:pageBreakBefore w:val="0"/>
                    <w:wordWrap w:val="0"/>
                    <w:topLinePunct/>
                    <w:bidi w:val="0"/>
                    <w:spacing w:beforeAutospacing="0" w:afterAutospacing="0"/>
                    <w:jc w:val="center"/>
                    <w:rPr>
                      <w:rFonts w:eastAsiaTheme="minorEastAsia"/>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所在车间</w:t>
                  </w:r>
                </w:p>
              </w:tc>
              <w:tc>
                <w:tcPr>
                  <w:tcW w:w="428" w:type="pct"/>
                  <w:vAlign w:val="center"/>
                </w:tcPr>
                <w:p w14:paraId="45F51A06">
                  <w:pPr>
                    <w:pageBreakBefore w:val="0"/>
                    <w:wordWrap w:val="0"/>
                    <w:topLinePunct/>
                    <w:bidi w:val="0"/>
                    <w:spacing w:beforeAutospacing="0" w:afterAutospacing="0"/>
                    <w:jc w:val="center"/>
                    <w:rPr>
                      <w:rFonts w:eastAsiaTheme="minorEastAsia"/>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生产线</w:t>
                  </w:r>
                </w:p>
              </w:tc>
              <w:tc>
                <w:tcPr>
                  <w:tcW w:w="398" w:type="pct"/>
                  <w:vAlign w:val="center"/>
                </w:tcPr>
                <w:p w14:paraId="76B8DE75">
                  <w:pPr>
                    <w:pageBreakBefore w:val="0"/>
                    <w:wordWrap w:val="0"/>
                    <w:topLinePunct/>
                    <w:bidi w:val="0"/>
                    <w:spacing w:beforeAutospacing="0" w:afterAutospacing="0"/>
                    <w:jc w:val="center"/>
                    <w:rPr>
                      <w:rFonts w:eastAsiaTheme="minorEastAsia"/>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工序</w:t>
                  </w:r>
                </w:p>
              </w:tc>
              <w:tc>
                <w:tcPr>
                  <w:tcW w:w="622" w:type="pct"/>
                  <w:vAlign w:val="center"/>
                </w:tcPr>
                <w:p w14:paraId="0FD0F5D2">
                  <w:pPr>
                    <w:pageBreakBefore w:val="0"/>
                    <w:wordWrap w:val="0"/>
                    <w:topLinePunct/>
                    <w:bidi w:val="0"/>
                    <w:spacing w:beforeAutospacing="0" w:afterAutospacing="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污染物</w:t>
                  </w:r>
                </w:p>
              </w:tc>
              <w:tc>
                <w:tcPr>
                  <w:tcW w:w="727" w:type="pct"/>
                  <w:vAlign w:val="center"/>
                </w:tcPr>
                <w:p w14:paraId="6C041185">
                  <w:pPr>
                    <w:pageBreakBefore w:val="0"/>
                    <w:wordWrap w:val="0"/>
                    <w:topLinePunct/>
                    <w:bidi w:val="0"/>
                    <w:spacing w:beforeAutospacing="0" w:afterAutospacing="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收集方式</w:t>
                  </w:r>
                </w:p>
              </w:tc>
              <w:tc>
                <w:tcPr>
                  <w:tcW w:w="539" w:type="pct"/>
                  <w:vAlign w:val="center"/>
                </w:tcPr>
                <w:p w14:paraId="72219C25">
                  <w:pPr>
                    <w:pageBreakBefore w:val="0"/>
                    <w:wordWrap w:val="0"/>
                    <w:topLinePunct/>
                    <w:bidi w:val="0"/>
                    <w:spacing w:beforeAutospacing="0" w:afterAutospacing="0"/>
                    <w:jc w:val="center"/>
                    <w:rPr>
                      <w:rFonts w:hint="default" w:eastAsia="宋体"/>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集气效率%</w:t>
                  </w:r>
                </w:p>
              </w:tc>
              <w:tc>
                <w:tcPr>
                  <w:tcW w:w="675" w:type="pct"/>
                  <w:vAlign w:val="center"/>
                </w:tcPr>
                <w:p w14:paraId="132B4B79">
                  <w:pPr>
                    <w:pageBreakBefore w:val="0"/>
                    <w:wordWrap w:val="0"/>
                    <w:topLinePunct/>
                    <w:bidi w:val="0"/>
                    <w:spacing w:beforeAutospacing="0" w:afterAutospacing="0"/>
                    <w:jc w:val="center"/>
                    <w:rPr>
                      <w:rFonts w:eastAsiaTheme="minorEastAsia"/>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治理措施</w:t>
                  </w:r>
                </w:p>
              </w:tc>
              <w:tc>
                <w:tcPr>
                  <w:tcW w:w="370" w:type="pct"/>
                  <w:vAlign w:val="center"/>
                </w:tcPr>
                <w:p w14:paraId="320843C6">
                  <w:pPr>
                    <w:pageBreakBefore w:val="0"/>
                    <w:wordWrap w:val="0"/>
                    <w:topLinePunct/>
                    <w:bidi w:val="0"/>
                    <w:spacing w:beforeAutospacing="0" w:afterAutospacing="0"/>
                    <w:jc w:val="center"/>
                    <w:rPr>
                      <w:rFonts w:hint="default" w:eastAsia="宋体"/>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处理效率%</w:t>
                  </w:r>
                </w:p>
              </w:tc>
              <w:tc>
                <w:tcPr>
                  <w:tcW w:w="342" w:type="pct"/>
                  <w:vAlign w:val="center"/>
                </w:tcPr>
                <w:p w14:paraId="524E2D89">
                  <w:pPr>
                    <w:pageBreakBefore w:val="0"/>
                    <w:wordWrap w:val="0"/>
                    <w:topLinePunct/>
                    <w:bidi w:val="0"/>
                    <w:spacing w:beforeAutospacing="0" w:afterAutospacing="0"/>
                    <w:jc w:val="center"/>
                    <w:rPr>
                      <w:rFonts w:eastAsiaTheme="minorEastAsia"/>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排放形式</w:t>
                  </w:r>
                </w:p>
              </w:tc>
              <w:tc>
                <w:tcPr>
                  <w:tcW w:w="440" w:type="pct"/>
                  <w:vAlign w:val="center"/>
                </w:tcPr>
                <w:p w14:paraId="2D71E12E">
                  <w:pPr>
                    <w:pageBreakBefore w:val="0"/>
                    <w:wordWrap w:val="0"/>
                    <w:topLinePunct/>
                    <w:bidi w:val="0"/>
                    <w:spacing w:beforeAutospacing="0" w:afterAutospacing="0"/>
                    <w:jc w:val="center"/>
                    <w:rPr>
                      <w:rFonts w:eastAsiaTheme="minorEastAsia"/>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排气筒编号</w:t>
                  </w:r>
                </w:p>
              </w:tc>
            </w:tr>
            <w:tr w14:paraId="65FC6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4" w:type="pct"/>
                  <w:vAlign w:val="center"/>
                </w:tcPr>
                <w:p w14:paraId="1E2A3983">
                  <w:pPr>
                    <w:pageBreakBefore w:val="0"/>
                    <w:wordWrap w:val="0"/>
                    <w:topLinePunct/>
                    <w:bidi w:val="0"/>
                    <w:spacing w:beforeAutospacing="0" w:afterAutospacing="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1#车间</w:t>
                  </w:r>
                </w:p>
              </w:tc>
              <w:tc>
                <w:tcPr>
                  <w:tcW w:w="428" w:type="pct"/>
                  <w:vAlign w:val="center"/>
                </w:tcPr>
                <w:p w14:paraId="4291859C">
                  <w:pPr>
                    <w:pageBreakBefore w:val="0"/>
                    <w:wordWrap w:val="0"/>
                    <w:topLinePunct/>
                    <w:bidi w:val="0"/>
                    <w:spacing w:beforeAutospacing="0" w:afterAutospacing="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切割粉尘</w:t>
                  </w:r>
                </w:p>
              </w:tc>
              <w:tc>
                <w:tcPr>
                  <w:tcW w:w="398" w:type="pct"/>
                  <w:vAlign w:val="center"/>
                </w:tcPr>
                <w:p w14:paraId="15C303AB">
                  <w:pPr>
                    <w:pageBreakBefore w:val="0"/>
                    <w:wordWrap w:val="0"/>
                    <w:topLinePunct/>
                    <w:bidi w:val="0"/>
                    <w:spacing w:beforeAutospacing="0" w:afterAutospacing="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切割</w:t>
                  </w:r>
                </w:p>
              </w:tc>
              <w:tc>
                <w:tcPr>
                  <w:tcW w:w="622" w:type="pct"/>
                  <w:vAlign w:val="center"/>
                </w:tcPr>
                <w:p w14:paraId="6D88CE97">
                  <w:pPr>
                    <w:pageBreakBefore w:val="0"/>
                    <w:wordWrap w:val="0"/>
                    <w:topLinePunct/>
                    <w:bidi w:val="0"/>
                    <w:spacing w:beforeAutospacing="0" w:afterAutospacing="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颗粒物</w:t>
                  </w:r>
                </w:p>
              </w:tc>
              <w:tc>
                <w:tcPr>
                  <w:tcW w:w="727" w:type="pct"/>
                  <w:vAlign w:val="center"/>
                </w:tcPr>
                <w:p w14:paraId="0F0F33D2">
                  <w:pPr>
                    <w:pageBreakBefore w:val="0"/>
                    <w:wordWrap w:val="0"/>
                    <w:topLinePunct/>
                    <w:bidi w:val="0"/>
                    <w:spacing w:beforeAutospacing="0" w:afterAutospacing="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集气罩</w:t>
                  </w:r>
                </w:p>
              </w:tc>
              <w:tc>
                <w:tcPr>
                  <w:tcW w:w="539" w:type="pct"/>
                  <w:vAlign w:val="center"/>
                </w:tcPr>
                <w:p w14:paraId="76F0E2FB">
                  <w:pPr>
                    <w:pageBreakBefore w:val="0"/>
                    <w:wordWrap w:val="0"/>
                    <w:topLinePunct/>
                    <w:bidi w:val="0"/>
                    <w:spacing w:beforeAutospacing="0" w:afterAutospacing="0"/>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w:t>
                  </w:r>
                </w:p>
              </w:tc>
              <w:tc>
                <w:tcPr>
                  <w:tcW w:w="675" w:type="pct"/>
                  <w:vAlign w:val="center"/>
                </w:tcPr>
                <w:p w14:paraId="05C13A49">
                  <w:pPr>
                    <w:pageBreakBefore w:val="0"/>
                    <w:wordWrap w:val="0"/>
                    <w:topLinePunct/>
                    <w:bidi w:val="0"/>
                    <w:spacing w:beforeAutospacing="0" w:afterAutospacing="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自然沉降</w:t>
                  </w:r>
                </w:p>
              </w:tc>
              <w:tc>
                <w:tcPr>
                  <w:tcW w:w="370" w:type="pct"/>
                  <w:vAlign w:val="center"/>
                </w:tcPr>
                <w:p w14:paraId="34DADFB0">
                  <w:pPr>
                    <w:pageBreakBefore w:val="0"/>
                    <w:wordWrap w:val="0"/>
                    <w:topLinePunct/>
                    <w:bidi w:val="0"/>
                    <w:spacing w:beforeAutospacing="0" w:afterAutospacing="0"/>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w:t>
                  </w:r>
                </w:p>
              </w:tc>
              <w:tc>
                <w:tcPr>
                  <w:tcW w:w="342" w:type="pct"/>
                  <w:vAlign w:val="center"/>
                </w:tcPr>
                <w:p w14:paraId="5B862AEA">
                  <w:pPr>
                    <w:pageBreakBefore w:val="0"/>
                    <w:wordWrap w:val="0"/>
                    <w:topLinePunct/>
                    <w:bidi w:val="0"/>
                    <w:spacing w:beforeAutospacing="0" w:afterAutospacing="0"/>
                    <w:jc w:val="center"/>
                    <w:rPr>
                      <w:b w:val="0"/>
                      <w:bCs w:val="0"/>
                      <w:color w:val="000000" w:themeColor="text1"/>
                      <w:sz w:val="21"/>
                      <w:szCs w:val="21"/>
                      <w14:textFill>
                        <w14:solidFill>
                          <w14:schemeClr w14:val="tx1"/>
                        </w14:solidFill>
                      </w14:textFill>
                    </w:rPr>
                  </w:pPr>
                  <w:r>
                    <w:rPr>
                      <w:b w:val="0"/>
                      <w:bCs w:val="0"/>
                      <w:color w:val="000000" w:themeColor="text1"/>
                      <w:sz w:val="21"/>
                      <w:szCs w:val="21"/>
                      <w14:textFill>
                        <w14:solidFill>
                          <w14:schemeClr w14:val="tx1"/>
                        </w14:solidFill>
                      </w14:textFill>
                    </w:rPr>
                    <w:t>无组织</w:t>
                  </w:r>
                </w:p>
              </w:tc>
              <w:tc>
                <w:tcPr>
                  <w:tcW w:w="440" w:type="pct"/>
                  <w:vAlign w:val="center"/>
                </w:tcPr>
                <w:p w14:paraId="60C778DA">
                  <w:pPr>
                    <w:pageBreakBefore w:val="0"/>
                    <w:wordWrap w:val="0"/>
                    <w:topLinePunct/>
                    <w:bidi w:val="0"/>
                    <w:spacing w:beforeAutospacing="0" w:afterAutospacing="0"/>
                    <w:jc w:val="center"/>
                    <w:rPr>
                      <w:b w:val="0"/>
                      <w:bCs w:val="0"/>
                      <w:color w:val="000000" w:themeColor="text1"/>
                      <w:sz w:val="21"/>
                      <w:szCs w:val="21"/>
                      <w14:textFill>
                        <w14:solidFill>
                          <w14:schemeClr w14:val="tx1"/>
                        </w14:solidFill>
                      </w14:textFill>
                    </w:rPr>
                  </w:pPr>
                  <w:r>
                    <w:rPr>
                      <w:b w:val="0"/>
                      <w:bCs w:val="0"/>
                      <w:color w:val="000000" w:themeColor="text1"/>
                      <w:sz w:val="21"/>
                      <w:szCs w:val="21"/>
                      <w14:textFill>
                        <w14:solidFill>
                          <w14:schemeClr w14:val="tx1"/>
                        </w14:solidFill>
                      </w14:textFill>
                    </w:rPr>
                    <w:t>/</w:t>
                  </w:r>
                </w:p>
              </w:tc>
            </w:tr>
            <w:tr w14:paraId="28EE6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4" w:type="pct"/>
                  <w:vAlign w:val="center"/>
                </w:tcPr>
                <w:p w14:paraId="6F1108B8">
                  <w:pPr>
                    <w:pageBreakBefore w:val="0"/>
                    <w:wordWrap w:val="0"/>
                    <w:topLinePunct/>
                    <w:bidi w:val="0"/>
                    <w:spacing w:beforeAutospacing="0" w:afterAutospacing="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3#车间</w:t>
                  </w:r>
                </w:p>
              </w:tc>
              <w:tc>
                <w:tcPr>
                  <w:tcW w:w="428" w:type="pct"/>
                  <w:vAlign w:val="center"/>
                </w:tcPr>
                <w:p w14:paraId="228FEDC8">
                  <w:pPr>
                    <w:pageBreakBefore w:val="0"/>
                    <w:wordWrap w:val="0"/>
                    <w:topLinePunct/>
                    <w:bidi w:val="0"/>
                    <w:spacing w:beforeAutospacing="0" w:afterAutospacing="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焊接烟尘</w:t>
                  </w:r>
                </w:p>
              </w:tc>
              <w:tc>
                <w:tcPr>
                  <w:tcW w:w="398" w:type="pct"/>
                  <w:vAlign w:val="center"/>
                </w:tcPr>
                <w:p w14:paraId="1F7CE71D">
                  <w:pPr>
                    <w:pageBreakBefore w:val="0"/>
                    <w:wordWrap w:val="0"/>
                    <w:topLinePunct/>
                    <w:bidi w:val="0"/>
                    <w:spacing w:beforeAutospacing="0" w:afterAutospacing="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焊接</w:t>
                  </w:r>
                </w:p>
              </w:tc>
              <w:tc>
                <w:tcPr>
                  <w:tcW w:w="622" w:type="pct"/>
                  <w:vAlign w:val="center"/>
                </w:tcPr>
                <w:p w14:paraId="623EA365">
                  <w:pPr>
                    <w:pageBreakBefore w:val="0"/>
                    <w:wordWrap w:val="0"/>
                    <w:topLinePunct/>
                    <w:bidi w:val="0"/>
                    <w:spacing w:beforeAutospacing="0" w:afterAutospacing="0"/>
                    <w:jc w:val="center"/>
                    <w:rPr>
                      <w:b w:val="0"/>
                      <w:bCs w:val="0"/>
                      <w:color w:val="000000" w:themeColor="text1"/>
                      <w:sz w:val="21"/>
                      <w:szCs w:val="2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颗粒物</w:t>
                  </w:r>
                </w:p>
              </w:tc>
              <w:tc>
                <w:tcPr>
                  <w:tcW w:w="727" w:type="pct"/>
                  <w:vAlign w:val="center"/>
                </w:tcPr>
                <w:p w14:paraId="6E04AD27">
                  <w:pPr>
                    <w:pageBreakBefore w:val="0"/>
                    <w:wordWrap w:val="0"/>
                    <w:topLinePunct/>
                    <w:bidi w:val="0"/>
                    <w:spacing w:beforeAutospacing="0" w:afterAutospacing="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集气罩</w:t>
                  </w:r>
                </w:p>
              </w:tc>
              <w:tc>
                <w:tcPr>
                  <w:tcW w:w="539" w:type="pct"/>
                  <w:vAlign w:val="center"/>
                </w:tcPr>
                <w:p w14:paraId="1D50DAD0">
                  <w:pPr>
                    <w:pageBreakBefore w:val="0"/>
                    <w:wordWrap w:val="0"/>
                    <w:topLinePunct/>
                    <w:bidi w:val="0"/>
                    <w:spacing w:beforeAutospacing="0" w:afterAutospacing="0"/>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30%</w:t>
                  </w:r>
                </w:p>
              </w:tc>
              <w:tc>
                <w:tcPr>
                  <w:tcW w:w="675" w:type="pct"/>
                  <w:vAlign w:val="center"/>
                </w:tcPr>
                <w:p w14:paraId="2792F5F8">
                  <w:pPr>
                    <w:pageBreakBefore w:val="0"/>
                    <w:wordWrap w:val="0"/>
                    <w:topLinePunct/>
                    <w:bidi w:val="0"/>
                    <w:spacing w:beforeAutospacing="0" w:afterAutospacing="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移动式焊烟净化器</w:t>
                  </w:r>
                </w:p>
              </w:tc>
              <w:tc>
                <w:tcPr>
                  <w:tcW w:w="370" w:type="pct"/>
                  <w:vAlign w:val="center"/>
                </w:tcPr>
                <w:p w14:paraId="79A1E2CE">
                  <w:pPr>
                    <w:pageBreakBefore w:val="0"/>
                    <w:wordWrap w:val="0"/>
                    <w:topLinePunct/>
                    <w:bidi w:val="0"/>
                    <w:spacing w:beforeAutospacing="0" w:afterAutospacing="0"/>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90%</w:t>
                  </w:r>
                </w:p>
              </w:tc>
              <w:tc>
                <w:tcPr>
                  <w:tcW w:w="342" w:type="pct"/>
                  <w:vAlign w:val="center"/>
                </w:tcPr>
                <w:p w14:paraId="24DE7318">
                  <w:pPr>
                    <w:pageBreakBefore w:val="0"/>
                    <w:wordWrap w:val="0"/>
                    <w:topLinePunct/>
                    <w:bidi w:val="0"/>
                    <w:spacing w:beforeAutospacing="0" w:afterAutospacing="0"/>
                    <w:jc w:val="center"/>
                    <w:rPr>
                      <w:b w:val="0"/>
                      <w:bCs w:val="0"/>
                      <w:color w:val="000000" w:themeColor="text1"/>
                      <w:sz w:val="21"/>
                      <w:szCs w:val="21"/>
                      <w14:textFill>
                        <w14:solidFill>
                          <w14:schemeClr w14:val="tx1"/>
                        </w14:solidFill>
                      </w14:textFill>
                    </w:rPr>
                  </w:pPr>
                  <w:r>
                    <w:rPr>
                      <w:b w:val="0"/>
                      <w:bCs w:val="0"/>
                      <w:color w:val="000000" w:themeColor="text1"/>
                      <w:sz w:val="21"/>
                      <w:szCs w:val="21"/>
                      <w14:textFill>
                        <w14:solidFill>
                          <w14:schemeClr w14:val="tx1"/>
                        </w14:solidFill>
                      </w14:textFill>
                    </w:rPr>
                    <w:t>无组织</w:t>
                  </w:r>
                </w:p>
              </w:tc>
              <w:tc>
                <w:tcPr>
                  <w:tcW w:w="440" w:type="pct"/>
                  <w:vAlign w:val="center"/>
                </w:tcPr>
                <w:p w14:paraId="2D4736A4">
                  <w:pPr>
                    <w:pageBreakBefore w:val="0"/>
                    <w:wordWrap w:val="0"/>
                    <w:topLinePunct/>
                    <w:bidi w:val="0"/>
                    <w:spacing w:beforeAutospacing="0" w:afterAutospacing="0"/>
                    <w:jc w:val="center"/>
                    <w:rPr>
                      <w:b w:val="0"/>
                      <w:bCs w:val="0"/>
                      <w:color w:val="000000" w:themeColor="text1"/>
                      <w:sz w:val="21"/>
                      <w:szCs w:val="21"/>
                      <w14:textFill>
                        <w14:solidFill>
                          <w14:schemeClr w14:val="tx1"/>
                        </w14:solidFill>
                      </w14:textFill>
                    </w:rPr>
                  </w:pPr>
                  <w:r>
                    <w:rPr>
                      <w:b w:val="0"/>
                      <w:bCs w:val="0"/>
                      <w:color w:val="000000" w:themeColor="text1"/>
                      <w:sz w:val="21"/>
                      <w:szCs w:val="21"/>
                      <w14:textFill>
                        <w14:solidFill>
                          <w14:schemeClr w14:val="tx1"/>
                        </w14:solidFill>
                      </w14:textFill>
                    </w:rPr>
                    <w:t>/</w:t>
                  </w:r>
                </w:p>
              </w:tc>
            </w:tr>
            <w:tr w14:paraId="24EA3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4" w:type="pct"/>
                  <w:vAlign w:val="center"/>
                </w:tcPr>
                <w:p w14:paraId="31A2639C">
                  <w:pPr>
                    <w:pageBreakBefore w:val="0"/>
                    <w:wordWrap w:val="0"/>
                    <w:topLinePunct/>
                    <w:bidi w:val="0"/>
                    <w:spacing w:beforeAutospacing="0" w:afterAutospacing="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3#车间</w:t>
                  </w:r>
                </w:p>
              </w:tc>
              <w:tc>
                <w:tcPr>
                  <w:tcW w:w="428" w:type="pct"/>
                  <w:vAlign w:val="center"/>
                </w:tcPr>
                <w:p w14:paraId="4D0C25D4">
                  <w:pPr>
                    <w:pageBreakBefore w:val="0"/>
                    <w:wordWrap w:val="0"/>
                    <w:topLinePunct/>
                    <w:bidi w:val="0"/>
                    <w:spacing w:beforeAutospacing="0" w:afterAutospacing="0"/>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打磨粉尘</w:t>
                  </w:r>
                </w:p>
              </w:tc>
              <w:tc>
                <w:tcPr>
                  <w:tcW w:w="398" w:type="pct"/>
                  <w:vAlign w:val="center"/>
                </w:tcPr>
                <w:p w14:paraId="392BD65D">
                  <w:pPr>
                    <w:pageBreakBefore w:val="0"/>
                    <w:wordWrap w:val="0"/>
                    <w:topLinePunct/>
                    <w:bidi w:val="0"/>
                    <w:spacing w:beforeAutospacing="0" w:afterAutospacing="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打磨抛光</w:t>
                  </w:r>
                </w:p>
              </w:tc>
              <w:tc>
                <w:tcPr>
                  <w:tcW w:w="622" w:type="pct"/>
                  <w:vAlign w:val="center"/>
                </w:tcPr>
                <w:p w14:paraId="2FC82CF5">
                  <w:pPr>
                    <w:pageBreakBefore w:val="0"/>
                    <w:wordWrap w:val="0"/>
                    <w:topLinePunct/>
                    <w:bidi w:val="0"/>
                    <w:spacing w:beforeAutospacing="0" w:afterAutospacing="0"/>
                    <w:jc w:val="center"/>
                    <w:rPr>
                      <w:b w:val="0"/>
                      <w:bCs w:val="0"/>
                      <w:color w:val="000000" w:themeColor="text1"/>
                      <w:sz w:val="21"/>
                      <w:szCs w:val="2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颗粒物</w:t>
                  </w:r>
                </w:p>
              </w:tc>
              <w:tc>
                <w:tcPr>
                  <w:tcW w:w="727" w:type="pct"/>
                  <w:vAlign w:val="center"/>
                </w:tcPr>
                <w:p w14:paraId="143DB07E">
                  <w:pPr>
                    <w:pageBreakBefore w:val="0"/>
                    <w:wordWrap w:val="0"/>
                    <w:topLinePunct/>
                    <w:bidi w:val="0"/>
                    <w:spacing w:beforeAutospacing="0" w:afterAutospacing="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密闭收集</w:t>
                  </w:r>
                </w:p>
              </w:tc>
              <w:tc>
                <w:tcPr>
                  <w:tcW w:w="539" w:type="pct"/>
                  <w:vAlign w:val="center"/>
                </w:tcPr>
                <w:p w14:paraId="4782E5F6">
                  <w:pPr>
                    <w:pageBreakBefore w:val="0"/>
                    <w:wordWrap w:val="0"/>
                    <w:topLinePunct/>
                    <w:bidi w:val="0"/>
                    <w:spacing w:beforeAutospacing="0" w:afterAutospacing="0"/>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w:t>
                  </w:r>
                </w:p>
              </w:tc>
              <w:tc>
                <w:tcPr>
                  <w:tcW w:w="675" w:type="pct"/>
                  <w:vAlign w:val="center"/>
                </w:tcPr>
                <w:p w14:paraId="2CB9F691">
                  <w:pPr>
                    <w:pageBreakBefore w:val="0"/>
                    <w:wordWrap w:val="0"/>
                    <w:topLinePunct/>
                    <w:bidi w:val="0"/>
                    <w:spacing w:beforeAutospacing="0" w:afterAutospacing="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自然沉降</w:t>
                  </w:r>
                </w:p>
              </w:tc>
              <w:tc>
                <w:tcPr>
                  <w:tcW w:w="370" w:type="pct"/>
                  <w:vAlign w:val="center"/>
                </w:tcPr>
                <w:p w14:paraId="2C07AC2F">
                  <w:pPr>
                    <w:pageBreakBefore w:val="0"/>
                    <w:wordWrap w:val="0"/>
                    <w:topLinePunct/>
                    <w:bidi w:val="0"/>
                    <w:spacing w:beforeAutospacing="0" w:afterAutospacing="0"/>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w:t>
                  </w:r>
                </w:p>
              </w:tc>
              <w:tc>
                <w:tcPr>
                  <w:tcW w:w="342" w:type="pct"/>
                  <w:vAlign w:val="center"/>
                </w:tcPr>
                <w:p w14:paraId="732AE67E">
                  <w:pPr>
                    <w:pageBreakBefore w:val="0"/>
                    <w:wordWrap w:val="0"/>
                    <w:topLinePunct/>
                    <w:bidi w:val="0"/>
                    <w:spacing w:beforeAutospacing="0" w:afterAutospacing="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无组织</w:t>
                  </w:r>
                </w:p>
              </w:tc>
              <w:tc>
                <w:tcPr>
                  <w:tcW w:w="440" w:type="pct"/>
                  <w:vAlign w:val="center"/>
                </w:tcPr>
                <w:p w14:paraId="6BCA221E">
                  <w:pPr>
                    <w:pageBreakBefore w:val="0"/>
                    <w:wordWrap w:val="0"/>
                    <w:topLinePunct/>
                    <w:bidi w:val="0"/>
                    <w:spacing w:beforeAutospacing="0" w:afterAutospacing="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w:t>
                  </w:r>
                </w:p>
              </w:tc>
            </w:tr>
            <w:tr w14:paraId="4CBA4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4" w:type="pct"/>
                  <w:vMerge w:val="restart"/>
                  <w:vAlign w:val="center"/>
                </w:tcPr>
                <w:p w14:paraId="490B3030">
                  <w:pPr>
                    <w:pageBreakBefore w:val="0"/>
                    <w:wordWrap w:val="0"/>
                    <w:topLinePunct/>
                    <w:bidi w:val="0"/>
                    <w:spacing w:beforeAutospacing="0" w:afterAutospacing="0"/>
                    <w:jc w:val="center"/>
                    <w:rPr>
                      <w:rFonts w:hint="default" w:eastAsiaTheme="minorEastAsia"/>
                      <w:color w:val="000000" w:themeColor="text1"/>
                      <w:sz w:val="21"/>
                      <w:szCs w:val="21"/>
                      <w:lang w:val="en-US" w:eastAsia="zh-CN"/>
                      <w14:textFill>
                        <w14:solidFill>
                          <w14:schemeClr w14:val="tx1"/>
                        </w14:solidFill>
                      </w14:textFill>
                    </w:rPr>
                  </w:pPr>
                  <w:r>
                    <w:rPr>
                      <w:rFonts w:hint="eastAsia" w:eastAsiaTheme="minorEastAsia"/>
                      <w:color w:val="000000" w:themeColor="text1"/>
                      <w:sz w:val="21"/>
                      <w:szCs w:val="21"/>
                      <w:lang w:val="en-US" w:eastAsia="zh-CN"/>
                      <w14:textFill>
                        <w14:solidFill>
                          <w14:schemeClr w14:val="tx1"/>
                        </w14:solidFill>
                      </w14:textFill>
                    </w:rPr>
                    <w:t>4#车间</w:t>
                  </w:r>
                </w:p>
              </w:tc>
              <w:tc>
                <w:tcPr>
                  <w:tcW w:w="428" w:type="pct"/>
                  <w:vMerge w:val="restart"/>
                  <w:vAlign w:val="center"/>
                </w:tcPr>
                <w:p w14:paraId="3E156347">
                  <w:pPr>
                    <w:pageBreakBefore w:val="0"/>
                    <w:wordWrap w:val="0"/>
                    <w:topLinePunct/>
                    <w:bidi w:val="0"/>
                    <w:spacing w:beforeAutospacing="0" w:afterAutospacing="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喷粉喷漆漆工序</w:t>
                  </w:r>
                </w:p>
              </w:tc>
              <w:tc>
                <w:tcPr>
                  <w:tcW w:w="398" w:type="pct"/>
                  <w:vAlign w:val="center"/>
                </w:tcPr>
                <w:p w14:paraId="00B5E9F4">
                  <w:pPr>
                    <w:pageBreakBefore w:val="0"/>
                    <w:wordWrap w:val="0"/>
                    <w:topLinePunct/>
                    <w:bidi w:val="0"/>
                    <w:spacing w:beforeAutospacing="0" w:afterAutospacing="0"/>
                    <w:jc w:val="center"/>
                    <w:rPr>
                      <w:rFonts w:eastAsiaTheme="minorEastAsia"/>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静电喷粉</w:t>
                  </w:r>
                </w:p>
              </w:tc>
              <w:tc>
                <w:tcPr>
                  <w:tcW w:w="622" w:type="pct"/>
                  <w:vAlign w:val="center"/>
                </w:tcPr>
                <w:p w14:paraId="2CD63691">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颗粒物</w:t>
                  </w:r>
                </w:p>
              </w:tc>
              <w:tc>
                <w:tcPr>
                  <w:tcW w:w="727" w:type="pct"/>
                  <w:vAlign w:val="center"/>
                </w:tcPr>
                <w:p w14:paraId="6BFA553D">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密闭收集</w:t>
                  </w:r>
                </w:p>
              </w:tc>
              <w:tc>
                <w:tcPr>
                  <w:tcW w:w="539" w:type="pct"/>
                  <w:vAlign w:val="center"/>
                </w:tcPr>
                <w:p w14:paraId="3D494476">
                  <w:pPr>
                    <w:pageBreakBefore w:val="0"/>
                    <w:wordWrap w:val="0"/>
                    <w:topLinePunct/>
                    <w:bidi w:val="0"/>
                    <w:spacing w:beforeAutospacing="0" w:afterAutospacing="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90%</w:t>
                  </w:r>
                </w:p>
              </w:tc>
              <w:tc>
                <w:tcPr>
                  <w:tcW w:w="675" w:type="pct"/>
                  <w:vAlign w:val="center"/>
                </w:tcPr>
                <w:p w14:paraId="61BF3B89">
                  <w:pPr>
                    <w:pageBreakBefore w:val="0"/>
                    <w:wordWrap w:val="0"/>
                    <w:topLinePunct/>
                    <w:bidi w:val="0"/>
                    <w:spacing w:beforeAutospacing="0" w:afterAutospacing="0"/>
                    <w:jc w:val="center"/>
                    <w:rPr>
                      <w:rFonts w:eastAsiaTheme="minorEastAsia"/>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大旋风+滤芯式二级回收系统</w:t>
                  </w:r>
                </w:p>
              </w:tc>
              <w:tc>
                <w:tcPr>
                  <w:tcW w:w="370" w:type="pct"/>
                  <w:vAlign w:val="center"/>
                </w:tcPr>
                <w:p w14:paraId="2E5EA6E5">
                  <w:pPr>
                    <w:pageBreakBefore w:val="0"/>
                    <w:wordWrap w:val="0"/>
                    <w:topLinePunct/>
                    <w:bidi w:val="0"/>
                    <w:spacing w:beforeAutospacing="0" w:afterAutospacing="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99%</w:t>
                  </w:r>
                </w:p>
              </w:tc>
              <w:tc>
                <w:tcPr>
                  <w:tcW w:w="342" w:type="pct"/>
                  <w:vAlign w:val="center"/>
                </w:tcPr>
                <w:p w14:paraId="7BEB28F1">
                  <w:pPr>
                    <w:pageBreakBefore w:val="0"/>
                    <w:wordWrap w:val="0"/>
                    <w:topLinePunct/>
                    <w:bidi w:val="0"/>
                    <w:spacing w:beforeAutospacing="0" w:afterAutospacing="0"/>
                    <w:jc w:val="center"/>
                    <w:rPr>
                      <w:rFonts w:eastAsiaTheme="minorEastAsia"/>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无组织</w:t>
                  </w:r>
                </w:p>
              </w:tc>
              <w:tc>
                <w:tcPr>
                  <w:tcW w:w="440" w:type="pct"/>
                  <w:vAlign w:val="center"/>
                </w:tcPr>
                <w:p w14:paraId="6BEAAC5E">
                  <w:pPr>
                    <w:pageBreakBefore w:val="0"/>
                    <w:wordWrap w:val="0"/>
                    <w:topLinePunct/>
                    <w:bidi w:val="0"/>
                    <w:spacing w:beforeAutospacing="0" w:afterAutospacing="0"/>
                    <w:jc w:val="center"/>
                    <w:rPr>
                      <w:rFonts w:eastAsiaTheme="minorEastAsia"/>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1893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4" w:type="pct"/>
                  <w:vMerge w:val="continue"/>
                  <w:vAlign w:val="center"/>
                </w:tcPr>
                <w:p w14:paraId="2E5D112A">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p>
              </w:tc>
              <w:tc>
                <w:tcPr>
                  <w:tcW w:w="428" w:type="pct"/>
                  <w:vMerge w:val="continue"/>
                  <w:vAlign w:val="center"/>
                </w:tcPr>
                <w:p w14:paraId="43B093B6">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p>
              </w:tc>
              <w:tc>
                <w:tcPr>
                  <w:tcW w:w="398" w:type="pct"/>
                  <w:vAlign w:val="center"/>
                </w:tcPr>
                <w:p w14:paraId="63CDB46B">
                  <w:pPr>
                    <w:pageBreakBefore w:val="0"/>
                    <w:wordWrap w:val="0"/>
                    <w:topLinePunct/>
                    <w:bidi w:val="0"/>
                    <w:spacing w:beforeAutospacing="0" w:afterAutospacing="0"/>
                    <w:jc w:val="center"/>
                    <w:rPr>
                      <w:rFonts w:hint="eastAsia" w:eastAsia="宋体"/>
                      <w:color w:val="000000" w:themeColor="text1"/>
                      <w:sz w:val="21"/>
                      <w:szCs w:val="21"/>
                      <w:lang w:eastAsia="zh-CN"/>
                      <w14:textFill>
                        <w14:solidFill>
                          <w14:schemeClr w14:val="tx1"/>
                        </w14:solidFill>
                      </w14:textFill>
                    </w:rPr>
                  </w:pPr>
                  <w:r>
                    <w:rPr>
                      <w:color w:val="000000" w:themeColor="text1"/>
                      <w:sz w:val="21"/>
                      <w:szCs w:val="21"/>
                      <w14:textFill>
                        <w14:solidFill>
                          <w14:schemeClr w14:val="tx1"/>
                        </w14:solidFill>
                      </w14:textFill>
                    </w:rPr>
                    <w:t>静电</w:t>
                  </w:r>
                  <w:r>
                    <w:rPr>
                      <w:rFonts w:hint="eastAsia"/>
                      <w:color w:val="000000" w:themeColor="text1"/>
                      <w:sz w:val="21"/>
                      <w:szCs w:val="21"/>
                      <w:lang w:eastAsia="zh-CN"/>
                      <w14:textFill>
                        <w14:solidFill>
                          <w14:schemeClr w14:val="tx1"/>
                        </w14:solidFill>
                      </w14:textFill>
                    </w:rPr>
                    <w:t>喷粉</w:t>
                  </w:r>
                </w:p>
              </w:tc>
              <w:tc>
                <w:tcPr>
                  <w:tcW w:w="622" w:type="pct"/>
                  <w:vAlign w:val="center"/>
                </w:tcPr>
                <w:p w14:paraId="2E2D3562">
                  <w:pPr>
                    <w:pageBreakBefore w:val="0"/>
                    <w:wordWrap w:val="0"/>
                    <w:topLinePunct/>
                    <w:bidi w:val="0"/>
                    <w:spacing w:beforeAutospacing="0" w:afterAutospacing="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固化有机废气</w:t>
                  </w:r>
                </w:p>
              </w:tc>
              <w:tc>
                <w:tcPr>
                  <w:tcW w:w="727" w:type="pct"/>
                  <w:vAlign w:val="center"/>
                </w:tcPr>
                <w:p w14:paraId="7315095B">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集气罩、</w:t>
                  </w:r>
                  <w:r>
                    <w:rPr>
                      <w:color w:val="000000" w:themeColor="text1"/>
                      <w:kern w:val="2"/>
                      <w:sz w:val="21"/>
                      <w:szCs w:val="21"/>
                      <w14:textFill>
                        <w14:solidFill>
                          <w14:schemeClr w14:val="tx1"/>
                        </w14:solidFill>
                      </w14:textFill>
                    </w:rPr>
                    <w:t>直连排风管</w:t>
                  </w:r>
                </w:p>
              </w:tc>
              <w:tc>
                <w:tcPr>
                  <w:tcW w:w="539" w:type="pct"/>
                  <w:vAlign w:val="center"/>
                </w:tcPr>
                <w:p w14:paraId="5254A2F6">
                  <w:pPr>
                    <w:pageBreakBefore w:val="0"/>
                    <w:wordWrap w:val="0"/>
                    <w:topLinePunct/>
                    <w:bidi w:val="0"/>
                    <w:spacing w:beforeAutospacing="0" w:afterAutospacing="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90%</w:t>
                  </w:r>
                </w:p>
              </w:tc>
              <w:tc>
                <w:tcPr>
                  <w:tcW w:w="675" w:type="pct"/>
                  <w:vMerge w:val="restart"/>
                  <w:vAlign w:val="center"/>
                </w:tcPr>
                <w:p w14:paraId="363BF520">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水帘柜</w:t>
                  </w:r>
                  <w:r>
                    <w:rPr>
                      <w:rFonts w:hint="eastAsia"/>
                      <w:color w:val="000000" w:themeColor="text1"/>
                      <w:sz w:val="21"/>
                      <w:szCs w:val="21"/>
                      <w:lang w:val="en-US" w:eastAsia="zh-CN"/>
                      <w14:textFill>
                        <w14:solidFill>
                          <w14:schemeClr w14:val="tx1"/>
                        </w14:solidFill>
                      </w14:textFill>
                    </w:rPr>
                    <w:t>喷淋</w:t>
                  </w:r>
                  <w:r>
                    <w:rPr>
                      <w:color w:val="000000" w:themeColor="text1"/>
                      <w:sz w:val="21"/>
                      <w:szCs w:val="21"/>
                      <w14:textFill>
                        <w14:solidFill>
                          <w14:schemeClr w14:val="tx1"/>
                        </w14:solidFill>
                      </w14:textFill>
                    </w:rPr>
                    <w:t>+干式过滤器+</w:t>
                  </w:r>
                  <w:r>
                    <w:rPr>
                      <w:rFonts w:hint="eastAsia"/>
                      <w:color w:val="000000" w:themeColor="text1"/>
                      <w:sz w:val="21"/>
                      <w:szCs w:val="21"/>
                      <w:lang w:eastAsia="zh-CN"/>
                      <w14:textFill>
                        <w14:solidFill>
                          <w14:schemeClr w14:val="tx1"/>
                        </w14:solidFill>
                      </w14:textFill>
                    </w:rPr>
                    <w:t>活性炭吸脱附催化燃烧</w:t>
                  </w:r>
                </w:p>
              </w:tc>
              <w:tc>
                <w:tcPr>
                  <w:tcW w:w="370" w:type="pct"/>
                  <w:vAlign w:val="center"/>
                </w:tcPr>
                <w:p w14:paraId="527663B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w:t>
                  </w:r>
                </w:p>
              </w:tc>
              <w:tc>
                <w:tcPr>
                  <w:tcW w:w="342" w:type="pct"/>
                  <w:vMerge w:val="restart"/>
                  <w:vAlign w:val="center"/>
                </w:tcPr>
                <w:p w14:paraId="043FB628">
                  <w:pPr>
                    <w:pageBreakBefore w:val="0"/>
                    <w:wordWrap w:val="0"/>
                    <w:topLinePunct/>
                    <w:bidi w:val="0"/>
                    <w:spacing w:beforeAutospacing="0" w:afterAutospacing="0"/>
                    <w:jc w:val="center"/>
                    <w:rPr>
                      <w:rFonts w:eastAsiaTheme="minorEastAsia"/>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有组织</w:t>
                  </w:r>
                </w:p>
              </w:tc>
              <w:tc>
                <w:tcPr>
                  <w:tcW w:w="440" w:type="pct"/>
                  <w:vMerge w:val="restart"/>
                  <w:vAlign w:val="center"/>
                </w:tcPr>
                <w:p w14:paraId="048B853C">
                  <w:pPr>
                    <w:pageBreakBefore w:val="0"/>
                    <w:wordWrap w:val="0"/>
                    <w:topLinePunct/>
                    <w:bidi w:val="0"/>
                    <w:spacing w:beforeAutospacing="0" w:afterAutospacing="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DA00</w:t>
                  </w:r>
                  <w:r>
                    <w:rPr>
                      <w:rFonts w:hint="eastAsia"/>
                      <w:color w:val="000000" w:themeColor="text1"/>
                      <w:sz w:val="21"/>
                      <w:szCs w:val="21"/>
                      <w:lang w:val="en-US" w:eastAsia="zh-CN"/>
                      <w14:textFill>
                        <w14:solidFill>
                          <w14:schemeClr w14:val="tx1"/>
                        </w14:solidFill>
                      </w14:textFill>
                    </w:rPr>
                    <w:t>1</w:t>
                  </w:r>
                </w:p>
              </w:tc>
            </w:tr>
            <w:tr w14:paraId="0070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4" w:type="pct"/>
                  <w:vMerge w:val="continue"/>
                  <w:vAlign w:val="center"/>
                </w:tcPr>
                <w:p w14:paraId="282EB19F">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p>
              </w:tc>
              <w:tc>
                <w:tcPr>
                  <w:tcW w:w="428" w:type="pct"/>
                  <w:vMerge w:val="continue"/>
                  <w:vAlign w:val="center"/>
                </w:tcPr>
                <w:p w14:paraId="2E01E527">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p>
              </w:tc>
              <w:tc>
                <w:tcPr>
                  <w:tcW w:w="398" w:type="pct"/>
                  <w:vAlign w:val="center"/>
                </w:tcPr>
                <w:p w14:paraId="4F4C03D8">
                  <w:pPr>
                    <w:pageBreakBefore w:val="0"/>
                    <w:wordWrap w:val="0"/>
                    <w:topLinePunct/>
                    <w:bidi w:val="0"/>
                    <w:spacing w:beforeAutospacing="0" w:afterAutospacing="0"/>
                    <w:jc w:val="center"/>
                    <w:rPr>
                      <w:rFonts w:eastAsiaTheme="minorEastAsia"/>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喷漆</w:t>
                  </w:r>
                </w:p>
              </w:tc>
              <w:tc>
                <w:tcPr>
                  <w:tcW w:w="622" w:type="pct"/>
                  <w:vAlign w:val="center"/>
                </w:tcPr>
                <w:p w14:paraId="36848117">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有机废气（VOCs、</w:t>
                  </w:r>
                  <w:r>
                    <w:rPr>
                      <w:rFonts w:hint="eastAsia"/>
                      <w:color w:val="000000" w:themeColor="text1"/>
                      <w:sz w:val="21"/>
                      <w:szCs w:val="21"/>
                      <w:lang w:val="en-US" w:eastAsia="zh-CN"/>
                      <w14:textFill>
                        <w14:solidFill>
                          <w14:schemeClr w14:val="tx1"/>
                        </w14:solidFill>
                      </w14:textFill>
                    </w:rPr>
                    <w:t>苯系物、臭气浓度</w:t>
                  </w:r>
                  <w:r>
                    <w:rPr>
                      <w:color w:val="000000" w:themeColor="text1"/>
                      <w:sz w:val="21"/>
                      <w:szCs w:val="21"/>
                      <w14:textFill>
                        <w14:solidFill>
                          <w14:schemeClr w14:val="tx1"/>
                        </w14:solidFill>
                      </w14:textFill>
                    </w:rPr>
                    <w:t>）</w:t>
                  </w:r>
                </w:p>
              </w:tc>
              <w:tc>
                <w:tcPr>
                  <w:tcW w:w="727" w:type="pct"/>
                  <w:vAlign w:val="center"/>
                </w:tcPr>
                <w:p w14:paraId="27582827">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密闭收集</w:t>
                  </w:r>
                </w:p>
              </w:tc>
              <w:tc>
                <w:tcPr>
                  <w:tcW w:w="539" w:type="pct"/>
                  <w:vAlign w:val="center"/>
                </w:tcPr>
                <w:p w14:paraId="3514FCF5">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90%</w:t>
                  </w:r>
                </w:p>
              </w:tc>
              <w:tc>
                <w:tcPr>
                  <w:tcW w:w="675" w:type="pct"/>
                  <w:vMerge w:val="continue"/>
                  <w:vAlign w:val="center"/>
                </w:tcPr>
                <w:p w14:paraId="1621E2CB">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p>
              </w:tc>
              <w:tc>
                <w:tcPr>
                  <w:tcW w:w="370" w:type="pct"/>
                  <w:vAlign w:val="center"/>
                </w:tcPr>
                <w:p w14:paraId="2C4CAC1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w:t>
                  </w:r>
                </w:p>
              </w:tc>
              <w:tc>
                <w:tcPr>
                  <w:tcW w:w="342" w:type="pct"/>
                  <w:vMerge w:val="continue"/>
                  <w:vAlign w:val="center"/>
                </w:tcPr>
                <w:p w14:paraId="2B739A78">
                  <w:pPr>
                    <w:pageBreakBefore w:val="0"/>
                    <w:wordWrap w:val="0"/>
                    <w:topLinePunct/>
                    <w:bidi w:val="0"/>
                    <w:spacing w:beforeAutospacing="0" w:afterAutospacing="0"/>
                    <w:jc w:val="center"/>
                    <w:rPr>
                      <w:rFonts w:eastAsiaTheme="minorEastAsia"/>
                      <w:color w:val="000000" w:themeColor="text1"/>
                      <w:sz w:val="21"/>
                      <w:szCs w:val="21"/>
                      <w14:textFill>
                        <w14:solidFill>
                          <w14:schemeClr w14:val="tx1"/>
                        </w14:solidFill>
                      </w14:textFill>
                    </w:rPr>
                  </w:pPr>
                </w:p>
              </w:tc>
              <w:tc>
                <w:tcPr>
                  <w:tcW w:w="440" w:type="pct"/>
                  <w:vMerge w:val="continue"/>
                  <w:vAlign w:val="center"/>
                </w:tcPr>
                <w:p w14:paraId="26255E83">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p>
              </w:tc>
            </w:tr>
            <w:tr w14:paraId="6C97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4" w:type="pct"/>
                  <w:vMerge w:val="continue"/>
                  <w:vAlign w:val="center"/>
                </w:tcPr>
                <w:p w14:paraId="48DAAF98">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p>
              </w:tc>
              <w:tc>
                <w:tcPr>
                  <w:tcW w:w="428" w:type="pct"/>
                  <w:vMerge w:val="continue"/>
                  <w:vAlign w:val="center"/>
                </w:tcPr>
                <w:p w14:paraId="3D1B846D">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p>
              </w:tc>
              <w:tc>
                <w:tcPr>
                  <w:tcW w:w="398" w:type="pct"/>
                  <w:vAlign w:val="center"/>
                </w:tcPr>
                <w:p w14:paraId="7369E5D0">
                  <w:pPr>
                    <w:pageBreakBefore w:val="0"/>
                    <w:wordWrap w:val="0"/>
                    <w:topLinePunct/>
                    <w:bidi w:val="0"/>
                    <w:spacing w:beforeAutospacing="0" w:afterAutospacing="0"/>
                    <w:jc w:val="center"/>
                    <w:rPr>
                      <w:rFonts w:eastAsiaTheme="minorEastAsia"/>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喷漆</w:t>
                  </w:r>
                </w:p>
              </w:tc>
              <w:tc>
                <w:tcPr>
                  <w:tcW w:w="622" w:type="pct"/>
                  <w:vAlign w:val="center"/>
                </w:tcPr>
                <w:p w14:paraId="7014E5F3">
                  <w:pPr>
                    <w:pageBreakBefore w:val="0"/>
                    <w:wordWrap w:val="0"/>
                    <w:topLinePunct/>
                    <w:bidi w:val="0"/>
                    <w:spacing w:beforeAutospacing="0" w:afterAutospacing="0"/>
                    <w:jc w:val="center"/>
                    <w:rPr>
                      <w:rFonts w:eastAsiaTheme="minorEastAsia"/>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漆雾（颗粒物）</w:t>
                  </w:r>
                </w:p>
              </w:tc>
              <w:tc>
                <w:tcPr>
                  <w:tcW w:w="727" w:type="pct"/>
                  <w:vAlign w:val="center"/>
                </w:tcPr>
                <w:p w14:paraId="1FA55E89">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密闭收集</w:t>
                  </w:r>
                </w:p>
              </w:tc>
              <w:tc>
                <w:tcPr>
                  <w:tcW w:w="539" w:type="pct"/>
                  <w:vAlign w:val="center"/>
                </w:tcPr>
                <w:p w14:paraId="43740B91">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90%</w:t>
                  </w:r>
                </w:p>
              </w:tc>
              <w:tc>
                <w:tcPr>
                  <w:tcW w:w="675" w:type="pct"/>
                  <w:vMerge w:val="continue"/>
                  <w:vAlign w:val="center"/>
                </w:tcPr>
                <w:p w14:paraId="679E7CB5">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p>
              </w:tc>
              <w:tc>
                <w:tcPr>
                  <w:tcW w:w="370" w:type="pct"/>
                  <w:vAlign w:val="center"/>
                </w:tcPr>
                <w:p w14:paraId="3BF4B8AE">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99%</w:t>
                  </w:r>
                </w:p>
              </w:tc>
              <w:tc>
                <w:tcPr>
                  <w:tcW w:w="342" w:type="pct"/>
                  <w:vMerge w:val="continue"/>
                  <w:vAlign w:val="center"/>
                </w:tcPr>
                <w:p w14:paraId="3EF0013D">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p>
              </w:tc>
              <w:tc>
                <w:tcPr>
                  <w:tcW w:w="440" w:type="pct"/>
                  <w:vMerge w:val="continue"/>
                  <w:vAlign w:val="center"/>
                </w:tcPr>
                <w:p w14:paraId="6B5D281E">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p>
              </w:tc>
            </w:tr>
            <w:tr w14:paraId="1D1D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4" w:type="pct"/>
                  <w:vMerge w:val="continue"/>
                  <w:vAlign w:val="center"/>
                </w:tcPr>
                <w:p w14:paraId="07CEF7FB">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p>
              </w:tc>
              <w:tc>
                <w:tcPr>
                  <w:tcW w:w="428" w:type="pct"/>
                  <w:vMerge w:val="continue"/>
                  <w:vAlign w:val="center"/>
                </w:tcPr>
                <w:p w14:paraId="456EF9A9">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p>
              </w:tc>
              <w:tc>
                <w:tcPr>
                  <w:tcW w:w="398" w:type="pct"/>
                  <w:vAlign w:val="center"/>
                </w:tcPr>
                <w:p w14:paraId="37DD5FB9">
                  <w:pPr>
                    <w:pageBreakBefore w:val="0"/>
                    <w:wordWrap w:val="0"/>
                    <w:topLinePunct/>
                    <w:bidi w:val="0"/>
                    <w:spacing w:beforeAutospacing="0" w:afterAutospacing="0"/>
                    <w:jc w:val="center"/>
                    <w:rPr>
                      <w:rFonts w:eastAsiaTheme="minorEastAsia"/>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喷枪清洗</w:t>
                  </w:r>
                </w:p>
              </w:tc>
              <w:tc>
                <w:tcPr>
                  <w:tcW w:w="622" w:type="pct"/>
                  <w:vAlign w:val="center"/>
                </w:tcPr>
                <w:p w14:paraId="6CD62CA3">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有机废气</w:t>
                  </w:r>
                </w:p>
              </w:tc>
              <w:tc>
                <w:tcPr>
                  <w:tcW w:w="727" w:type="pct"/>
                  <w:vAlign w:val="center"/>
                </w:tcPr>
                <w:p w14:paraId="325D86F8">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密闭收集</w:t>
                  </w:r>
                </w:p>
              </w:tc>
              <w:tc>
                <w:tcPr>
                  <w:tcW w:w="539" w:type="pct"/>
                  <w:vAlign w:val="center"/>
                </w:tcPr>
                <w:p w14:paraId="2F680674">
                  <w:pPr>
                    <w:pageBreakBefore w:val="0"/>
                    <w:wordWrap w:val="0"/>
                    <w:topLinePunct/>
                    <w:bidi w:val="0"/>
                    <w:spacing w:beforeAutospacing="0" w:afterAutospacing="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675" w:type="pct"/>
                  <w:vMerge w:val="continue"/>
                  <w:vAlign w:val="center"/>
                </w:tcPr>
                <w:p w14:paraId="694CBBD9">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p>
              </w:tc>
              <w:tc>
                <w:tcPr>
                  <w:tcW w:w="370" w:type="pct"/>
                  <w:vAlign w:val="center"/>
                </w:tcPr>
                <w:p w14:paraId="661F0B58">
                  <w:pPr>
                    <w:pageBreakBefore w:val="0"/>
                    <w:wordWrap w:val="0"/>
                    <w:topLinePunct/>
                    <w:bidi w:val="0"/>
                    <w:spacing w:beforeAutospacing="0" w:afterAutospacing="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342" w:type="pct"/>
                  <w:vMerge w:val="continue"/>
                  <w:vAlign w:val="center"/>
                </w:tcPr>
                <w:p w14:paraId="784456CA">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p>
              </w:tc>
              <w:tc>
                <w:tcPr>
                  <w:tcW w:w="440" w:type="pct"/>
                  <w:vMerge w:val="continue"/>
                  <w:vAlign w:val="center"/>
                </w:tcPr>
                <w:p w14:paraId="52ED12C4">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p>
              </w:tc>
            </w:tr>
            <w:tr w14:paraId="1B9D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4" w:type="pct"/>
                  <w:vMerge w:val="restart"/>
                  <w:vAlign w:val="center"/>
                </w:tcPr>
                <w:p w14:paraId="2DDBC08B">
                  <w:pPr>
                    <w:pageBreakBefore w:val="0"/>
                    <w:wordWrap w:val="0"/>
                    <w:topLinePunct/>
                    <w:bidi w:val="0"/>
                    <w:spacing w:beforeAutospacing="0" w:afterAutospacing="0"/>
                    <w:jc w:val="center"/>
                    <w:rPr>
                      <w:rFonts w:hint="default" w:eastAsiaTheme="minorEastAsia"/>
                      <w:color w:val="000000" w:themeColor="text1"/>
                      <w:sz w:val="21"/>
                      <w:szCs w:val="21"/>
                      <w:lang w:val="en-US" w:eastAsia="zh-CN"/>
                      <w14:textFill>
                        <w14:solidFill>
                          <w14:schemeClr w14:val="tx1"/>
                        </w14:solidFill>
                      </w14:textFill>
                    </w:rPr>
                  </w:pPr>
                  <w:r>
                    <w:rPr>
                      <w:rFonts w:hint="eastAsia" w:eastAsiaTheme="minorEastAsia"/>
                      <w:color w:val="000000" w:themeColor="text1"/>
                      <w:sz w:val="21"/>
                      <w:szCs w:val="21"/>
                      <w:lang w:val="en-US" w:eastAsia="zh-CN"/>
                      <w14:textFill>
                        <w14:solidFill>
                          <w14:schemeClr w14:val="tx1"/>
                        </w14:solidFill>
                      </w14:textFill>
                    </w:rPr>
                    <w:t>四号车间</w:t>
                  </w:r>
                </w:p>
              </w:tc>
              <w:tc>
                <w:tcPr>
                  <w:tcW w:w="428" w:type="pct"/>
                  <w:vMerge w:val="restart"/>
                  <w:vAlign w:val="center"/>
                </w:tcPr>
                <w:p w14:paraId="5B2266C5">
                  <w:pPr>
                    <w:pageBreakBefore w:val="0"/>
                    <w:wordWrap w:val="0"/>
                    <w:topLinePunct/>
                    <w:bidi w:val="0"/>
                    <w:spacing w:beforeAutospacing="0" w:afterAutospacing="0"/>
                    <w:jc w:val="center"/>
                    <w:rPr>
                      <w:rFonts w:hint="default" w:eastAsiaTheme="minorEastAsia"/>
                      <w:color w:val="000000" w:themeColor="text1"/>
                      <w:sz w:val="21"/>
                      <w:szCs w:val="21"/>
                      <w:lang w:val="en-US" w:eastAsia="zh-CN"/>
                      <w14:textFill>
                        <w14:solidFill>
                          <w14:schemeClr w14:val="tx1"/>
                        </w14:solidFill>
                      </w14:textFill>
                    </w:rPr>
                  </w:pPr>
                  <w:r>
                    <w:rPr>
                      <w:rFonts w:hint="eastAsia" w:eastAsiaTheme="minorEastAsia"/>
                      <w:color w:val="000000" w:themeColor="text1"/>
                      <w:sz w:val="21"/>
                      <w:szCs w:val="21"/>
                      <w:lang w:val="en-US" w:eastAsia="zh-CN"/>
                      <w14:textFill>
                        <w14:solidFill>
                          <w14:schemeClr w14:val="tx1"/>
                        </w14:solidFill>
                      </w14:textFill>
                    </w:rPr>
                    <w:t>固化工序</w:t>
                  </w:r>
                </w:p>
              </w:tc>
              <w:tc>
                <w:tcPr>
                  <w:tcW w:w="398" w:type="pct"/>
                  <w:vAlign w:val="center"/>
                </w:tcPr>
                <w:p w14:paraId="62F73B3B">
                  <w:pPr>
                    <w:pageBreakBefore w:val="0"/>
                    <w:wordWrap w:val="0"/>
                    <w:topLinePunct/>
                    <w:bidi w:val="0"/>
                    <w:spacing w:beforeAutospacing="0" w:afterAutospacing="0"/>
                    <w:jc w:val="center"/>
                    <w:rPr>
                      <w:rFonts w:hint="eastAsia" w:eastAsiaTheme="minorEastAsia"/>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val="en-US" w:eastAsia="zh-CN"/>
                      <w14:textFill>
                        <w14:solidFill>
                          <w14:schemeClr w14:val="tx1"/>
                        </w14:solidFill>
                      </w14:textFill>
                    </w:rPr>
                    <w:t>固化</w:t>
                  </w:r>
                </w:p>
              </w:tc>
              <w:tc>
                <w:tcPr>
                  <w:tcW w:w="622" w:type="pct"/>
                  <w:vAlign w:val="center"/>
                </w:tcPr>
                <w:p w14:paraId="60478C4B">
                  <w:pPr>
                    <w:pageBreakBefore w:val="0"/>
                    <w:wordWrap w:val="0"/>
                    <w:topLinePunct/>
                    <w:bidi w:val="0"/>
                    <w:spacing w:beforeAutospacing="0" w:afterAutospacing="0"/>
                    <w:jc w:val="center"/>
                    <w:rPr>
                      <w:rFonts w:eastAsiaTheme="minorEastAsia"/>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有机废气（VOCs、</w:t>
                  </w:r>
                  <w:r>
                    <w:rPr>
                      <w:rFonts w:hint="eastAsia"/>
                      <w:color w:val="000000" w:themeColor="text1"/>
                      <w:sz w:val="21"/>
                      <w:szCs w:val="21"/>
                      <w:lang w:val="en-US" w:eastAsia="zh-CN"/>
                      <w14:textFill>
                        <w14:solidFill>
                          <w14:schemeClr w14:val="tx1"/>
                        </w14:solidFill>
                      </w14:textFill>
                    </w:rPr>
                    <w:t>苯系物</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臭气浓度</w:t>
                  </w:r>
                  <w:r>
                    <w:rPr>
                      <w:color w:val="000000" w:themeColor="text1"/>
                      <w:sz w:val="21"/>
                      <w:szCs w:val="21"/>
                      <w14:textFill>
                        <w14:solidFill>
                          <w14:schemeClr w14:val="tx1"/>
                        </w14:solidFill>
                      </w14:textFill>
                    </w:rPr>
                    <w:t>）</w:t>
                  </w:r>
                </w:p>
              </w:tc>
              <w:tc>
                <w:tcPr>
                  <w:tcW w:w="727" w:type="pct"/>
                  <w:vAlign w:val="center"/>
                </w:tcPr>
                <w:p w14:paraId="51DA0C33">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密闭负压收集</w:t>
                  </w:r>
                </w:p>
              </w:tc>
              <w:tc>
                <w:tcPr>
                  <w:tcW w:w="539" w:type="pct"/>
                  <w:vAlign w:val="center"/>
                </w:tcPr>
                <w:p w14:paraId="16D595B7">
                  <w:pPr>
                    <w:pageBreakBefore w:val="0"/>
                    <w:wordWrap w:val="0"/>
                    <w:topLinePunct/>
                    <w:bidi w:val="0"/>
                    <w:spacing w:beforeAutospacing="0" w:afterAutospacing="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95%</w:t>
                  </w:r>
                </w:p>
              </w:tc>
              <w:tc>
                <w:tcPr>
                  <w:tcW w:w="675" w:type="pct"/>
                  <w:vMerge w:val="restart"/>
                  <w:vAlign w:val="center"/>
                </w:tcPr>
                <w:p w14:paraId="05FD7E8E">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喷淋塔+干式过滤器+</w:t>
                  </w:r>
                  <w:r>
                    <w:rPr>
                      <w:rFonts w:hint="eastAsia"/>
                      <w:color w:val="000000" w:themeColor="text1"/>
                      <w:lang w:val="en-US" w:eastAsia="zh-CN"/>
                      <w14:textFill>
                        <w14:solidFill>
                          <w14:schemeClr w14:val="tx1"/>
                        </w14:solidFill>
                      </w14:textFill>
                    </w:rPr>
                    <w:t>二级活性炭吸附</w:t>
                  </w:r>
                </w:p>
              </w:tc>
              <w:tc>
                <w:tcPr>
                  <w:tcW w:w="370" w:type="pct"/>
                  <w:vAlign w:val="center"/>
                </w:tcPr>
                <w:p w14:paraId="6B30C190">
                  <w:pPr>
                    <w:pageBreakBefore w:val="0"/>
                    <w:wordWrap w:val="0"/>
                    <w:topLinePunct/>
                    <w:bidi w:val="0"/>
                    <w:spacing w:beforeAutospacing="0" w:afterAutospacing="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80%</w:t>
                  </w:r>
                </w:p>
              </w:tc>
              <w:tc>
                <w:tcPr>
                  <w:tcW w:w="342" w:type="pct"/>
                  <w:vMerge w:val="restart"/>
                  <w:vAlign w:val="center"/>
                </w:tcPr>
                <w:p w14:paraId="34E9013D">
                  <w:pPr>
                    <w:pageBreakBefore w:val="0"/>
                    <w:wordWrap w:val="0"/>
                    <w:topLinePunct/>
                    <w:bidi w:val="0"/>
                    <w:spacing w:beforeAutospacing="0" w:afterAutospacing="0"/>
                    <w:jc w:val="center"/>
                    <w:rPr>
                      <w:rFonts w:eastAsiaTheme="minorEastAsia"/>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有组织</w:t>
                  </w:r>
                </w:p>
              </w:tc>
              <w:tc>
                <w:tcPr>
                  <w:tcW w:w="440" w:type="pct"/>
                  <w:vMerge w:val="restart"/>
                  <w:vAlign w:val="center"/>
                </w:tcPr>
                <w:p w14:paraId="00B65598">
                  <w:pPr>
                    <w:pageBreakBefore w:val="0"/>
                    <w:wordWrap w:val="0"/>
                    <w:topLinePunct/>
                    <w:bidi w:val="0"/>
                    <w:spacing w:beforeAutospacing="0" w:afterAutospacing="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DA00</w:t>
                  </w:r>
                  <w:r>
                    <w:rPr>
                      <w:rFonts w:hint="eastAsia"/>
                      <w:color w:val="000000" w:themeColor="text1"/>
                      <w:sz w:val="21"/>
                      <w:szCs w:val="21"/>
                      <w:lang w:val="en-US" w:eastAsia="zh-CN"/>
                      <w14:textFill>
                        <w14:solidFill>
                          <w14:schemeClr w14:val="tx1"/>
                        </w14:solidFill>
                      </w14:textFill>
                    </w:rPr>
                    <w:t>2</w:t>
                  </w:r>
                </w:p>
              </w:tc>
            </w:tr>
            <w:tr w14:paraId="5248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4" w:type="pct"/>
                  <w:vMerge w:val="continue"/>
                  <w:vAlign w:val="center"/>
                </w:tcPr>
                <w:p w14:paraId="2EE69F3E">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p>
              </w:tc>
              <w:tc>
                <w:tcPr>
                  <w:tcW w:w="428" w:type="pct"/>
                  <w:vMerge w:val="continue"/>
                  <w:vAlign w:val="center"/>
                </w:tcPr>
                <w:p w14:paraId="1B80390B">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p>
              </w:tc>
              <w:tc>
                <w:tcPr>
                  <w:tcW w:w="398" w:type="pct"/>
                  <w:vAlign w:val="center"/>
                </w:tcPr>
                <w:p w14:paraId="056DFB0E">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天然气燃烧</w:t>
                  </w:r>
                </w:p>
              </w:tc>
              <w:tc>
                <w:tcPr>
                  <w:tcW w:w="622" w:type="pct"/>
                  <w:vAlign w:val="center"/>
                </w:tcPr>
                <w:p w14:paraId="2BCC69E2">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二氧化硫、氮氧化物、烟尘</w:t>
                  </w:r>
                </w:p>
              </w:tc>
              <w:tc>
                <w:tcPr>
                  <w:tcW w:w="727" w:type="pct"/>
                  <w:vAlign w:val="center"/>
                </w:tcPr>
                <w:p w14:paraId="7DABC373">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r>
                    <w:rPr>
                      <w:color w:val="000000" w:themeColor="text1"/>
                      <w:kern w:val="2"/>
                      <w:sz w:val="21"/>
                      <w:szCs w:val="21"/>
                      <w14:textFill>
                        <w14:solidFill>
                          <w14:schemeClr w14:val="tx1"/>
                        </w14:solidFill>
                      </w14:textFill>
                    </w:rPr>
                    <w:t>直连排风管</w:t>
                  </w:r>
                </w:p>
              </w:tc>
              <w:tc>
                <w:tcPr>
                  <w:tcW w:w="539" w:type="pct"/>
                  <w:vAlign w:val="center"/>
                </w:tcPr>
                <w:p w14:paraId="3EE086E2">
                  <w:pPr>
                    <w:pageBreakBefore w:val="0"/>
                    <w:wordWrap w:val="0"/>
                    <w:topLinePunct/>
                    <w:bidi w:val="0"/>
                    <w:spacing w:beforeAutospacing="0" w:afterAutospacing="0"/>
                    <w:jc w:val="center"/>
                    <w:rPr>
                      <w:rFonts w:hint="default" w:eastAsia="宋体"/>
                      <w:color w:val="000000" w:themeColor="text1"/>
                      <w:kern w:val="2"/>
                      <w:sz w:val="21"/>
                      <w:szCs w:val="21"/>
                      <w:lang w:val="en-US" w:eastAsia="zh-CN"/>
                      <w14:textFill>
                        <w14:solidFill>
                          <w14:schemeClr w14:val="tx1"/>
                        </w14:solidFill>
                      </w14:textFill>
                    </w:rPr>
                  </w:pPr>
                  <w:r>
                    <w:rPr>
                      <w:rFonts w:hint="eastAsia"/>
                      <w:color w:val="000000" w:themeColor="text1"/>
                      <w:kern w:val="2"/>
                      <w:sz w:val="21"/>
                      <w:szCs w:val="21"/>
                      <w:lang w:val="en-US" w:eastAsia="zh-CN"/>
                      <w14:textFill>
                        <w14:solidFill>
                          <w14:schemeClr w14:val="tx1"/>
                        </w14:solidFill>
                      </w14:textFill>
                    </w:rPr>
                    <w:t>100%</w:t>
                  </w:r>
                </w:p>
              </w:tc>
              <w:tc>
                <w:tcPr>
                  <w:tcW w:w="675" w:type="pct"/>
                  <w:vMerge w:val="continue"/>
                  <w:vAlign w:val="center"/>
                </w:tcPr>
                <w:p w14:paraId="070C1528">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p>
              </w:tc>
              <w:tc>
                <w:tcPr>
                  <w:tcW w:w="370" w:type="pct"/>
                  <w:vAlign w:val="center"/>
                </w:tcPr>
                <w:p w14:paraId="52A1EB99">
                  <w:pPr>
                    <w:pageBreakBefore w:val="0"/>
                    <w:wordWrap w:val="0"/>
                    <w:topLinePunct/>
                    <w:bidi w:val="0"/>
                    <w:spacing w:beforeAutospacing="0" w:afterAutospacing="0"/>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342" w:type="pct"/>
                  <w:vMerge w:val="continue"/>
                  <w:vAlign w:val="center"/>
                </w:tcPr>
                <w:p w14:paraId="48D5406D">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p>
              </w:tc>
              <w:tc>
                <w:tcPr>
                  <w:tcW w:w="440" w:type="pct"/>
                  <w:vMerge w:val="continue"/>
                  <w:vAlign w:val="center"/>
                </w:tcPr>
                <w:p w14:paraId="3AC277BC">
                  <w:pPr>
                    <w:pageBreakBefore w:val="0"/>
                    <w:wordWrap w:val="0"/>
                    <w:topLinePunct/>
                    <w:bidi w:val="0"/>
                    <w:spacing w:beforeAutospacing="0" w:afterAutospacing="0"/>
                    <w:jc w:val="center"/>
                    <w:rPr>
                      <w:color w:val="000000" w:themeColor="text1"/>
                      <w:sz w:val="21"/>
                      <w:szCs w:val="21"/>
                      <w14:textFill>
                        <w14:solidFill>
                          <w14:schemeClr w14:val="tx1"/>
                        </w14:solidFill>
                      </w14:textFill>
                    </w:rPr>
                  </w:pPr>
                </w:p>
              </w:tc>
            </w:tr>
          </w:tbl>
          <w:p w14:paraId="3A9AB251">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1</w:t>
            </w: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w:t>
            </w:r>
            <w:r>
              <w:rPr>
                <w:rFonts w:hint="eastAsia" w:cs="Times New Roman"/>
                <w:b/>
                <w:bCs/>
                <w:color w:val="000000" w:themeColor="text1"/>
                <w:sz w:val="24"/>
                <w:szCs w:val="24"/>
                <w:highlight w:val="none"/>
                <w:lang w:val="en-US" w:eastAsia="zh-CN"/>
                <w14:textFill>
                  <w14:solidFill>
                    <w14:schemeClr w14:val="tx1"/>
                  </w14:solidFill>
                </w14:textFill>
              </w:rPr>
              <w:t>2</w:t>
            </w: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 xml:space="preserve">.8 </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污水处理站恶臭</w:t>
            </w:r>
          </w:p>
          <w:p w14:paraId="62E28C9B">
            <w:pPr>
              <w:pStyle w:val="158"/>
              <w:keepNext w:val="0"/>
              <w:keepLines w:val="0"/>
              <w:suppressLineNumbers w:val="0"/>
              <w:snapToGrid/>
              <w:spacing w:before="0" w:beforeAutospacing="0" w:after="0" w:afterAutospacing="0" w:line="360" w:lineRule="auto"/>
              <w:ind w:left="0" w:right="0" w:firstLine="480"/>
              <w:outlineLvl w:val="9"/>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污水处理站废水处理产生的废气主要为硫化氢、氨、臭气浓度</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酸雾</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其中酸雾来源于pH调整剂（70%硫酸）的使用，由于其储存于密闭的容器中，非取用状态时加盖、封口，保持密闭，项目仅为调节废水pH，不存在酸洗等过程</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pH调整剂（70%硫酸）在常温及稀释状态下几乎不挥发，且储存容器密闭，因此不考虑其酸雾挥发对周围环境的影响，本项目忽略不计</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不作定量分析，污水处理站采取加盖密闭、加强通风措施后无组织排放，经处理后预计能够满足《恶臭污染物排放标准》（GB14554-1993）表1恶臭污染物新扩改建厂界标准值二级标准，生产异味对周边环境的影响不大。</w:t>
            </w:r>
          </w:p>
          <w:p w14:paraId="7661A0DD">
            <w:pPr>
              <w:widowControl w:val="0"/>
              <w:kinsoku/>
              <w:autoSpaceDE/>
              <w:autoSpaceDN/>
              <w:adjustRightInd/>
              <w:snapToGrid/>
              <w:spacing w:line="360" w:lineRule="auto"/>
              <w:ind w:firstLine="470" w:firstLineChars="200"/>
              <w:jc w:val="both"/>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eastAsia" w:cs="Times New Roman"/>
                <w:b/>
                <w:bCs/>
                <w:color w:val="000000" w:themeColor="text1"/>
                <w:spacing w:val="-3"/>
                <w:sz w:val="24"/>
                <w:szCs w:val="24"/>
                <w:highlight w:val="none"/>
                <w:lang w:val="en-US" w:eastAsia="zh-CN"/>
                <w14:textFill>
                  <w14:solidFill>
                    <w14:schemeClr w14:val="tx1"/>
                  </w14:solidFill>
                </w14:textFill>
              </w:rPr>
              <w:t>1</w:t>
            </w:r>
            <w:r>
              <w:rPr>
                <w:rFonts w:hint="default" w:ascii="Times New Roman" w:hAnsi="Times New Roman" w:cs="Times New Roman"/>
                <w:b/>
                <w:bCs/>
                <w:color w:val="000000" w:themeColor="text1"/>
                <w:spacing w:val="-3"/>
                <w:sz w:val="24"/>
                <w:szCs w:val="24"/>
                <w:highlight w:val="none"/>
                <w:lang w:val="en-US" w:eastAsia="zh-CN"/>
                <w14:textFill>
                  <w14:solidFill>
                    <w14:schemeClr w14:val="tx1"/>
                  </w14:solidFill>
                </w14:textFill>
              </w:rPr>
              <w:t>.</w:t>
            </w:r>
            <w:r>
              <w:rPr>
                <w:rFonts w:hint="eastAsia" w:cs="Times New Roman"/>
                <w:b/>
                <w:bCs/>
                <w:color w:val="000000" w:themeColor="text1"/>
                <w:spacing w:val="-3"/>
                <w:sz w:val="24"/>
                <w:szCs w:val="24"/>
                <w:highlight w:val="none"/>
                <w:lang w:val="en-US" w:eastAsia="zh-CN"/>
                <w14:textFill>
                  <w14:solidFill>
                    <w14:schemeClr w14:val="tx1"/>
                  </w14:solidFill>
                </w14:textFill>
              </w:rPr>
              <w:t>2</w:t>
            </w:r>
            <w:r>
              <w:rPr>
                <w:rFonts w:hint="default" w:ascii="Times New Roman" w:hAnsi="Times New Roman" w:cs="Times New Roman"/>
                <w:b/>
                <w:bCs/>
                <w:color w:val="000000" w:themeColor="text1"/>
                <w:spacing w:val="-3"/>
                <w:sz w:val="24"/>
                <w:szCs w:val="24"/>
                <w:highlight w:val="none"/>
                <w:lang w:val="en-US" w:eastAsia="zh-CN"/>
                <w14:textFill>
                  <w14:solidFill>
                    <w14:schemeClr w14:val="tx1"/>
                  </w14:solidFill>
                </w14:textFill>
              </w:rPr>
              <w:t>.</w:t>
            </w:r>
            <w:r>
              <w:rPr>
                <w:rFonts w:hint="eastAsia" w:ascii="Times New Roman" w:hAnsi="Times New Roman" w:cs="Times New Roman"/>
                <w:b/>
                <w:bCs/>
                <w:color w:val="000000" w:themeColor="text1"/>
                <w:spacing w:val="-3"/>
                <w:sz w:val="24"/>
                <w:szCs w:val="24"/>
                <w:highlight w:val="none"/>
                <w:lang w:val="en-US" w:eastAsia="zh-CN"/>
                <w14:textFill>
                  <w14:solidFill>
                    <w14:schemeClr w14:val="tx1"/>
                  </w14:solidFill>
                </w14:textFill>
              </w:rPr>
              <w:t>9</w:t>
            </w:r>
            <w:r>
              <w:rPr>
                <w:rFonts w:hint="default" w:ascii="Times New Roman" w:hAnsi="Times New Roman" w:cs="Times New Roman"/>
                <w:b/>
                <w:bCs/>
                <w:color w:val="000000" w:themeColor="text1"/>
                <w:spacing w:val="-3"/>
                <w:sz w:val="24"/>
                <w:szCs w:val="24"/>
                <w:highlight w:val="none"/>
                <w14:textFill>
                  <w14:solidFill>
                    <w14:schemeClr w14:val="tx1"/>
                  </w14:solidFill>
                </w14:textFill>
              </w:rPr>
              <w:t>厨房油烟废气</w:t>
            </w:r>
          </w:p>
          <w:p w14:paraId="1E72099A">
            <w:pPr>
              <w:widowControl w:val="0"/>
              <w:kinsoku/>
              <w:autoSpaceDE/>
              <w:autoSpaceDN/>
              <w:adjustRightInd/>
              <w:snapToGrid/>
              <w:spacing w:line="360" w:lineRule="auto"/>
              <w:ind w:firstLine="480" w:firstLineChars="200"/>
              <w:jc w:val="both"/>
              <w:textAlignment w:val="auto"/>
              <w:rPr>
                <w:rFonts w:hint="default" w:ascii="Times New Roman" w:hAnsi="Times New Roman" w:eastAsia="宋体" w:cs="Times New Roman"/>
                <w:snapToGrid/>
                <w:color w:val="000000" w:themeColor="text1"/>
                <w:kern w:val="0"/>
                <w:sz w:val="24"/>
                <w:szCs w:val="24"/>
                <w:highlight w:val="none"/>
                <w:lang w:eastAsia="zh-CN"/>
                <w14:textFill>
                  <w14:solidFill>
                    <w14:schemeClr w14:val="tx1"/>
                  </w14:solidFill>
                </w14:textFill>
              </w:rPr>
            </w:pPr>
            <w:r>
              <w:rPr>
                <w:rFonts w:hint="default" w:ascii="Times New Roman" w:hAnsi="Times New Roman" w:eastAsia="宋体" w:cs="Times New Roman"/>
                <w:snapToGrid/>
                <w:color w:val="000000" w:themeColor="text1"/>
                <w:kern w:val="0"/>
                <w:sz w:val="24"/>
                <w:szCs w:val="24"/>
                <w:highlight w:val="none"/>
                <w:lang w:eastAsia="zh-CN"/>
                <w14:textFill>
                  <w14:solidFill>
                    <w14:schemeClr w14:val="tx1"/>
                  </w14:solidFill>
                </w14:textFill>
              </w:rPr>
              <w:t>本项目拟设厨房灶炉</w:t>
            </w:r>
            <w:r>
              <w:rPr>
                <w:rFonts w:hint="default" w:ascii="Times New Roman" w:hAnsi="Times New Roman" w:eastAsia="宋体" w:cs="Times New Roman"/>
                <w:snapToGrid/>
                <w:color w:val="000000" w:themeColor="text1"/>
                <w:kern w:val="0"/>
                <w:sz w:val="24"/>
                <w:szCs w:val="24"/>
                <w:highlight w:val="none"/>
                <w:lang w:val="en-US" w:eastAsia="zh-CN"/>
                <w14:textFill>
                  <w14:solidFill>
                    <w14:schemeClr w14:val="tx1"/>
                  </w14:solidFill>
                </w14:textFill>
              </w:rPr>
              <w:t>3</w:t>
            </w:r>
            <w:r>
              <w:rPr>
                <w:rFonts w:hint="default" w:ascii="Times New Roman" w:hAnsi="Times New Roman" w:eastAsia="宋体" w:cs="Times New Roman"/>
                <w:snapToGrid/>
                <w:color w:val="000000" w:themeColor="text1"/>
                <w:kern w:val="0"/>
                <w:sz w:val="24"/>
                <w:szCs w:val="24"/>
                <w:highlight w:val="none"/>
                <w:lang w:eastAsia="zh-CN"/>
                <w14:textFill>
                  <w14:solidFill>
                    <w14:schemeClr w14:val="tx1"/>
                  </w14:solidFill>
                </w14:textFill>
              </w:rPr>
              <w:t>个，属于</w:t>
            </w:r>
            <w:r>
              <w:rPr>
                <w:rFonts w:hint="default" w:ascii="Times New Roman" w:hAnsi="Times New Roman" w:eastAsia="宋体" w:cs="Times New Roman"/>
                <w:snapToGrid/>
                <w:color w:val="000000" w:themeColor="text1"/>
                <w:kern w:val="0"/>
                <w:sz w:val="24"/>
                <w:szCs w:val="24"/>
                <w:highlight w:val="none"/>
                <w:lang w:val="en-US" w:eastAsia="zh-CN"/>
                <w14:textFill>
                  <w14:solidFill>
                    <w14:schemeClr w14:val="tx1"/>
                  </w14:solidFill>
                </w14:textFill>
              </w:rPr>
              <w:t>中</w:t>
            </w:r>
            <w:r>
              <w:rPr>
                <w:rFonts w:hint="default" w:ascii="Times New Roman" w:hAnsi="Times New Roman" w:eastAsia="宋体" w:cs="Times New Roman"/>
                <w:snapToGrid/>
                <w:color w:val="000000" w:themeColor="text1"/>
                <w:kern w:val="0"/>
                <w:sz w:val="24"/>
                <w:szCs w:val="24"/>
                <w:highlight w:val="none"/>
                <w:lang w:eastAsia="zh-CN"/>
                <w14:textFill>
                  <w14:solidFill>
                    <w14:schemeClr w14:val="tx1"/>
                  </w14:solidFill>
                </w14:textFill>
              </w:rPr>
              <w:t>型规模，以液化石油气为能源，是清洁能源，燃烧过程中产生的大气污染物较少，对环境影响不大。</w:t>
            </w:r>
            <w:r>
              <w:rPr>
                <w:rFonts w:hint="default" w:ascii="Times New Roman" w:hAnsi="Times New Roman" w:eastAsia="宋体" w:cs="Times New Roman"/>
                <w:color w:val="000000" w:themeColor="text1"/>
                <w:sz w:val="24"/>
                <w:szCs w:val="24"/>
                <w:highlight w:val="none"/>
                <w14:textFill>
                  <w14:solidFill>
                    <w14:schemeClr w14:val="tx1"/>
                  </w14:solidFill>
                </w14:textFill>
              </w:rPr>
              <w:t>本项目拟雇佣员工1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14:textFill>
                  <w14:solidFill>
                    <w14:schemeClr w14:val="tx1"/>
                  </w14:solidFill>
                </w14:textFill>
              </w:rPr>
              <w:t>0人，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其中140人</w:t>
            </w:r>
            <w:r>
              <w:rPr>
                <w:rFonts w:hint="default" w:ascii="Times New Roman" w:hAnsi="Times New Roman" w:eastAsia="宋体" w:cs="Times New Roman"/>
                <w:color w:val="000000" w:themeColor="text1"/>
                <w:sz w:val="24"/>
                <w:szCs w:val="24"/>
                <w:highlight w:val="none"/>
                <w14:textFill>
                  <w14:solidFill>
                    <w14:schemeClr w14:val="tx1"/>
                  </w14:solidFill>
                </w14:textFill>
              </w:rPr>
              <w:t>在厂区内就餐。</w:t>
            </w:r>
            <w:r>
              <w:rPr>
                <w:rFonts w:hint="default" w:ascii="Times New Roman" w:hAnsi="Times New Roman" w:eastAsia="宋体" w:cs="Times New Roman"/>
                <w:snapToGrid/>
                <w:color w:val="000000" w:themeColor="text1"/>
                <w:kern w:val="0"/>
                <w:sz w:val="24"/>
                <w:szCs w:val="24"/>
                <w:highlight w:val="none"/>
                <w:lang w:eastAsia="zh-CN"/>
                <w14:textFill>
                  <w14:solidFill>
                    <w14:schemeClr w14:val="tx1"/>
                  </w14:solidFill>
                </w14:textFill>
              </w:rPr>
              <w:t>参考《中国居民膳食指南（2016版）》中提出“中国居民每天食用油摄入量不宜超过25g或30g”，本项目食用油消耗系数按30g/人·d计算，即食用油消耗量为</w:t>
            </w:r>
            <w:r>
              <w:rPr>
                <w:rFonts w:hint="default" w:ascii="Times New Roman" w:hAnsi="Times New Roman" w:eastAsia="宋体" w:cs="Times New Roman"/>
                <w:snapToGrid/>
                <w:color w:val="000000" w:themeColor="text1"/>
                <w:kern w:val="0"/>
                <w:sz w:val="24"/>
                <w:szCs w:val="24"/>
                <w:highlight w:val="none"/>
                <w:lang w:val="en-US" w:eastAsia="zh-CN"/>
                <w14:textFill>
                  <w14:solidFill>
                    <w14:schemeClr w14:val="tx1"/>
                  </w14:solidFill>
                </w14:textFill>
              </w:rPr>
              <w:t>1.012</w:t>
            </w:r>
            <w:r>
              <w:rPr>
                <w:rFonts w:hint="default" w:ascii="Times New Roman" w:hAnsi="Times New Roman" w:eastAsia="宋体" w:cs="Times New Roman"/>
                <w:snapToGrid/>
                <w:color w:val="000000" w:themeColor="text1"/>
                <w:kern w:val="0"/>
                <w:sz w:val="24"/>
                <w:szCs w:val="24"/>
                <w:highlight w:val="none"/>
                <w:lang w:eastAsia="zh-CN"/>
                <w14:textFill>
                  <w14:solidFill>
                    <w14:schemeClr w14:val="tx1"/>
                  </w14:solidFill>
                </w14:textFill>
              </w:rPr>
              <w:t>t/a。炒菜时油烟挥发量占总耗油量2%～4%之间，本评价取4%，则油烟产生量为0.0</w:t>
            </w:r>
            <w:r>
              <w:rPr>
                <w:rFonts w:hint="default" w:ascii="Times New Roman" w:hAnsi="Times New Roman" w:eastAsia="宋体" w:cs="Times New Roman"/>
                <w:snapToGrid/>
                <w:color w:val="000000" w:themeColor="text1"/>
                <w:kern w:val="0"/>
                <w:sz w:val="24"/>
                <w:szCs w:val="24"/>
                <w:highlight w:val="none"/>
                <w:lang w:val="en-US" w:eastAsia="zh-CN"/>
                <w14:textFill>
                  <w14:solidFill>
                    <w14:schemeClr w14:val="tx1"/>
                  </w14:solidFill>
                </w14:textFill>
              </w:rPr>
              <w:t>40</w:t>
            </w:r>
            <w:r>
              <w:rPr>
                <w:rFonts w:hint="default" w:ascii="Times New Roman" w:hAnsi="Times New Roman" w:eastAsia="宋体" w:cs="Times New Roman"/>
                <w:snapToGrid/>
                <w:color w:val="000000" w:themeColor="text1"/>
                <w:kern w:val="0"/>
                <w:sz w:val="24"/>
                <w:szCs w:val="24"/>
                <w:highlight w:val="none"/>
                <w:lang w:eastAsia="zh-CN"/>
                <w14:textFill>
                  <w14:solidFill>
                    <w14:schemeClr w14:val="tx1"/>
                  </w14:solidFill>
                </w14:textFill>
              </w:rPr>
              <w:t>t/a，</w:t>
            </w:r>
            <w:r>
              <w:rPr>
                <w:rFonts w:hint="default" w:ascii="Times New Roman" w:hAnsi="Times New Roman" w:eastAsia="宋体" w:cs="Times New Roman"/>
                <w:color w:val="000000" w:themeColor="text1"/>
                <w:sz w:val="24"/>
                <w:szCs w:val="24"/>
                <w:highlight w:val="none"/>
                <w14:textFill>
                  <w14:solidFill>
                    <w14:schemeClr w14:val="tx1"/>
                  </w14:solidFill>
                </w14:textFill>
              </w:rPr>
              <w:t>开炉时间按4h/d计，</w:t>
            </w:r>
            <w:r>
              <w:rPr>
                <w:rFonts w:hint="default" w:ascii="Times New Roman" w:hAnsi="Times New Roman" w:eastAsia="宋体" w:cs="Times New Roman"/>
                <w:snapToGrid/>
                <w:color w:val="000000" w:themeColor="text1"/>
                <w:kern w:val="0"/>
                <w:sz w:val="24"/>
                <w:szCs w:val="24"/>
                <w:highlight w:val="none"/>
                <w:lang w:eastAsia="zh-CN"/>
                <w14:textFill>
                  <w14:solidFill>
                    <w14:schemeClr w14:val="tx1"/>
                  </w14:solidFill>
                </w14:textFill>
              </w:rPr>
              <w:t>每个基准炉头的风量为2000m</w:t>
            </w:r>
            <w:r>
              <w:rPr>
                <w:rFonts w:hint="default" w:ascii="Times New Roman" w:hAnsi="Times New Roman" w:eastAsia="宋体" w:cs="Times New Roman"/>
                <w:snapToGrid/>
                <w:color w:val="000000" w:themeColor="text1"/>
                <w:kern w:val="0"/>
                <w:sz w:val="24"/>
                <w:szCs w:val="24"/>
                <w:highlight w:val="none"/>
                <w:vertAlign w:val="superscript"/>
                <w:lang w:eastAsia="zh-CN"/>
                <w14:textFill>
                  <w14:solidFill>
                    <w14:schemeClr w14:val="tx1"/>
                  </w14:solidFill>
                </w14:textFill>
              </w:rPr>
              <w:t>3</w:t>
            </w:r>
            <w:r>
              <w:rPr>
                <w:rFonts w:hint="default" w:ascii="Times New Roman" w:hAnsi="Times New Roman" w:eastAsia="宋体" w:cs="Times New Roman"/>
                <w:snapToGrid/>
                <w:color w:val="000000" w:themeColor="text1"/>
                <w:kern w:val="0"/>
                <w:sz w:val="24"/>
                <w:szCs w:val="24"/>
                <w:highlight w:val="none"/>
                <w:lang w:eastAsia="zh-CN"/>
                <w14:textFill>
                  <w14:solidFill>
                    <w14:schemeClr w14:val="tx1"/>
                  </w14:solidFill>
                </w14:textFill>
              </w:rPr>
              <w:t>/h。</w:t>
            </w:r>
          </w:p>
          <w:p w14:paraId="03C71147">
            <w:pPr>
              <w:widowControl w:val="0"/>
              <w:kinsoku/>
              <w:autoSpaceDE/>
              <w:autoSpaceDN/>
              <w:adjustRightInd/>
              <w:snapToGrid/>
              <w:spacing w:line="360" w:lineRule="auto"/>
              <w:ind w:firstLine="480" w:firstLineChars="200"/>
              <w:jc w:val="both"/>
              <w:textAlignment w:val="auto"/>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pPr>
            <w:r>
              <w:rPr>
                <w:rFonts w:hint="default" w:ascii="Times New Roman" w:hAnsi="Times New Roman" w:eastAsia="宋体" w:cs="Times New Roman"/>
                <w:snapToGrid/>
                <w:color w:val="000000" w:themeColor="text1"/>
                <w:kern w:val="0"/>
                <w:sz w:val="24"/>
                <w:szCs w:val="24"/>
                <w:highlight w:val="none"/>
                <w:lang w:eastAsia="zh-CN"/>
                <w14:textFill>
                  <w14:solidFill>
                    <w14:schemeClr w14:val="tx1"/>
                  </w14:solidFill>
                </w14:textFill>
              </w:rPr>
              <w:t>厨房油烟废气经收集后引至高效静电油烟净化器处理，处理达标后尾气引至</w:t>
            </w:r>
            <w:r>
              <w:rPr>
                <w:rFonts w:hint="default" w:ascii="Times New Roman" w:hAnsi="Times New Roman" w:eastAsia="宋体" w:cs="Times New Roman"/>
                <w:snapToGrid/>
                <w:color w:val="000000" w:themeColor="text1"/>
                <w:kern w:val="0"/>
                <w:sz w:val="24"/>
                <w:szCs w:val="24"/>
                <w:highlight w:val="none"/>
                <w:lang w:val="en-US" w:eastAsia="zh-CN"/>
                <w14:textFill>
                  <w14:solidFill>
                    <w14:schemeClr w14:val="tx1"/>
                  </w14:solidFill>
                </w14:textFill>
              </w:rPr>
              <w:t>宿舍楼一楼</w:t>
            </w:r>
            <w:r>
              <w:rPr>
                <w:rFonts w:hint="default" w:ascii="Times New Roman" w:hAnsi="Times New Roman" w:eastAsia="宋体" w:cs="Times New Roman"/>
                <w:snapToGrid/>
                <w:color w:val="000000" w:themeColor="text1"/>
                <w:kern w:val="0"/>
                <w:sz w:val="24"/>
                <w:szCs w:val="24"/>
                <w:highlight w:val="none"/>
                <w:lang w:eastAsia="zh-CN"/>
                <w14:textFill>
                  <w14:solidFill>
                    <w14:schemeClr w14:val="tx1"/>
                  </w14:solidFill>
                </w14:textFill>
              </w:rPr>
              <w:t>楼顶高空达标排放（</w:t>
            </w:r>
            <w:r>
              <w:rPr>
                <w:rFonts w:hint="eastAsia" w:cs="Times New Roman"/>
                <w:snapToGrid/>
                <w:color w:val="000000" w:themeColor="text1"/>
                <w:kern w:val="0"/>
                <w:sz w:val="24"/>
                <w:szCs w:val="24"/>
                <w:highlight w:val="none"/>
                <w:lang w:eastAsia="zh-CN"/>
                <w14:textFill>
                  <w14:solidFill>
                    <w14:schemeClr w14:val="tx1"/>
                  </w14:solidFill>
                </w14:textFill>
              </w:rPr>
              <w:t>DA00</w:t>
            </w:r>
            <w:r>
              <w:rPr>
                <w:rFonts w:hint="eastAsia" w:cs="Times New Roman"/>
                <w:snapToGrid/>
                <w:color w:val="000000" w:themeColor="text1"/>
                <w:kern w:val="0"/>
                <w:sz w:val="24"/>
                <w:szCs w:val="24"/>
                <w:highlight w:val="none"/>
                <w:lang w:val="en-US" w:eastAsia="zh-CN"/>
                <w14:textFill>
                  <w14:solidFill>
                    <w14:schemeClr w14:val="tx1"/>
                  </w14:solidFill>
                </w14:textFill>
              </w:rPr>
              <w:t>3</w:t>
            </w:r>
            <w:r>
              <w:rPr>
                <w:rFonts w:hint="default" w:ascii="Times New Roman" w:hAnsi="Times New Roman" w:eastAsia="宋体" w:cs="Times New Roman"/>
                <w:snapToGrid/>
                <w:color w:val="000000" w:themeColor="text1"/>
                <w:kern w:val="0"/>
                <w:sz w:val="24"/>
                <w:szCs w:val="24"/>
                <w:highlight w:val="none"/>
                <w:lang w:eastAsia="zh-CN"/>
                <w14:textFill>
                  <w14:solidFill>
                    <w14:schemeClr w14:val="tx1"/>
                  </w14:solidFill>
                </w14:textFill>
              </w:rPr>
              <w:t>）。参考《新型静电油烟净化设备的特点及应用》（黄付平、覃理嘉等），在额定风量下静电油烟净化器对油烟的净化效率达93.9%，本评价保守估算为</w:t>
            </w:r>
            <w:r>
              <w:rPr>
                <w:rFonts w:hint="default" w:ascii="Times New Roman" w:hAnsi="Times New Roman" w:eastAsia="宋体" w:cs="Times New Roman"/>
                <w:snapToGrid/>
                <w:color w:val="000000" w:themeColor="text1"/>
                <w:kern w:val="0"/>
                <w:sz w:val="24"/>
                <w:szCs w:val="24"/>
                <w:highlight w:val="none"/>
                <w:lang w:val="en-US" w:eastAsia="zh-CN"/>
                <w14:textFill>
                  <w14:solidFill>
                    <w14:schemeClr w14:val="tx1"/>
                  </w14:solidFill>
                </w14:textFill>
              </w:rPr>
              <w:t>75</w:t>
            </w:r>
            <w:r>
              <w:rPr>
                <w:rFonts w:hint="default" w:ascii="Times New Roman" w:hAnsi="Times New Roman" w:eastAsia="宋体" w:cs="Times New Roman"/>
                <w:snapToGrid/>
                <w:color w:val="000000" w:themeColor="text1"/>
                <w:kern w:val="0"/>
                <w:sz w:val="24"/>
                <w:szCs w:val="24"/>
                <w:highlight w:val="none"/>
                <w:lang w:eastAsia="zh-CN"/>
                <w14:textFill>
                  <w14:solidFill>
                    <w14:schemeClr w14:val="tx1"/>
                  </w14:solidFill>
                </w14:textFill>
              </w:rPr>
              <w:t>%的净化效率，具体产排情况如上表4-</w:t>
            </w:r>
            <w:r>
              <w:rPr>
                <w:rFonts w:hint="eastAsia" w:cs="Times New Roman"/>
                <w:snapToGrid/>
                <w:color w:val="000000" w:themeColor="text1"/>
                <w:kern w:val="0"/>
                <w:sz w:val="24"/>
                <w:szCs w:val="24"/>
                <w:highlight w:val="none"/>
                <w:lang w:val="en-US" w:eastAsia="zh-CN"/>
                <w14:textFill>
                  <w14:solidFill>
                    <w14:schemeClr w14:val="tx1"/>
                  </w14:solidFill>
                </w14:textFill>
              </w:rPr>
              <w:t>2</w:t>
            </w:r>
            <w:r>
              <w:rPr>
                <w:rFonts w:hint="default" w:ascii="Times New Roman" w:hAnsi="Times New Roman" w:eastAsia="宋体" w:cs="Times New Roman"/>
                <w:snapToGrid/>
                <w:color w:val="000000" w:themeColor="text1"/>
                <w:kern w:val="0"/>
                <w:sz w:val="24"/>
                <w:szCs w:val="24"/>
                <w:highlight w:val="none"/>
                <w:lang w:eastAsia="zh-CN"/>
                <w14:textFill>
                  <w14:solidFill>
                    <w14:schemeClr w14:val="tx1"/>
                  </w14:solidFill>
                </w14:textFill>
              </w:rPr>
              <w:t>。</w:t>
            </w:r>
          </w:p>
          <w:p w14:paraId="2013CB3C">
            <w:pPr>
              <w:keepNext/>
              <w:keepLines/>
              <w:suppressLineNumbers w:val="0"/>
              <w:tabs>
                <w:tab w:val="left" w:pos="0"/>
              </w:tabs>
              <w:spacing w:before="0" w:beforeAutospacing="0" w:after="0" w:afterAutospacing="0" w:line="360" w:lineRule="auto"/>
              <w:ind w:left="0" w:right="0" w:firstLine="466" w:firstLineChars="200"/>
              <w:outlineLvl w:val="3"/>
              <w:rPr>
                <w:rFonts w:hint="eastAsia" w:cs="Times New Roman"/>
                <w:b/>
                <w:bCs/>
                <w:snapToGrid/>
                <w:color w:val="000000" w:themeColor="text1"/>
                <w:spacing w:val="-4"/>
                <w:kern w:val="2"/>
                <w:sz w:val="24"/>
                <w:szCs w:val="24"/>
                <w:highlight w:val="none"/>
                <w:lang w:val="en-US" w:eastAsia="zh-CN"/>
                <w14:textFill>
                  <w14:solidFill>
                    <w14:schemeClr w14:val="tx1"/>
                  </w14:solidFill>
                </w14:textFill>
              </w:rPr>
            </w:pPr>
            <w:r>
              <w:rPr>
                <w:rFonts w:hint="eastAsia" w:cs="Times New Roman"/>
                <w:b/>
                <w:bCs/>
                <w:snapToGrid/>
                <w:color w:val="000000" w:themeColor="text1"/>
                <w:spacing w:val="-4"/>
                <w:kern w:val="2"/>
                <w:sz w:val="24"/>
                <w:szCs w:val="24"/>
                <w:highlight w:val="none"/>
                <w:lang w:val="en-US" w:eastAsia="zh-CN"/>
                <w14:textFill>
                  <w14:solidFill>
                    <w14:schemeClr w14:val="tx1"/>
                  </w14:solidFill>
                </w14:textFill>
              </w:rPr>
              <w:t>1.2.10脱脂废气</w:t>
            </w:r>
          </w:p>
          <w:p w14:paraId="04E0C7C4">
            <w:pPr>
              <w:keepNext/>
              <w:keepLines/>
              <w:suppressLineNumbers w:val="0"/>
              <w:tabs>
                <w:tab w:val="left" w:pos="0"/>
              </w:tabs>
              <w:spacing w:before="0" w:beforeAutospacing="0" w:after="0" w:afterAutospacing="0" w:line="360" w:lineRule="auto"/>
              <w:ind w:left="0" w:right="0" w:firstLine="464" w:firstLineChars="200"/>
              <w:outlineLvl w:val="3"/>
              <w:rPr>
                <w:rFonts w:hint="default" w:ascii="Times New Roman" w:hAnsi="Times New Roman" w:eastAsia="宋体" w:cs="Times New Roman"/>
                <w:b/>
                <w:bCs/>
                <w:snapToGrid/>
                <w:color w:val="000000" w:themeColor="text1"/>
                <w:spacing w:val="-4"/>
                <w:kern w:val="2"/>
                <w:sz w:val="24"/>
                <w:szCs w:val="24"/>
                <w:highlight w:val="none"/>
                <w:lang w:val="en-US" w:eastAsia="zh-CN"/>
                <w14:textFill>
                  <w14:solidFill>
                    <w14:schemeClr w14:val="tx1"/>
                  </w14:solidFill>
                </w14:textFill>
              </w:rPr>
            </w:pPr>
            <w:r>
              <w:rPr>
                <w:rFonts w:hint="eastAsia" w:cs="Times New Roman"/>
                <w:b w:val="0"/>
                <w:bCs w:val="0"/>
                <w:snapToGrid/>
                <w:color w:val="000000" w:themeColor="text1"/>
                <w:spacing w:val="-4"/>
                <w:kern w:val="2"/>
                <w:sz w:val="24"/>
                <w:szCs w:val="24"/>
                <w:highlight w:val="none"/>
                <w:lang w:val="en-US" w:eastAsia="zh-CN"/>
                <w14:textFill>
                  <w14:solidFill>
                    <w14:schemeClr w14:val="tx1"/>
                  </w14:solidFill>
                </w14:textFill>
              </w:rPr>
              <w:t>本项目脱脂工序使用的除油剂成分中氢氟酸质量占比为 1%，因此脱脂过程中会产生少量氟化物废气。根据建设单位提供资料，脱脂工序除油剂工艺浓度为3%，除油剂年使用量为17.82t，经核算可知，脱脂槽液面表面积合计为7×2×4=56m</w:t>
            </w:r>
            <w:r>
              <w:rPr>
                <w:rFonts w:hint="eastAsia" w:cs="Times New Roman"/>
                <w:b w:val="0"/>
                <w:bCs w:val="0"/>
                <w:snapToGrid/>
                <w:color w:val="000000" w:themeColor="text1"/>
                <w:spacing w:val="-4"/>
                <w:kern w:val="2"/>
                <w:sz w:val="24"/>
                <w:szCs w:val="24"/>
                <w:highlight w:val="none"/>
                <w:vertAlign w:val="superscript"/>
                <w:lang w:val="en-US" w:eastAsia="zh-CN"/>
                <w14:textFill>
                  <w14:solidFill>
                    <w14:schemeClr w14:val="tx1"/>
                  </w14:solidFill>
                </w14:textFill>
              </w:rPr>
              <w:t>2</w:t>
            </w:r>
            <w:r>
              <w:rPr>
                <w:rFonts w:hint="eastAsia" w:cs="Times New Roman"/>
                <w:b w:val="0"/>
                <w:bCs w:val="0"/>
                <w:snapToGrid/>
                <w:color w:val="000000" w:themeColor="text1"/>
                <w:spacing w:val="-4"/>
                <w:kern w:val="2"/>
                <w:sz w:val="24"/>
                <w:szCs w:val="24"/>
                <w:highlight w:val="none"/>
                <w:lang w:val="en-US" w:eastAsia="zh-CN"/>
                <w14:textFill>
                  <w14:solidFill>
                    <w14:schemeClr w14:val="tx1"/>
                  </w14:solidFill>
                </w14:textFill>
              </w:rPr>
              <w:t>，则氢氟酸产生系数为17.82×3%×1%×10</w:t>
            </w:r>
            <w:r>
              <w:rPr>
                <w:rFonts w:hint="eastAsia" w:cs="Times New Roman"/>
                <w:b w:val="0"/>
                <w:bCs w:val="0"/>
                <w:snapToGrid/>
                <w:color w:val="000000" w:themeColor="text1"/>
                <w:spacing w:val="-4"/>
                <w:kern w:val="2"/>
                <w:sz w:val="24"/>
                <w:szCs w:val="24"/>
                <w:highlight w:val="none"/>
                <w:vertAlign w:val="superscript"/>
                <w:lang w:val="en-US" w:eastAsia="zh-CN"/>
                <w14:textFill>
                  <w14:solidFill>
                    <w14:schemeClr w14:val="tx1"/>
                  </w14:solidFill>
                </w14:textFill>
              </w:rPr>
              <w:t>6</w:t>
            </w:r>
            <w:r>
              <w:rPr>
                <w:rFonts w:hint="eastAsia" w:cs="Times New Roman"/>
                <w:b w:val="0"/>
                <w:bCs w:val="0"/>
                <w:snapToGrid/>
                <w:color w:val="000000" w:themeColor="text1"/>
                <w:spacing w:val="-4"/>
                <w:kern w:val="2"/>
                <w:sz w:val="24"/>
                <w:szCs w:val="24"/>
                <w:highlight w:val="none"/>
                <w:lang w:val="en-US" w:eastAsia="zh-CN"/>
                <w14:textFill>
                  <w14:solidFill>
                    <w14:schemeClr w14:val="tx1"/>
                  </w14:solidFill>
                </w14:textFill>
              </w:rPr>
              <w:t>/56/1928=0.049g/m</w:t>
            </w:r>
            <w:r>
              <w:rPr>
                <w:rFonts w:hint="eastAsia" w:cs="Times New Roman"/>
                <w:b w:val="0"/>
                <w:bCs w:val="0"/>
                <w:snapToGrid/>
                <w:color w:val="000000" w:themeColor="text1"/>
                <w:spacing w:val="-4"/>
                <w:kern w:val="2"/>
                <w:sz w:val="24"/>
                <w:szCs w:val="24"/>
                <w:highlight w:val="none"/>
                <w:vertAlign w:val="superscript"/>
                <w:lang w:val="en-US" w:eastAsia="zh-CN"/>
                <w14:textFill>
                  <w14:solidFill>
                    <w14:schemeClr w14:val="tx1"/>
                  </w14:solidFill>
                </w14:textFill>
              </w:rPr>
              <w:t>2</w:t>
            </w:r>
            <w:r>
              <w:rPr>
                <w:rFonts w:hint="eastAsia" w:cs="Times New Roman"/>
                <w:b w:val="0"/>
                <w:bCs w:val="0"/>
                <w:snapToGrid/>
                <w:color w:val="000000" w:themeColor="text1"/>
                <w:spacing w:val="-4"/>
                <w:kern w:val="2"/>
                <w:sz w:val="24"/>
                <w:szCs w:val="24"/>
                <w:highlight w:val="none"/>
                <w:vertAlign w:val="baseline"/>
                <w:lang w:val="en-US" w:eastAsia="zh-CN"/>
                <w14:textFill>
                  <w14:solidFill>
                    <w14:schemeClr w14:val="tx1"/>
                  </w14:solidFill>
                </w14:textFill>
              </w:rPr>
              <w:t>·</w:t>
            </w:r>
            <w:r>
              <w:rPr>
                <w:rFonts w:hint="eastAsia" w:cs="Times New Roman"/>
                <w:b w:val="0"/>
                <w:bCs w:val="0"/>
                <w:snapToGrid/>
                <w:color w:val="000000" w:themeColor="text1"/>
                <w:spacing w:val="-4"/>
                <w:kern w:val="2"/>
                <w:sz w:val="24"/>
                <w:szCs w:val="24"/>
                <w:highlight w:val="none"/>
                <w:lang w:val="en-US" w:eastAsia="zh-CN"/>
                <w14:textFill>
                  <w14:solidFill>
                    <w14:schemeClr w14:val="tx1"/>
                  </w14:solidFill>
                </w14:textFill>
              </w:rPr>
              <w:t>h＜72.0g/m</w:t>
            </w:r>
            <w:r>
              <w:rPr>
                <w:rFonts w:hint="eastAsia" w:cs="Times New Roman"/>
                <w:b w:val="0"/>
                <w:bCs w:val="0"/>
                <w:snapToGrid/>
                <w:color w:val="000000" w:themeColor="text1"/>
                <w:spacing w:val="-4"/>
                <w:kern w:val="2"/>
                <w:sz w:val="24"/>
                <w:szCs w:val="24"/>
                <w:highlight w:val="none"/>
                <w:vertAlign w:val="superscript"/>
                <w:lang w:val="en-US" w:eastAsia="zh-CN"/>
                <w14:textFill>
                  <w14:solidFill>
                    <w14:schemeClr w14:val="tx1"/>
                  </w14:solidFill>
                </w14:textFill>
              </w:rPr>
              <w:t>2</w:t>
            </w:r>
            <w:r>
              <w:rPr>
                <w:rFonts w:hint="eastAsia" w:cs="Times New Roman"/>
                <w:b w:val="0"/>
                <w:bCs w:val="0"/>
                <w:snapToGrid/>
                <w:color w:val="000000" w:themeColor="text1"/>
                <w:spacing w:val="-4"/>
                <w:kern w:val="2"/>
                <w:sz w:val="24"/>
                <w:szCs w:val="24"/>
                <w:highlight w:val="none"/>
                <w:vertAlign w:val="baseline"/>
                <w:lang w:val="en-US" w:eastAsia="zh-CN"/>
                <w14:textFill>
                  <w14:solidFill>
                    <w14:schemeClr w14:val="tx1"/>
                  </w14:solidFill>
                </w14:textFill>
              </w:rPr>
              <w:t>·</w:t>
            </w:r>
            <w:r>
              <w:rPr>
                <w:rFonts w:hint="eastAsia" w:cs="Times New Roman"/>
                <w:b w:val="0"/>
                <w:bCs w:val="0"/>
                <w:snapToGrid/>
                <w:color w:val="000000" w:themeColor="text1"/>
                <w:spacing w:val="-4"/>
                <w:kern w:val="2"/>
                <w:sz w:val="24"/>
                <w:szCs w:val="24"/>
                <w:highlight w:val="none"/>
                <w:lang w:val="en-US" w:eastAsia="zh-CN"/>
                <w14:textFill>
                  <w14:solidFill>
                    <w14:schemeClr w14:val="tx1"/>
                  </w14:solidFill>
                </w14:textFill>
              </w:rPr>
              <w:t>h，参考《污染源源强核算技术指南 电镀》（HJ 984-2018）附录 B 中“锌铝等合金件低浓度活化处理槽液产生的氟化物可忽略”，因此本项目不对脱脂工序中产生的氟化物进行定量分析。</w:t>
            </w:r>
          </w:p>
          <w:p w14:paraId="02ABD7CF">
            <w:pPr>
              <w:keepNext/>
              <w:keepLines/>
              <w:suppressLineNumbers w:val="0"/>
              <w:tabs>
                <w:tab w:val="left" w:pos="0"/>
              </w:tabs>
              <w:spacing w:before="0" w:beforeAutospacing="0" w:after="0" w:afterAutospacing="0" w:line="360" w:lineRule="auto"/>
              <w:ind w:left="0" w:right="0" w:firstLine="466" w:firstLineChars="200"/>
              <w:outlineLvl w:val="3"/>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pPr>
            <w:r>
              <w:rPr>
                <w:rFonts w:hint="eastAsia" w:cs="Times New Roman"/>
                <w:b/>
                <w:bCs/>
                <w:snapToGrid/>
                <w:color w:val="000000" w:themeColor="text1"/>
                <w:spacing w:val="-4"/>
                <w:kern w:val="2"/>
                <w:sz w:val="24"/>
                <w:szCs w:val="24"/>
                <w:highlight w:val="none"/>
                <w:lang w:val="en-US" w:eastAsia="zh-CN"/>
                <w14:textFill>
                  <w14:solidFill>
                    <w14:schemeClr w14:val="tx1"/>
                  </w14:solidFill>
                </w14:textFill>
              </w:rPr>
              <w:t>1</w:t>
            </w:r>
            <w:r>
              <w:rPr>
                <w:rFonts w:hint="default" w:ascii="Times New Roman" w:hAnsi="Times New Roman" w:eastAsia="宋体" w:cs="Times New Roman"/>
                <w:b/>
                <w:bCs/>
                <w:snapToGrid/>
                <w:color w:val="000000" w:themeColor="text1"/>
                <w:spacing w:val="-4"/>
                <w:kern w:val="2"/>
                <w:sz w:val="24"/>
                <w:szCs w:val="24"/>
                <w:highlight w:val="none"/>
                <w:lang w:eastAsia="zh-CN"/>
                <w14:textFill>
                  <w14:solidFill>
                    <w14:schemeClr w14:val="tx1"/>
                  </w14:solidFill>
                </w14:textFill>
              </w:rPr>
              <w:t>.</w:t>
            </w:r>
            <w:r>
              <w:rPr>
                <w:rFonts w:hint="eastAsia" w:cs="Times New Roman"/>
                <w:b/>
                <w:bCs/>
                <w:snapToGrid/>
                <w:color w:val="000000" w:themeColor="text1"/>
                <w:spacing w:val="-4"/>
                <w:kern w:val="2"/>
                <w:sz w:val="24"/>
                <w:szCs w:val="24"/>
                <w:highlight w:val="none"/>
                <w:lang w:val="en-US" w:eastAsia="zh-CN"/>
                <w14:textFill>
                  <w14:solidFill>
                    <w14:schemeClr w14:val="tx1"/>
                  </w14:solidFill>
                </w14:textFill>
              </w:rPr>
              <w:t>3</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废气治理系统可行性分析</w:t>
            </w:r>
          </w:p>
          <w:p w14:paraId="06C1D820">
            <w:pPr>
              <w:widowControl w:val="0"/>
              <w:kinsoku/>
              <w:autoSpaceDE/>
              <w:autoSpaceDN/>
              <w:adjustRightInd/>
              <w:snapToGrid/>
              <w:spacing w:line="360" w:lineRule="auto"/>
              <w:ind w:firstLine="480" w:firstLineChars="200"/>
              <w:jc w:val="both"/>
              <w:textAlignment w:val="auto"/>
              <w:rPr>
                <w:rFonts w:hint="default" w:ascii="Times New Roman" w:hAnsi="Times New Roman" w:eastAsia="宋体" w:cs="Times New Roman"/>
                <w:snapToGrid/>
                <w:color w:val="000000" w:themeColor="text1"/>
                <w:kern w:val="0"/>
                <w:sz w:val="24"/>
                <w:szCs w:val="24"/>
                <w:highlight w:val="none"/>
                <w:lang w:eastAsia="zh-CN"/>
                <w14:textFill>
                  <w14:solidFill>
                    <w14:schemeClr w14:val="tx1"/>
                  </w14:solidFill>
                </w14:textFill>
              </w:rPr>
            </w:pPr>
            <w:r>
              <w:rPr>
                <w:rFonts w:hint="default" w:ascii="Times New Roman" w:hAnsi="Times New Roman" w:cs="Times New Roman"/>
                <w:b w:val="0"/>
                <w:bCs w:val="0"/>
                <w:i w:val="0"/>
                <w:iCs w:val="0"/>
                <w:color w:val="000000" w:themeColor="text1"/>
                <w:kern w:val="0"/>
                <w:sz w:val="24"/>
                <w:szCs w:val="24"/>
                <w:highlight w:val="none"/>
                <w:u w:val="none"/>
                <w:lang w:val="en-US" w:eastAsia="zh-CN" w:bidi="ar"/>
                <w14:textFill>
                  <w14:solidFill>
                    <w14:schemeClr w14:val="tx1"/>
                  </w14:solidFill>
                </w14:textFill>
              </w:rPr>
              <w:t>本项目采用</w:t>
            </w:r>
            <w:r>
              <w:rPr>
                <w:rFonts w:hint="eastAsia" w:cs="Times New Roman"/>
                <w:b w:val="0"/>
                <w:bCs w:val="0"/>
                <w:i w:val="0"/>
                <w:iCs w:val="0"/>
                <w:color w:val="000000" w:themeColor="text1"/>
                <w:kern w:val="0"/>
                <w:sz w:val="24"/>
                <w:szCs w:val="24"/>
                <w:highlight w:val="none"/>
                <w:u w:val="none"/>
                <w:lang w:val="en-US" w:eastAsia="zh-CN" w:bidi="ar"/>
                <w14:textFill>
                  <w14:solidFill>
                    <w14:schemeClr w14:val="tx1"/>
                  </w14:solidFill>
                </w14:textFill>
              </w:rPr>
              <w:t>滤筒式除尘器处理焊接烟尘，</w:t>
            </w:r>
            <w:r>
              <w:rPr>
                <w:rFonts w:hint="eastAsia" w:ascii="Times New Roman" w:hAnsi="Times New Roman" w:cs="Times New Roman"/>
                <w:b w:val="0"/>
                <w:bCs w:val="0"/>
                <w:i w:val="0"/>
                <w:iCs w:val="0"/>
                <w:color w:val="000000" w:themeColor="text1"/>
                <w:kern w:val="0"/>
                <w:sz w:val="24"/>
                <w:szCs w:val="24"/>
                <w:highlight w:val="none"/>
                <w:u w:val="none"/>
                <w:lang w:val="en-US" w:eastAsia="zh-CN" w:bidi="ar"/>
                <w14:textFill>
                  <w14:solidFill>
                    <w14:schemeClr w14:val="tx1"/>
                  </w14:solidFill>
                </w14:textFill>
              </w:rPr>
              <w:t>采用喷淋+干式过滤器+</w:t>
            </w:r>
            <w:r>
              <w:rPr>
                <w:rFonts w:hint="eastAsia" w:cs="Times New Roman"/>
                <w:b w:val="0"/>
                <w:bCs w:val="0"/>
                <w:i w:val="0"/>
                <w:iCs w:val="0"/>
                <w:color w:val="000000" w:themeColor="text1"/>
                <w:kern w:val="0"/>
                <w:sz w:val="24"/>
                <w:szCs w:val="24"/>
                <w:highlight w:val="none"/>
                <w:u w:val="none"/>
                <w:lang w:val="en-US" w:eastAsia="zh-CN" w:bidi="ar"/>
                <w14:textFill>
                  <w14:solidFill>
                    <w14:schemeClr w14:val="tx1"/>
                  </w14:solidFill>
                </w14:textFill>
              </w:rPr>
              <w:t>活性炭吸脱附+催化燃烧+活性炭吸附</w:t>
            </w:r>
            <w:r>
              <w:rPr>
                <w:rFonts w:hint="eastAsia" w:ascii="Times New Roman" w:hAnsi="Times New Roman" w:cs="Times New Roman"/>
                <w:b w:val="0"/>
                <w:bCs w:val="0"/>
                <w:i w:val="0"/>
                <w:iCs w:val="0"/>
                <w:color w:val="000000" w:themeColor="text1"/>
                <w:kern w:val="0"/>
                <w:sz w:val="24"/>
                <w:szCs w:val="24"/>
                <w:highlight w:val="none"/>
                <w:u w:val="none"/>
                <w:lang w:val="en-US" w:eastAsia="zh-CN" w:bidi="ar"/>
                <w14:textFill>
                  <w14:solidFill>
                    <w14:schemeClr w14:val="tx1"/>
                  </w14:solidFill>
                </w14:textFill>
              </w:rPr>
              <w:t>处理喷漆废气</w:t>
            </w:r>
            <w:r>
              <w:rPr>
                <w:rFonts w:hint="eastAsia" w:cs="Times New Roman"/>
                <w:b w:val="0"/>
                <w:bCs w:val="0"/>
                <w:i w:val="0"/>
                <w:iCs w:val="0"/>
                <w:color w:val="000000" w:themeColor="text1"/>
                <w:kern w:val="0"/>
                <w:sz w:val="24"/>
                <w:szCs w:val="24"/>
                <w:highlight w:val="none"/>
                <w:u w:val="none"/>
                <w:lang w:val="en-US" w:eastAsia="zh-CN" w:bidi="ar"/>
                <w14:textFill>
                  <w14:solidFill>
                    <w14:schemeClr w14:val="tx1"/>
                  </w14:solidFill>
                </w14:textFill>
              </w:rPr>
              <w:t>；采用</w:t>
            </w:r>
            <w:r>
              <w:rPr>
                <w:rFonts w:hint="eastAsia" w:ascii="Times New Roman" w:hAnsi="Times New Roman" w:cs="Times New Roman"/>
                <w:b w:val="0"/>
                <w:bCs w:val="0"/>
                <w:i w:val="0"/>
                <w:iCs w:val="0"/>
                <w:color w:val="000000" w:themeColor="text1"/>
                <w:kern w:val="0"/>
                <w:sz w:val="24"/>
                <w:szCs w:val="24"/>
                <w:highlight w:val="none"/>
                <w:u w:val="none"/>
                <w:lang w:val="en-US" w:eastAsia="zh-CN" w:bidi="ar"/>
                <w14:textFill>
                  <w14:solidFill>
                    <w14:schemeClr w14:val="tx1"/>
                  </w14:solidFill>
                </w14:textFill>
              </w:rPr>
              <w:t>喷淋+干式过滤器+二级活性炭吸附处理固化废气</w:t>
            </w:r>
            <w:r>
              <w:rPr>
                <w:rFonts w:hint="default" w:ascii="Times New Roman" w:hAnsi="Times New Roman" w:cs="Times New Roman"/>
                <w:b w:val="0"/>
                <w:bCs w:val="0"/>
                <w:i w:val="0"/>
                <w:iCs w:val="0"/>
                <w:color w:val="000000" w:themeColor="text1"/>
                <w:kern w:val="0"/>
                <w:sz w:val="24"/>
                <w:szCs w:val="24"/>
                <w:highlight w:val="none"/>
                <w:u w:val="none"/>
                <w:lang w:val="en-US" w:eastAsia="zh-CN" w:bidi="ar"/>
                <w14:textFill>
                  <w14:solidFill>
                    <w14:schemeClr w14:val="tx1"/>
                  </w14:solidFill>
                </w14:textFill>
              </w:rPr>
              <w:t>，参照《排污许可证申请与核发技术规范 铁路、船舶、航空航天和其他运输设备制造业》（HJ1124—2020），</w:t>
            </w:r>
            <w:r>
              <w:rPr>
                <w:rFonts w:hint="eastAsia" w:cs="Times New Roman"/>
                <w:b w:val="0"/>
                <w:bCs w:val="0"/>
                <w:i w:val="0"/>
                <w:iCs w:val="0"/>
                <w:color w:val="000000" w:themeColor="text1"/>
                <w:kern w:val="0"/>
                <w:sz w:val="24"/>
                <w:szCs w:val="24"/>
                <w:highlight w:val="none"/>
                <w:u w:val="none"/>
                <w:lang w:val="en-US" w:eastAsia="zh-CN" w:bidi="ar"/>
                <w14:textFill>
                  <w14:solidFill>
                    <w14:schemeClr w14:val="tx1"/>
                  </w14:solidFill>
                </w14:textFill>
              </w:rPr>
              <w:t>本项目采取的措施均</w:t>
            </w:r>
            <w:r>
              <w:rPr>
                <w:rFonts w:hint="default" w:ascii="Times New Roman" w:hAnsi="Times New Roman" w:cs="Times New Roman"/>
                <w:b w:val="0"/>
                <w:bCs w:val="0"/>
                <w:i w:val="0"/>
                <w:iCs w:val="0"/>
                <w:color w:val="000000" w:themeColor="text1"/>
                <w:kern w:val="0"/>
                <w:sz w:val="24"/>
                <w:szCs w:val="24"/>
                <w:highlight w:val="none"/>
                <w:u w:val="none"/>
                <w:lang w:val="en-US" w:eastAsia="zh-CN" w:bidi="ar"/>
                <w14:textFill>
                  <w14:solidFill>
                    <w14:schemeClr w14:val="tx1"/>
                  </w14:solidFill>
                </w14:textFill>
              </w:rPr>
              <w:t>属于排污许可技术规范中的可行技术，因此本项目使用该治理设施是可行的。</w:t>
            </w:r>
          </w:p>
          <w:p w14:paraId="6B177615">
            <w:pPr>
              <w:keepNext w:val="0"/>
              <w:keepLines w:val="0"/>
              <w:suppressLineNumbers w:val="0"/>
              <w:spacing w:before="0" w:beforeAutospacing="0" w:after="0" w:afterAutospacing="0" w:line="360" w:lineRule="auto"/>
              <w:ind w:left="0" w:right="0" w:firstLine="466" w:firstLineChars="200"/>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eastAsia" w:cs="Times New Roman"/>
                <w:b/>
                <w:bCs/>
                <w:snapToGrid/>
                <w:color w:val="000000" w:themeColor="text1"/>
                <w:spacing w:val="-4"/>
                <w:kern w:val="2"/>
                <w:sz w:val="24"/>
                <w:szCs w:val="24"/>
                <w:highlight w:val="none"/>
                <w:lang w:val="en-US" w:eastAsia="zh-CN"/>
                <w14:textFill>
                  <w14:solidFill>
                    <w14:schemeClr w14:val="tx1"/>
                  </w14:solidFill>
                </w14:textFill>
              </w:rPr>
              <w:t>1.4</w:t>
            </w:r>
            <w:r>
              <w:rPr>
                <w:rFonts w:hint="default" w:ascii="Times New Roman" w:hAnsi="Times New Roman" w:cs="Times New Roman"/>
                <w:b/>
                <w:bCs/>
                <w:color w:val="000000" w:themeColor="text1"/>
                <w:sz w:val="24"/>
                <w:szCs w:val="24"/>
                <w:highlight w:val="none"/>
                <w14:textFill>
                  <w14:solidFill>
                    <w14:schemeClr w14:val="tx1"/>
                  </w14:solidFill>
                </w14:textFill>
              </w:rPr>
              <w:t>达标情况分析</w:t>
            </w:r>
          </w:p>
          <w:p w14:paraId="089A8E39">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000000" w:themeColor="text1"/>
                <w:kern w:val="2"/>
                <w:sz w:val="24"/>
                <w:szCs w:val="24"/>
                <w:highlight w:val="none"/>
                <w14:textFill>
                  <w14:solidFill>
                    <w14:schemeClr w14:val="tx1"/>
                  </w14:solidFill>
                </w14:textFill>
              </w:rPr>
            </w:pPr>
            <w:r>
              <w:rPr>
                <w:rFonts w:hint="default" w:ascii="Times New Roman" w:hAnsi="Times New Roman" w:cs="Times New Roman"/>
                <w:b/>
                <w:bCs/>
                <w:color w:val="000000" w:themeColor="text1"/>
                <w:kern w:val="2"/>
                <w:sz w:val="24"/>
                <w:szCs w:val="24"/>
                <w:highlight w:val="none"/>
                <w14:textFill>
                  <w14:solidFill>
                    <w14:schemeClr w14:val="tx1"/>
                  </w14:solidFill>
                </w14:textFill>
              </w:rPr>
              <w:t>（1）</w:t>
            </w:r>
            <w:r>
              <w:rPr>
                <w:rFonts w:hint="default" w:ascii="Times New Roman" w:hAnsi="Times New Roman" w:cs="Times New Roman"/>
                <w:b/>
                <w:bCs/>
                <w:color w:val="000000" w:themeColor="text1"/>
                <w:kern w:val="2"/>
                <w:sz w:val="24"/>
                <w:szCs w:val="24"/>
                <w:highlight w:val="none"/>
                <w:lang w:val="en-US" w:eastAsia="zh-CN"/>
                <w14:textFill>
                  <w14:solidFill>
                    <w14:schemeClr w14:val="tx1"/>
                  </w14:solidFill>
                </w14:textFill>
              </w:rPr>
              <w:t>有组织废气达标分析</w:t>
            </w:r>
          </w:p>
          <w:p w14:paraId="5985B3C2">
            <w:pPr>
              <w:pStyle w:val="2"/>
              <w:keepNext w:val="0"/>
              <w:keepLines w:val="0"/>
              <w:suppressLineNumbers w:val="0"/>
              <w:spacing w:before="0" w:beforeAutospacing="0" w:after="0" w:afterAutospacing="0" w:line="360" w:lineRule="auto"/>
              <w:ind w:left="0" w:right="0" w:firstLine="480" w:firstLineChars="200"/>
              <w:rPr>
                <w:rFonts w:hint="eastAsia" w:eastAsia="宋体....."/>
                <w:color w:val="000000" w:themeColor="text1"/>
                <w:lang w:val="en-US" w:eastAsia="zh-CN"/>
                <w14:textFill>
                  <w14:solidFill>
                    <w14:schemeClr w14:val="tx1"/>
                  </w14:solidFill>
                </w14:textFill>
              </w:rPr>
            </w:pPr>
            <w:r>
              <w:rPr>
                <w:rFonts w:hint="eastAsia" w:ascii="Times New Roman" w:cs="Times New Roman"/>
                <w:b w:val="0"/>
                <w:bCs/>
                <w:color w:val="000000" w:themeColor="text1"/>
                <w:szCs w:val="21"/>
                <w:highlight w:val="none"/>
                <w:lang w:val="en-US" w:eastAsia="zh-CN"/>
                <w14:textFill>
                  <w14:solidFill>
                    <w14:schemeClr w14:val="tx1"/>
                  </w14:solidFill>
                </w14:textFill>
              </w:rPr>
              <w:t>喷漆废气</w:t>
            </w:r>
            <w:r>
              <w:rPr>
                <w:rFonts w:hint="eastAsia" w:ascii="Times New Roman" w:hAnsi="Times New Roman" w:cs="Times New Roman"/>
                <w:color w:val="000000" w:themeColor="text1"/>
                <w:kern w:val="2"/>
                <w:sz w:val="24"/>
                <w:szCs w:val="24"/>
                <w:highlight w:val="none"/>
                <w:lang w:val="en-US" w:eastAsia="zh-CN"/>
                <w14:textFill>
                  <w14:solidFill>
                    <w14:schemeClr w14:val="tx1"/>
                  </w14:solidFill>
                </w14:textFill>
              </w:rPr>
              <w:t>经</w:t>
            </w:r>
            <w:r>
              <w:rPr>
                <w:rFonts w:hint="eastAsia"/>
                <w:color w:val="000000" w:themeColor="text1"/>
                <w:sz w:val="24"/>
                <w:szCs w:val="32"/>
                <w:highlight w:val="none"/>
                <w:lang w:val="en-US" w:eastAsia="zh-CN"/>
                <w14:textFill>
                  <w14:solidFill>
                    <w14:schemeClr w14:val="tx1"/>
                  </w14:solidFill>
                </w14:textFill>
              </w:rPr>
              <w:t>水帘柜+喷淋</w:t>
            </w:r>
            <w:r>
              <w:rPr>
                <w:rFonts w:hint="eastAsia"/>
                <w:color w:val="000000" w:themeColor="text1"/>
                <w:sz w:val="24"/>
                <w:szCs w:val="32"/>
                <w:highlight w:val="none"/>
                <w14:textFill>
                  <w14:solidFill>
                    <w14:schemeClr w14:val="tx1"/>
                  </w14:solidFill>
                </w14:textFill>
              </w:rPr>
              <w:t>+干式过滤+活性炭吸附脱附催化燃烧</w:t>
            </w:r>
            <w:r>
              <w:rPr>
                <w:rFonts w:hint="default" w:ascii="Times New Roman" w:hAnsi="Times New Roman" w:cs="Times New Roman"/>
                <w:color w:val="000000" w:themeColor="text1"/>
                <w:kern w:val="2"/>
                <w:sz w:val="24"/>
                <w:szCs w:val="24"/>
                <w:highlight w:val="none"/>
                <w:lang w:val="en-US" w:eastAsia="zh-CN"/>
                <w14:textFill>
                  <w14:solidFill>
                    <w14:schemeClr w14:val="tx1"/>
                  </w14:solidFill>
                </w14:textFill>
              </w:rPr>
              <w:t>处理后</w:t>
            </w:r>
            <w:r>
              <w:rPr>
                <w:rFonts w:hint="default" w:ascii="Times New Roman" w:hAnsi="Times New Roman" w:cs="Times New Roman"/>
                <w:color w:val="000000" w:themeColor="text1"/>
                <w:kern w:val="2"/>
                <w:sz w:val="24"/>
                <w:szCs w:val="24"/>
                <w:highlight w:val="none"/>
                <w14:textFill>
                  <w14:solidFill>
                    <w14:schemeClr w14:val="tx1"/>
                  </w14:solidFill>
                </w14:textFill>
              </w:rPr>
              <w:t>经</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15</w:t>
            </w:r>
            <w:r>
              <w:rPr>
                <w:rFonts w:hint="default" w:ascii="Times New Roman" w:hAnsi="Times New Roman" w:cs="Times New Roman"/>
                <w:color w:val="000000" w:themeColor="text1"/>
                <w:kern w:val="0"/>
                <w:sz w:val="24"/>
                <w:szCs w:val="24"/>
                <w:highlight w:val="none"/>
                <w:lang w:bidi="ar"/>
                <w14:textFill>
                  <w14:solidFill>
                    <w14:schemeClr w14:val="tx1"/>
                  </w14:solidFill>
                </w14:textFill>
              </w:rPr>
              <w:t>m</w:t>
            </w:r>
            <w:r>
              <w:rPr>
                <w:rFonts w:hint="default" w:ascii="Times New Roman" w:hAnsi="Times New Roman" w:cs="Times New Roman"/>
                <w:color w:val="000000" w:themeColor="text1"/>
                <w:kern w:val="2"/>
                <w:sz w:val="24"/>
                <w:szCs w:val="24"/>
                <w:highlight w:val="none"/>
                <w14:textFill>
                  <w14:solidFill>
                    <w14:schemeClr w14:val="tx1"/>
                  </w14:solidFill>
                </w14:textFill>
              </w:rPr>
              <w:t>高排气筒（</w:t>
            </w:r>
            <w:r>
              <w:rPr>
                <w:rFonts w:hint="eastAsia" w:ascii="Times New Roman" w:cs="Times New Roman"/>
                <w:color w:val="000000" w:themeColor="text1"/>
                <w:kern w:val="2"/>
                <w:sz w:val="24"/>
                <w:szCs w:val="24"/>
                <w:highlight w:val="none"/>
                <w:lang w:eastAsia="zh-CN"/>
                <w14:textFill>
                  <w14:solidFill>
                    <w14:schemeClr w14:val="tx1"/>
                  </w14:solidFill>
                </w14:textFill>
              </w:rPr>
              <w:t>DA00</w:t>
            </w:r>
            <w:r>
              <w:rPr>
                <w:rFonts w:hint="eastAsia" w:ascii="Times New Roman" w:cs="Times New Roman"/>
                <w:color w:val="000000" w:themeColor="text1"/>
                <w:kern w:val="2"/>
                <w:sz w:val="24"/>
                <w:szCs w:val="24"/>
                <w:highlight w:val="none"/>
                <w:lang w:val="en-US" w:eastAsia="zh-CN"/>
                <w14:textFill>
                  <w14:solidFill>
                    <w14:schemeClr w14:val="tx1"/>
                  </w14:solidFill>
                </w14:textFill>
              </w:rPr>
              <w:t>1</w:t>
            </w:r>
            <w:r>
              <w:rPr>
                <w:rFonts w:hint="default" w:ascii="Times New Roman" w:hAnsi="Times New Roman" w:cs="Times New Roman"/>
                <w:color w:val="000000" w:themeColor="text1"/>
                <w:kern w:val="2"/>
                <w:sz w:val="24"/>
                <w:szCs w:val="24"/>
                <w:highlight w:val="none"/>
                <w14:textFill>
                  <w14:solidFill>
                    <w14:schemeClr w14:val="tx1"/>
                  </w14:solidFill>
                </w14:textFill>
              </w:rPr>
              <w:t>）排放</w:t>
            </w:r>
            <w:r>
              <w:rPr>
                <w:rFonts w:hint="eastAsia" w:ascii="Times New Roman" w:hAnsi="Times New Roman" w:cs="Times New Roman"/>
                <w:color w:val="000000" w:themeColor="text1"/>
                <w:kern w:val="2"/>
                <w:sz w:val="24"/>
                <w:szCs w:val="24"/>
                <w:highlight w:val="none"/>
                <w:lang w:val="en-US" w:eastAsia="zh-CN"/>
                <w14:textFill>
                  <w14:solidFill>
                    <w14:schemeClr w14:val="tx1"/>
                  </w14:solidFill>
                </w14:textFill>
              </w:rPr>
              <w:t>颗粒物满足</w:t>
            </w:r>
            <w:r>
              <w:rPr>
                <w:rFonts w:hint="default" w:ascii="Times New Roman" w:hAnsi="Times New Roman" w:cs="Times New Roman"/>
                <w:color w:val="000000" w:themeColor="text1"/>
                <w:kern w:val="2"/>
                <w:sz w:val="24"/>
                <w:szCs w:val="24"/>
                <w:highlight w:val="none"/>
                <w14:textFill>
                  <w14:solidFill>
                    <w14:schemeClr w14:val="tx1"/>
                  </w14:solidFill>
                </w14:textFill>
              </w:rPr>
              <w:t>广东省《大气污染物排放限值》（DB44/27-2001）第二时段</w:t>
            </w:r>
            <w:r>
              <w:rPr>
                <w:rFonts w:hint="default" w:ascii="Times New Roman" w:hAnsi="Times New Roman" w:cs="Times New Roman"/>
                <w:color w:val="000000" w:themeColor="text1"/>
                <w:kern w:val="2"/>
                <w:sz w:val="24"/>
                <w:szCs w:val="24"/>
                <w:highlight w:val="none"/>
                <w:lang w:val="en-US" w:eastAsia="zh-CN"/>
                <w14:textFill>
                  <w14:solidFill>
                    <w14:schemeClr w14:val="tx1"/>
                  </w14:solidFill>
                </w14:textFill>
              </w:rPr>
              <w:t>排放限值</w:t>
            </w:r>
            <w:r>
              <w:rPr>
                <w:rFonts w:hint="eastAsia" w:ascii="Times New Roman" w:hAnsi="Times New Roman" w:cs="Times New Roman"/>
                <w:color w:val="000000" w:themeColor="text1"/>
                <w:kern w:val="2"/>
                <w:sz w:val="24"/>
                <w:szCs w:val="24"/>
                <w:highlight w:val="none"/>
                <w:lang w:val="en-US" w:eastAsia="zh-CN"/>
                <w14:textFill>
                  <w14:solidFill>
                    <w14:schemeClr w14:val="tx1"/>
                  </w14:solidFill>
                </w14:textFill>
              </w:rPr>
              <w:t>，非甲烷总烃</w:t>
            </w:r>
            <w:r>
              <w:rPr>
                <w:rFonts w:hint="eastAsia" w:ascii="Times New Roman" w:cs="Times New Roman"/>
                <w:color w:val="000000" w:themeColor="text1"/>
                <w:kern w:val="2"/>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kern w:val="2"/>
                <w:sz w:val="24"/>
                <w:szCs w:val="24"/>
                <w:highlight w:val="none"/>
                <w:lang w:val="en-US" w:eastAsia="zh-CN"/>
                <w14:textFill>
                  <w14:solidFill>
                    <w14:schemeClr w14:val="tx1"/>
                  </w14:solidFill>
                </w14:textFill>
              </w:rPr>
              <w:t>苯系物</w:t>
            </w:r>
            <w:r>
              <w:rPr>
                <w:rFonts w:hint="eastAsia" w:ascii="Times New Roman" w:cs="Times New Roman"/>
                <w:color w:val="000000" w:themeColor="text1"/>
                <w:kern w:val="2"/>
                <w:sz w:val="24"/>
                <w:szCs w:val="24"/>
                <w:highlight w:val="none"/>
                <w:lang w:val="en-US" w:eastAsia="zh-CN"/>
                <w14:textFill>
                  <w14:solidFill>
                    <w14:schemeClr w14:val="tx1"/>
                  </w14:solidFill>
                </w14:textFill>
              </w:rPr>
              <w:t>均</w:t>
            </w:r>
            <w:r>
              <w:rPr>
                <w:rFonts w:hint="eastAsia" w:ascii="Times New Roman" w:hAnsi="Times New Roman" w:cs="Times New Roman"/>
                <w:color w:val="000000" w:themeColor="text1"/>
                <w:kern w:val="2"/>
                <w:sz w:val="24"/>
                <w:szCs w:val="24"/>
                <w:highlight w:val="none"/>
                <w:lang w:val="en-US" w:eastAsia="zh-CN"/>
                <w14:textFill>
                  <w14:solidFill>
                    <w14:schemeClr w14:val="tx1"/>
                  </w14:solidFill>
                </w14:textFill>
              </w:rPr>
              <w:t>满足广东省《固定污染源挥发性有机物综合排放标准》（DB44/2367-2022）表1挥发性有机物排放限值</w:t>
            </w:r>
            <w:r>
              <w:rPr>
                <w:rFonts w:hint="eastAsia" w:ascii="Times New Roman" w:cs="Times New Roman"/>
                <w:color w:val="000000" w:themeColor="text1"/>
                <w:kern w:val="2"/>
                <w:sz w:val="24"/>
                <w:szCs w:val="24"/>
                <w:highlight w:val="none"/>
                <w:lang w:val="en-US" w:eastAsia="zh-CN"/>
                <w14:textFill>
                  <w14:solidFill>
                    <w14:schemeClr w14:val="tx1"/>
                  </w14:solidFill>
                </w14:textFill>
              </w:rPr>
              <w:t>要求，</w:t>
            </w:r>
            <w:r>
              <w:rPr>
                <w:rFonts w:hint="eastAsia" w:cs="Times New Roman"/>
                <w:color w:val="000000" w:themeColor="text1"/>
                <w:sz w:val="24"/>
                <w:szCs w:val="24"/>
                <w:lang w:val="en-US" w:eastAsia="zh-CN"/>
                <w14:textFill>
                  <w14:solidFill>
                    <w14:schemeClr w14:val="tx1"/>
                  </w14:solidFill>
                </w14:textFill>
              </w:rPr>
              <w:t>臭气浓度满足</w:t>
            </w:r>
            <w:r>
              <w:rPr>
                <w:rFonts w:hint="default" w:ascii="Times New Roman" w:hAnsi="Times New Roman" w:cs="Times New Roman"/>
                <w:color w:val="000000" w:themeColor="text1"/>
                <w:spacing w:val="-2"/>
                <w:sz w:val="24"/>
                <w:szCs w:val="24"/>
                <w:highlight w:val="none"/>
                <w14:textFill>
                  <w14:solidFill>
                    <w14:schemeClr w14:val="tx1"/>
                  </w14:solidFill>
                </w14:textFill>
              </w:rPr>
              <w:t>《恶臭污染物排放标准》（GB14554-93）表2污染物排放标准值</w:t>
            </w:r>
            <w:r>
              <w:rPr>
                <w:rFonts w:hint="eastAsia" w:ascii="Times New Roman" w:hAnsi="Times New Roman" w:cs="Times New Roman"/>
                <w:color w:val="000000" w:themeColor="text1"/>
                <w:spacing w:val="-2"/>
                <w:sz w:val="24"/>
                <w:szCs w:val="24"/>
                <w:highlight w:val="none"/>
                <w:lang w:eastAsia="zh-CN"/>
                <w14:textFill>
                  <w14:solidFill>
                    <w14:schemeClr w14:val="tx1"/>
                  </w14:solidFill>
                </w14:textFill>
              </w:rPr>
              <w:t>。</w:t>
            </w:r>
          </w:p>
          <w:p w14:paraId="78BFD19F">
            <w:pPr>
              <w:pStyle w:val="2"/>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b w:val="0"/>
                <w:bCs/>
                <w:color w:val="000000" w:themeColor="text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固化废气</w:t>
            </w:r>
            <w:r>
              <w:rPr>
                <w:rFonts w:hint="eastAsia" w:ascii="Times New Roman" w:hAnsi="Times New Roman" w:cs="Times New Roman"/>
                <w:color w:val="000000" w:themeColor="text1"/>
                <w:kern w:val="2"/>
                <w:sz w:val="24"/>
                <w:szCs w:val="24"/>
                <w:highlight w:val="none"/>
                <w:lang w:val="en-US" w:eastAsia="zh-CN"/>
                <w14:textFill>
                  <w14:solidFill>
                    <w14:schemeClr w14:val="tx1"/>
                  </w14:solidFill>
                </w14:textFill>
              </w:rPr>
              <w:t>经</w:t>
            </w:r>
            <w:r>
              <w:rPr>
                <w:rFonts w:hint="eastAsia"/>
                <w:color w:val="000000" w:themeColor="text1"/>
                <w:sz w:val="24"/>
                <w:szCs w:val="32"/>
                <w:highlight w:val="none"/>
                <w:lang w:val="en-US" w:eastAsia="zh-CN"/>
                <w14:textFill>
                  <w14:solidFill>
                    <w14:schemeClr w14:val="tx1"/>
                  </w14:solidFill>
                </w14:textFill>
              </w:rPr>
              <w:t>喷淋</w:t>
            </w:r>
            <w:r>
              <w:rPr>
                <w:rFonts w:hint="eastAsia"/>
                <w:color w:val="000000" w:themeColor="text1"/>
                <w:sz w:val="24"/>
                <w:szCs w:val="32"/>
                <w:highlight w:val="none"/>
                <w14:textFill>
                  <w14:solidFill>
                    <w14:schemeClr w14:val="tx1"/>
                  </w14:solidFill>
                </w14:textFill>
              </w:rPr>
              <w:t>+干式过滤+二级活性炭吸附</w:t>
            </w:r>
            <w:r>
              <w:rPr>
                <w:rFonts w:hint="default" w:ascii="Times New Roman" w:hAnsi="Times New Roman" w:cs="Times New Roman"/>
                <w:color w:val="000000" w:themeColor="text1"/>
                <w:kern w:val="2"/>
                <w:sz w:val="24"/>
                <w:szCs w:val="24"/>
                <w:highlight w:val="none"/>
                <w:lang w:val="en-US" w:eastAsia="zh-CN"/>
                <w14:textFill>
                  <w14:solidFill>
                    <w14:schemeClr w14:val="tx1"/>
                  </w14:solidFill>
                </w14:textFill>
              </w:rPr>
              <w:t>处理后</w:t>
            </w:r>
            <w:r>
              <w:rPr>
                <w:rFonts w:hint="default" w:ascii="Times New Roman" w:hAnsi="Times New Roman" w:cs="Times New Roman"/>
                <w:color w:val="000000" w:themeColor="text1"/>
                <w:kern w:val="2"/>
                <w:sz w:val="24"/>
                <w:szCs w:val="24"/>
                <w:highlight w:val="none"/>
                <w14:textFill>
                  <w14:solidFill>
                    <w14:schemeClr w14:val="tx1"/>
                  </w14:solidFill>
                </w14:textFill>
              </w:rPr>
              <w:t>经</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15</w:t>
            </w:r>
            <w:r>
              <w:rPr>
                <w:rFonts w:hint="default" w:ascii="Times New Roman" w:hAnsi="Times New Roman" w:cs="Times New Roman"/>
                <w:color w:val="000000" w:themeColor="text1"/>
                <w:kern w:val="0"/>
                <w:sz w:val="24"/>
                <w:szCs w:val="24"/>
                <w:highlight w:val="none"/>
                <w:lang w:bidi="ar"/>
                <w14:textFill>
                  <w14:solidFill>
                    <w14:schemeClr w14:val="tx1"/>
                  </w14:solidFill>
                </w14:textFill>
              </w:rPr>
              <w:t>m</w:t>
            </w:r>
            <w:r>
              <w:rPr>
                <w:rFonts w:hint="default" w:ascii="Times New Roman" w:hAnsi="Times New Roman" w:cs="Times New Roman"/>
                <w:color w:val="000000" w:themeColor="text1"/>
                <w:kern w:val="2"/>
                <w:sz w:val="24"/>
                <w:szCs w:val="24"/>
                <w:highlight w:val="none"/>
                <w14:textFill>
                  <w14:solidFill>
                    <w14:schemeClr w14:val="tx1"/>
                  </w14:solidFill>
                </w14:textFill>
              </w:rPr>
              <w:t>高排气筒（</w:t>
            </w:r>
            <w:r>
              <w:rPr>
                <w:rFonts w:hint="eastAsia" w:ascii="Times New Roman" w:cs="Times New Roman"/>
                <w:color w:val="000000" w:themeColor="text1"/>
                <w:kern w:val="2"/>
                <w:sz w:val="24"/>
                <w:szCs w:val="24"/>
                <w:highlight w:val="none"/>
                <w:lang w:eastAsia="zh-CN"/>
                <w14:textFill>
                  <w14:solidFill>
                    <w14:schemeClr w14:val="tx1"/>
                  </w14:solidFill>
                </w14:textFill>
              </w:rPr>
              <w:t>DA00</w:t>
            </w:r>
            <w:r>
              <w:rPr>
                <w:rFonts w:hint="eastAsia" w:ascii="Times New Roman" w:cs="Times New Roman"/>
                <w:color w:val="000000" w:themeColor="text1"/>
                <w:kern w:val="2"/>
                <w:sz w:val="24"/>
                <w:szCs w:val="24"/>
                <w:highlight w:val="none"/>
                <w:lang w:val="en-US" w:eastAsia="zh-CN"/>
                <w14:textFill>
                  <w14:solidFill>
                    <w14:schemeClr w14:val="tx1"/>
                  </w14:solidFill>
                </w14:textFill>
              </w:rPr>
              <w:t>2</w:t>
            </w:r>
            <w:r>
              <w:rPr>
                <w:rFonts w:hint="default" w:ascii="Times New Roman" w:hAnsi="Times New Roman" w:cs="Times New Roman"/>
                <w:color w:val="000000" w:themeColor="text1"/>
                <w:kern w:val="2"/>
                <w:sz w:val="24"/>
                <w:szCs w:val="24"/>
                <w:highlight w:val="none"/>
                <w14:textFill>
                  <w14:solidFill>
                    <w14:schemeClr w14:val="tx1"/>
                  </w14:solidFill>
                </w14:textFill>
              </w:rPr>
              <w:t>）排放</w:t>
            </w:r>
            <w:r>
              <w:rPr>
                <w:rFonts w:hint="eastAsia" w:ascii="Times New Roman" w:hAnsi="Times New Roman" w:cs="Times New Roman"/>
                <w:color w:val="000000" w:themeColor="text1"/>
                <w:kern w:val="2"/>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kern w:val="2"/>
                <w:sz w:val="24"/>
                <w:szCs w:val="24"/>
                <w:highlight w:val="none"/>
                <w:lang w:val="en-US" w:eastAsia="zh-CN"/>
                <w14:textFill>
                  <w14:solidFill>
                    <w14:schemeClr w14:val="tx1"/>
                  </w14:solidFill>
                </w14:textFill>
              </w:rPr>
              <w:t>非甲烷总烃</w:t>
            </w:r>
            <w:r>
              <w:rPr>
                <w:rFonts w:hint="eastAsia" w:ascii="Times New Roman" w:cs="Times New Roman"/>
                <w:color w:val="000000" w:themeColor="text1"/>
                <w:kern w:val="2"/>
                <w:sz w:val="24"/>
                <w:szCs w:val="24"/>
                <w:highlight w:val="none"/>
                <w:lang w:val="en-US" w:eastAsia="zh-CN"/>
                <w14:textFill>
                  <w14:solidFill>
                    <w14:schemeClr w14:val="tx1"/>
                  </w14:solidFill>
                </w14:textFill>
              </w:rPr>
              <w:t>、</w:t>
            </w:r>
            <w:r>
              <w:rPr>
                <w:rFonts w:hint="eastAsia" w:ascii="Times New Roman" w:eastAsia="宋体" w:cs="Times New Roman"/>
                <w:bCs/>
                <w:color w:val="000000" w:themeColor="text1"/>
                <w:sz w:val="24"/>
                <w:szCs w:val="24"/>
                <w:highlight w:val="none"/>
                <w:lang w:val="en-US" w:eastAsia="zh-CN"/>
                <w14:textFill>
                  <w14:solidFill>
                    <w14:schemeClr w14:val="tx1"/>
                  </w14:solidFill>
                </w14:textFill>
              </w:rPr>
              <w:t>苯系物有组织排放均</w:t>
            </w:r>
            <w:r>
              <w:rPr>
                <w:rFonts w:hint="eastAsia" w:ascii="Times New Roman" w:hAnsi="Times New Roman" w:cs="Times New Roman"/>
                <w:color w:val="000000" w:themeColor="text1"/>
                <w:kern w:val="2"/>
                <w:sz w:val="24"/>
                <w:szCs w:val="24"/>
                <w:highlight w:val="none"/>
                <w:lang w:val="en-US" w:eastAsia="zh-CN"/>
                <w14:textFill>
                  <w14:solidFill>
                    <w14:schemeClr w14:val="tx1"/>
                  </w14:solidFill>
                </w14:textFill>
              </w:rPr>
              <w:t>满足</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广东省《固定污染源挥发性有机物综合排放标准》（DB44/2367-2022）中表</w:t>
            </w:r>
            <w:r>
              <w:rPr>
                <w:rFonts w:hint="eastAsia" w:cs="Times New Roman"/>
                <w:color w:val="000000" w:themeColor="text1"/>
                <w:sz w:val="24"/>
                <w:szCs w:val="24"/>
                <w:lang w:val="en-US" w:eastAsia="zh-CN"/>
                <w14:textFill>
                  <w14:solidFill>
                    <w14:schemeClr w14:val="tx1"/>
                  </w14:solidFill>
                </w14:textFill>
              </w:rPr>
              <w:t>1挥发性有机物排放限值，臭气浓度</w:t>
            </w:r>
            <w:r>
              <w:rPr>
                <w:rFonts w:hint="default" w:ascii="Times New Roman" w:hAnsi="Times New Roman" w:cs="Times New Roman"/>
                <w:color w:val="000000" w:themeColor="text1"/>
                <w:spacing w:val="-2"/>
                <w:sz w:val="24"/>
                <w:szCs w:val="24"/>
                <w:highlight w:val="none"/>
                <w14:textFill>
                  <w14:solidFill>
                    <w14:schemeClr w14:val="tx1"/>
                  </w14:solidFill>
                </w14:textFill>
              </w:rPr>
              <w:t>《恶臭污染物排放标准》（GB14554-93）表2污染物排放标准值</w:t>
            </w:r>
            <w:r>
              <w:rPr>
                <w:rFonts w:hint="eastAsia" w:ascii="Times New Roman" w:hAnsi="Times New Roman" w:cs="Times New Roman"/>
                <w:color w:val="000000" w:themeColor="text1"/>
                <w:spacing w:val="-2"/>
                <w:sz w:val="24"/>
                <w:szCs w:val="24"/>
                <w:highlight w:val="none"/>
                <w:lang w:eastAsia="zh-CN"/>
                <w14:textFill>
                  <w14:solidFill>
                    <w14:schemeClr w14:val="tx1"/>
                  </w14:solidFill>
                </w14:textFill>
              </w:rPr>
              <w:t>。</w:t>
            </w:r>
            <w:r>
              <w:rPr>
                <w:rFonts w:hint="eastAsia" w:ascii="Times New Roman" w:cs="Times New Roman"/>
                <w:b w:val="0"/>
                <w:bCs/>
                <w:color w:val="000000" w:themeColor="text1"/>
                <w:szCs w:val="21"/>
                <w:highlight w:val="none"/>
                <w:lang w:val="en-US" w:eastAsia="zh-CN"/>
                <w14:textFill>
                  <w14:solidFill>
                    <w14:schemeClr w14:val="tx1"/>
                  </w14:solidFill>
                </w14:textFill>
              </w:rPr>
              <w:t>固化工段的天然气燃烧废气一同由DA002排放</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r>
              <w:rPr>
                <w:rFonts w:hint="eastAsia" w:ascii="Times New Roman" w:eastAsia="宋体" w:cs="Times New Roman"/>
                <w:bCs/>
                <w:color w:val="000000" w:themeColor="text1"/>
                <w:sz w:val="24"/>
                <w:szCs w:val="24"/>
                <w:highlight w:val="none"/>
                <w:lang w:val="en-US" w:eastAsia="zh-CN"/>
                <w14:textFill>
                  <w14:solidFill>
                    <w14:schemeClr w14:val="tx1"/>
                  </w14:solidFill>
                </w14:textFill>
              </w:rPr>
              <w:t>排放的</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SO</w:t>
            </w:r>
            <w:r>
              <w:rPr>
                <w:rFonts w:hint="default" w:ascii="Times New Roman" w:hAnsi="Times New Roman" w:eastAsia="宋体" w:cs="Times New Roman"/>
                <w:bCs/>
                <w:color w:val="000000" w:themeColor="text1"/>
                <w:sz w:val="24"/>
                <w:szCs w:val="24"/>
                <w:highlight w:val="none"/>
                <w:vertAlign w:val="subscript"/>
                <w:lang w:val="en-US" w:eastAsia="zh-CN"/>
                <w14:textFill>
                  <w14:solidFill>
                    <w14:schemeClr w14:val="tx1"/>
                  </w14:solidFill>
                </w14:textFill>
              </w:rPr>
              <w:t>2</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、NO</w:t>
            </w:r>
            <w:r>
              <w:rPr>
                <w:rFonts w:hint="default" w:ascii="Times New Roman" w:hAnsi="Times New Roman" w:eastAsia="宋体" w:cs="Times New Roman"/>
                <w:bCs/>
                <w:color w:val="000000" w:themeColor="text1"/>
                <w:sz w:val="24"/>
                <w:szCs w:val="24"/>
                <w:highlight w:val="none"/>
                <w:vertAlign w:val="subscript"/>
                <w:lang w:val="en-US" w:eastAsia="zh-CN"/>
                <w14:textFill>
                  <w14:solidFill>
                    <w14:schemeClr w14:val="tx1"/>
                  </w14:solidFill>
                </w14:textFill>
              </w:rPr>
              <w:t>X</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、颗粒物</w:t>
            </w:r>
            <w:r>
              <w:rPr>
                <w:rFonts w:hint="eastAsia" w:ascii="Times New Roman" w:eastAsia="宋体" w:cs="Times New Roman"/>
                <w:bCs/>
                <w:color w:val="000000" w:themeColor="text1"/>
                <w:sz w:val="24"/>
                <w:szCs w:val="24"/>
                <w:highlight w:val="none"/>
                <w:lang w:val="en-US" w:eastAsia="zh-CN"/>
                <w14:textFill>
                  <w14:solidFill>
                    <w14:schemeClr w14:val="tx1"/>
                  </w14:solidFill>
                </w14:textFill>
              </w:rPr>
              <w:t>有组织排放</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均能</w:t>
            </w:r>
            <w:r>
              <w:rPr>
                <w:rFonts w:hint="default" w:ascii="Times New Roman" w:hAnsi="Times New Roman" w:cs="Times New Roman"/>
                <w:color w:val="000000" w:themeColor="text1"/>
                <w:sz w:val="24"/>
                <w:szCs w:val="24"/>
                <w:highlight w:val="none"/>
                <w14:textFill>
                  <w14:solidFill>
                    <w14:schemeClr w14:val="tx1"/>
                  </w14:solidFill>
                </w14:textFill>
              </w:rPr>
              <w:t>满足</w:t>
            </w:r>
            <w:r>
              <w:rPr>
                <w:rFonts w:hint="eastAsia" w:ascii="Times New Roman" w:cs="Times New Roman"/>
                <w:color w:val="000000" w:themeColor="text1"/>
                <w:sz w:val="24"/>
                <w:szCs w:val="24"/>
                <w:highlight w:val="none"/>
                <w:lang w:val="en-US" w:eastAsia="zh-CN"/>
                <w14:textFill>
                  <w14:solidFill>
                    <w14:schemeClr w14:val="tx1"/>
                  </w14:solidFill>
                </w14:textFill>
              </w:rPr>
              <w:t>《关于印发&lt;工业炉窑大气污染综合治理方案&gt;的通知》（环大气〔2019〕56号）和《关于贯彻落实&lt;工业炉窑大气污染物综合治理方案&gt;的实施意见》（粤环函〔2019〕1112号）中颗粒物、二氧化硫、氮氧化物排放限值要求</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烟气黑度满足《工业炉窑大气污染物排放标准》（GB 9078-1996）要求</w:t>
            </w:r>
            <w:r>
              <w:rPr>
                <w:rFonts w:hint="eastAsia" w:ascii="Times New Roman" w:cs="Times New Roman"/>
                <w:color w:val="000000" w:themeColor="text1"/>
                <w:sz w:val="24"/>
                <w:szCs w:val="24"/>
                <w:highlight w:val="none"/>
                <w:lang w:val="en-US" w:eastAsia="zh-CN"/>
                <w14:textFill>
                  <w14:solidFill>
                    <w14:schemeClr w14:val="tx1"/>
                  </w14:solidFill>
                </w14:textFill>
              </w:rPr>
              <w:t>。</w:t>
            </w:r>
          </w:p>
          <w:p w14:paraId="1D1D6DDF">
            <w:pPr>
              <w:pStyle w:val="2"/>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lang w:val="en-US" w:eastAsia="zh-CN"/>
                <w14:textFill>
                  <w14:solidFill>
                    <w14:schemeClr w14:val="tx1"/>
                  </w14:solidFill>
                </w14:textFill>
              </w:rPr>
              <w:t>本项目食堂运行过程中产生的油烟拟收集后经高效静电油烟</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净化器处理后由专用的排烟管道引至宿舍一层楼顶</w:t>
            </w:r>
            <w:r>
              <w:rPr>
                <w:rFonts w:hint="eastAsia" w:ascii="Times New Roman" w:eastAsia="宋体" w:cs="Times New Roman"/>
                <w:color w:val="000000" w:themeColor="text1"/>
                <w:sz w:val="24"/>
                <w:szCs w:val="24"/>
                <w:highlight w:val="none"/>
                <w:lang w:val="en-US" w:eastAsia="zh-CN"/>
                <w14:textFill>
                  <w14:solidFill>
                    <w14:schemeClr w14:val="tx1"/>
                  </w14:solidFill>
                </w14:textFill>
              </w:rPr>
              <w:t>（DA003）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排放</w:t>
            </w:r>
            <w:r>
              <w:rPr>
                <w:rFonts w:hint="default" w:ascii="Times New Roman" w:hAnsi="Times New Roman" w:cs="Times New Roman"/>
                <w:b w:val="0"/>
                <w:bCs/>
                <w:color w:val="000000" w:themeColor="text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排放浓度为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1.2</w:t>
            </w:r>
            <w:r>
              <w:rPr>
                <w:rFonts w:hint="default" w:ascii="Times New Roman" w:hAnsi="Times New Roman" w:eastAsia="宋体" w:cs="Times New Roman"/>
                <w:color w:val="000000" w:themeColor="text1"/>
                <w:sz w:val="24"/>
                <w:szCs w:val="24"/>
                <w:highlight w:val="none"/>
                <w14:textFill>
                  <w14:solidFill>
                    <w14:schemeClr w14:val="tx1"/>
                  </w14:solidFill>
                </w14:textFill>
              </w:rPr>
              <w:t>mg/m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处理效率为75%，</w:t>
            </w:r>
            <w:r>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其排放可满足《饮食业油烟排放标准（试行）》（GB18483-2001）中型规模标准。</w:t>
            </w:r>
          </w:p>
          <w:p w14:paraId="0D0724C9">
            <w:pPr>
              <w:widowControl w:val="0"/>
              <w:wordWrap/>
              <w:spacing w:line="360" w:lineRule="auto"/>
              <w:ind w:firstLine="482" w:firstLineChars="200"/>
              <w:textAlignment w:val="auto"/>
              <w:rPr>
                <w:rFonts w:hint="default" w:ascii="Times New Roman" w:hAnsi="Times New Roman" w:eastAsia="宋体" w:cs="Times New Roman"/>
                <w:b/>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t>（2）无组织废气达标分析</w:t>
            </w:r>
          </w:p>
          <w:p w14:paraId="2260A42A">
            <w:pPr>
              <w:widowControl w:val="0"/>
              <w:wordWrap/>
              <w:spacing w:line="360" w:lineRule="auto"/>
              <w:ind w:firstLine="480" w:firstLineChars="200"/>
              <w:textAlignment w:val="auto"/>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本项目生产过程中未收集的颗粒物在加强车间通风的情况下无组织排放，</w:t>
            </w:r>
            <w:r>
              <w:rPr>
                <w:rFonts w:hint="eastAsia" w:cs="Times New Roman"/>
                <w:bCs/>
                <w:color w:val="000000" w:themeColor="text1"/>
                <w:sz w:val="24"/>
                <w:szCs w:val="24"/>
                <w:highlight w:val="none"/>
                <w:lang w:val="en-US" w:eastAsia="zh-CN"/>
                <w14:textFill>
                  <w14:solidFill>
                    <w14:schemeClr w14:val="tx1"/>
                  </w14:solidFill>
                </w14:textFill>
              </w:rPr>
              <w:t>颗粒物、非甲烷总烃、苯系物（二甲苯）、氟化物满足</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广东省《大气污染物排放限值》（DB44/27-2001）第二时段无组织排放监控浓度限值</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要求</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p w14:paraId="3F7E655B">
            <w:pPr>
              <w:widowControl w:val="0"/>
              <w:wordWrap/>
              <w:spacing w:line="360" w:lineRule="auto"/>
              <w:ind w:firstLine="480" w:firstLineChars="200"/>
              <w:textAlignment w:val="auto"/>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cs="Times New Roman"/>
                <w:bCs/>
                <w:color w:val="000000" w:themeColor="text1"/>
                <w:sz w:val="24"/>
                <w:szCs w:val="24"/>
                <w:highlight w:val="none"/>
                <w:lang w:val="en-US" w:eastAsia="zh-CN"/>
                <w14:textFill>
                  <w14:solidFill>
                    <w14:schemeClr w14:val="tx1"/>
                  </w14:solidFill>
                </w14:textFill>
              </w:rPr>
              <w:t>非甲烷总烃还满足</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《固定污染源挥发性有机物综合排放标准》（DB44/2367-2022）表3厂区内VOCs 无组织排放限值要求</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w:t>
            </w:r>
          </w:p>
          <w:p w14:paraId="68F5E41B">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 w:val="0"/>
                <w:bCs w:val="0"/>
                <w:color w:val="000000" w:themeColor="text1"/>
                <w:kern w:val="2"/>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本项目通过对污水处理设施</w:t>
            </w:r>
            <w:r>
              <w:rPr>
                <w:rFonts w:hint="default" w:ascii="Times New Roman" w:hAnsi="Times New Roman" w:cs="Times New Roman"/>
                <w:color w:val="000000" w:themeColor="text1"/>
                <w:sz w:val="24"/>
                <w:szCs w:val="24"/>
                <w:highlight w:val="none"/>
                <w14:textFill>
                  <w14:solidFill>
                    <w14:schemeClr w14:val="tx1"/>
                  </w14:solidFill>
                </w14:textFill>
              </w:rPr>
              <w:t>采取加盖密闭、加强通风措施后</w:t>
            </w:r>
            <w:r>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臭气浓度可满足</w:t>
            </w:r>
            <w:r>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《恶臭污染物排放标准》(GB14554-93)表1二级标准中“新改扩建”限值要求。</w:t>
            </w:r>
          </w:p>
          <w:p w14:paraId="7590DA85">
            <w:pPr>
              <w:spacing w:line="336" w:lineRule="auto"/>
              <w:ind w:firstLine="480" w:firstLineChars="200"/>
              <w:rPr>
                <w:rFonts w:hint="default" w:ascii="Times New Roman" w:hAnsi="Times New Roman" w:eastAsia="宋体" w:cs="Times New Roman"/>
                <w:bCs/>
                <w:color w:val="000000" w:themeColor="text1"/>
                <w:sz w:val="24"/>
                <w:szCs w:val="24"/>
                <w:highlight w:val="none"/>
                <w14:textFill>
                  <w14:solidFill>
                    <w14:schemeClr w14:val="tx1"/>
                  </w14:solidFill>
                </w14:textFill>
              </w:rPr>
            </w:pPr>
            <w:r>
              <w:rPr>
                <w:rFonts w:hint="default" w:ascii="Times New Roman" w:hAnsi="Times New Roman" w:eastAsia="宋体" w:cs="Times New Roman"/>
                <w:bCs/>
                <w:color w:val="000000" w:themeColor="text1"/>
                <w:sz w:val="24"/>
                <w:szCs w:val="24"/>
                <w:highlight w:val="none"/>
                <w14:textFill>
                  <w14:solidFill>
                    <w14:schemeClr w14:val="tx1"/>
                  </w14:solidFill>
                </w14:textFill>
              </w:rPr>
              <w:t>根据</w:t>
            </w:r>
            <w:r>
              <w:rPr>
                <w:rFonts w:hint="default" w:ascii="Times New Roman" w:hAnsi="Times New Roman" w:cs="Times New Roman"/>
                <w:color w:val="000000" w:themeColor="text1"/>
                <w:sz w:val="24"/>
                <w:highlight w:val="none"/>
                <w14:textFill>
                  <w14:solidFill>
                    <w14:schemeClr w14:val="tx1"/>
                  </w14:solidFill>
                </w14:textFill>
              </w:rPr>
              <w:t>《2024年韶关市生态环境状况公报》</w:t>
            </w:r>
            <w:r>
              <w:rPr>
                <w:rFonts w:hint="default" w:ascii="Times New Roman" w:hAnsi="Times New Roman" w:eastAsia="宋体" w:cs="Times New Roman"/>
                <w:bCs/>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202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highlight w:val="none"/>
                <w14:textFill>
                  <w14:solidFill>
                    <w14:schemeClr w14:val="tx1"/>
                  </w14:solidFill>
                </w14:textFill>
              </w:rPr>
              <w:t>年</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乐昌</w:t>
            </w:r>
            <w:r>
              <w:rPr>
                <w:rFonts w:hint="default" w:ascii="Times New Roman" w:hAnsi="Times New Roman" w:eastAsia="宋体" w:cs="Times New Roman"/>
                <w:color w:val="000000" w:themeColor="text1"/>
                <w:sz w:val="24"/>
                <w:highlight w:val="none"/>
                <w14:textFill>
                  <w14:solidFill>
                    <w14:schemeClr w14:val="tx1"/>
                  </w14:solidFill>
                </w14:textFill>
              </w:rPr>
              <w:t>市环境空气中</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的</w:t>
            </w:r>
            <w:r>
              <w:rPr>
                <w:rFonts w:hint="default" w:ascii="Times New Roman" w:hAnsi="Times New Roman" w:eastAsia="宋体" w:cs="Times New Roman"/>
                <w:color w:val="000000" w:themeColor="text1"/>
                <w:sz w:val="24"/>
                <w:highlight w:val="none"/>
                <w14:textFill>
                  <w14:solidFill>
                    <w14:schemeClr w14:val="tx1"/>
                  </w14:solidFill>
                </w14:textFill>
              </w:rPr>
              <w:t>二氧化硫、二氧化氮、可吸入颗粒物（PM</w:t>
            </w:r>
            <w:r>
              <w:rPr>
                <w:rFonts w:hint="default" w:ascii="Times New Roman" w:hAnsi="Times New Roman" w:eastAsia="宋体" w:cs="Times New Roman"/>
                <w:color w:val="000000" w:themeColor="text1"/>
                <w:sz w:val="24"/>
                <w:highlight w:val="none"/>
                <w:vertAlign w:val="subscript"/>
                <w14:textFill>
                  <w14:solidFill>
                    <w14:schemeClr w14:val="tx1"/>
                  </w14:solidFill>
                </w14:textFill>
              </w:rPr>
              <w:t>10</w:t>
            </w:r>
            <w:r>
              <w:rPr>
                <w:rFonts w:hint="default" w:ascii="Times New Roman" w:hAnsi="Times New Roman" w:eastAsia="宋体" w:cs="Times New Roman"/>
                <w:color w:val="000000" w:themeColor="text1"/>
                <w:sz w:val="24"/>
                <w:highlight w:val="none"/>
                <w14:textFill>
                  <w14:solidFill>
                    <w14:schemeClr w14:val="tx1"/>
                  </w14:solidFill>
                </w14:textFill>
              </w:rPr>
              <w:t>）、细颗粒物（PM</w:t>
            </w:r>
            <w:r>
              <w:rPr>
                <w:rFonts w:hint="default" w:ascii="Times New Roman" w:hAnsi="Times New Roman" w:eastAsia="宋体" w:cs="Times New Roman"/>
                <w:color w:val="000000" w:themeColor="text1"/>
                <w:sz w:val="24"/>
                <w:highlight w:val="none"/>
                <w:vertAlign w:val="subscript"/>
                <w14:textFill>
                  <w14:solidFill>
                    <w14:schemeClr w14:val="tx1"/>
                  </w14:solidFill>
                </w14:textFill>
              </w:rPr>
              <w:t>2.5</w:t>
            </w:r>
            <w:r>
              <w:rPr>
                <w:rFonts w:hint="default" w:ascii="Times New Roman" w:hAnsi="Times New Roman" w:eastAsia="宋体" w:cs="Times New Roman"/>
                <w:color w:val="000000" w:themeColor="text1"/>
                <w:sz w:val="24"/>
                <w:highlight w:val="none"/>
                <w14:textFill>
                  <w14:solidFill>
                    <w14:schemeClr w14:val="tx1"/>
                  </w14:solidFill>
                </w14:textFill>
              </w:rPr>
              <w:t>）年平均浓度及一氧化碳24小时平均第95百分位数、臭氧日最大8小时滑动平均值的第90百分位数均符合国家《环境空气质量标准》（GB3095-2026）过渡阶段浓度限值二级标准</w:t>
            </w:r>
            <w:r>
              <w:rPr>
                <w:rFonts w:hint="default" w:ascii="Times New Roman" w:hAnsi="Times New Roman" w:eastAsia="宋体" w:cs="Times New Roman"/>
                <w:color w:val="000000" w:themeColor="text1"/>
                <w:kern w:val="21"/>
                <w:sz w:val="24"/>
                <w:szCs w:val="24"/>
                <w:highlight w:val="none"/>
                <w14:textFill>
                  <w14:solidFill>
                    <w14:schemeClr w14:val="tx1"/>
                  </w14:solidFill>
                </w14:textFill>
              </w:rPr>
              <w:t>。</w:t>
            </w:r>
            <w:r>
              <w:rPr>
                <w:rFonts w:hint="default" w:ascii="Times New Roman" w:hAnsi="Times New Roman" w:eastAsia="宋体" w:cs="Times New Roman"/>
                <w:bCs/>
                <w:color w:val="000000" w:themeColor="text1"/>
                <w:sz w:val="24"/>
                <w:szCs w:val="24"/>
                <w:highlight w:val="none"/>
                <w14:textFill>
                  <w14:solidFill>
                    <w14:schemeClr w14:val="tx1"/>
                  </w14:solidFill>
                </w14:textFill>
              </w:rPr>
              <w:t>项目采取的废气治理设施为可行技术，厂界外500米范围内</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大气环境保护目标为位于项目</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东</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北面</w:t>
            </w:r>
            <w:r>
              <w:rPr>
                <w:rFonts w:hint="eastAsia" w:cs="Times New Roman"/>
                <w:color w:val="000000" w:themeColor="text1"/>
                <w:sz w:val="24"/>
                <w:szCs w:val="24"/>
                <w:highlight w:val="none"/>
                <w:lang w:val="en-US" w:eastAsia="zh-CN"/>
                <w14:textFill>
                  <w14:solidFill>
                    <w14:schemeClr w14:val="tx1"/>
                  </w14:solidFill>
                </w14:textFill>
              </w:rPr>
              <w:t>377</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m的王屋小学</w:t>
            </w:r>
            <w:r>
              <w:rPr>
                <w:rFonts w:hint="eastAsia" w:cs="Times New Roman"/>
                <w:color w:val="000000" w:themeColor="text1"/>
                <w:sz w:val="24"/>
                <w:szCs w:val="24"/>
                <w:highlight w:val="none"/>
                <w:lang w:val="en-US" w:eastAsia="zh-CN"/>
                <w14:textFill>
                  <w14:solidFill>
                    <w14:schemeClr w14:val="tx1"/>
                  </w14:solidFill>
                </w14:textFill>
              </w:rPr>
              <w:t>、464m处村落</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，且不在多年主导风向下风向，</w:t>
            </w:r>
            <w:r>
              <w:rPr>
                <w:rFonts w:hint="default" w:ascii="Times New Roman" w:hAnsi="Times New Roman" w:eastAsia="宋体" w:cs="Times New Roman"/>
                <w:bCs/>
                <w:color w:val="000000" w:themeColor="text1"/>
                <w:sz w:val="24"/>
                <w:szCs w:val="24"/>
                <w:highlight w:val="none"/>
                <w14:textFill>
                  <w14:solidFill>
                    <w14:schemeClr w14:val="tx1"/>
                  </w14:solidFill>
                </w14:textFill>
              </w:rPr>
              <w:t>在建设单位在加强环保管理，确保废气处理设施的正常运行的情况下，废气经收集处理后可做到稳定达标。项目在废气稳定达标的前提下，项目对周边环境</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空气及</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大气环境保护目标</w:t>
            </w:r>
            <w:r>
              <w:rPr>
                <w:rFonts w:hint="default" w:ascii="Times New Roman" w:hAnsi="Times New Roman" w:eastAsia="宋体" w:cs="Times New Roman"/>
                <w:bCs/>
                <w:color w:val="000000" w:themeColor="text1"/>
                <w:sz w:val="24"/>
                <w:szCs w:val="24"/>
                <w:highlight w:val="none"/>
                <w14:textFill>
                  <w14:solidFill>
                    <w14:schemeClr w14:val="tx1"/>
                  </w14:solidFill>
                </w14:textFill>
              </w:rPr>
              <w:t>的影响是可以接受的。</w:t>
            </w:r>
          </w:p>
          <w:p w14:paraId="72BF7CEA">
            <w:pPr>
              <w:keepNext w:val="0"/>
              <w:keepLines w:val="0"/>
              <w:pageBreakBefore w:val="0"/>
              <w:widowControl/>
              <w:numPr>
                <w:ilvl w:val="0"/>
                <w:numId w:val="0"/>
              </w:numPr>
              <w:tabs>
                <w:tab w:val="left" w:pos="312"/>
              </w:tabs>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1.5</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废气非正常工况分析</w:t>
            </w:r>
          </w:p>
          <w:p w14:paraId="23B184B3">
            <w:pPr>
              <w:widowControl w:val="0"/>
              <w:kinsoku/>
              <w:autoSpaceDE/>
              <w:autoSpaceDN/>
              <w:adjustRightInd/>
              <w:snapToGrid/>
              <w:spacing w:line="360" w:lineRule="auto"/>
              <w:ind w:firstLine="480" w:firstLineChars="200"/>
              <w:jc w:val="both"/>
              <w:textAlignment w:val="auto"/>
              <w:rPr>
                <w:rFonts w:hint="default" w:ascii="Times New Roman" w:hAnsi="Times New Roman" w:eastAsia="宋体" w:cs="Times New Roman"/>
                <w:snapToGrid/>
                <w:color w:val="000000" w:themeColor="text1"/>
                <w:spacing w:val="-4"/>
                <w:kern w:val="2"/>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非正常排放是指生产过程中开停车（工、炉）、设备检修、工艺设备运转异常等非正常情况下的污染物排放，以及污</w:t>
            </w:r>
            <w:r>
              <w:rPr>
                <w:rFonts w:hint="default" w:ascii="Times New Roman" w:hAnsi="Times New Roman" w:eastAsia="宋体" w:cs="Times New Roman"/>
                <w:color w:val="000000" w:themeColor="text1"/>
                <w:sz w:val="24"/>
                <w:szCs w:val="24"/>
                <w:highlight w:val="none"/>
                <w14:textFill>
                  <w14:solidFill>
                    <w14:schemeClr w14:val="tx1"/>
                  </w14:solidFill>
                </w14:textFill>
              </w:rPr>
              <w:t>染物排放控制措施达不到应有效率等情况下的排放。本项目废气非正常工况排放主要为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除尘器故障，</w:t>
            </w:r>
            <w:r>
              <w:rPr>
                <w:rFonts w:hint="default" w:ascii="Times New Roman" w:hAnsi="Times New Roman" w:eastAsia="宋体" w:cs="Times New Roman"/>
                <w:color w:val="000000" w:themeColor="text1"/>
                <w:sz w:val="24"/>
                <w:szCs w:val="24"/>
                <w:highlight w:val="none"/>
                <w14:textFill>
                  <w14:solidFill>
                    <w14:schemeClr w14:val="tx1"/>
                  </w14:solidFill>
                </w14:textFill>
              </w:rPr>
              <w:t>粉尘废气未经处理直接排放，废气处理效率</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降</w:t>
            </w:r>
            <w:r>
              <w:rPr>
                <w:rFonts w:hint="default" w:ascii="Times New Roman" w:hAnsi="Times New Roman" w:eastAsia="宋体" w:cs="Times New Roman"/>
                <w:color w:val="000000" w:themeColor="text1"/>
                <w:sz w:val="24"/>
                <w:szCs w:val="24"/>
                <w:highlight w:val="none"/>
                <w14:textFill>
                  <w14:solidFill>
                    <w14:schemeClr w14:val="tx1"/>
                  </w14:solidFill>
                </w14:textFill>
              </w:rPr>
              <w:t>为0%的状态估算，但废气收集系统可以正常运行，废气通过排气筒排放等情况，废气处理设施出现故障时不能正常运行时，应立即停产进行维修，避免对周围环境造成污染。</w:t>
            </w:r>
          </w:p>
          <w:p w14:paraId="38EE9BAF">
            <w:pPr>
              <w:keepNext w:val="0"/>
              <w:keepLines w:val="0"/>
              <w:widowControl/>
              <w:numPr>
                <w:ilvl w:val="0"/>
                <w:numId w:val="0"/>
              </w:numPr>
              <w:suppressLineNumbers w:val="0"/>
              <w:tabs>
                <w:tab w:val="left" w:pos="0"/>
              </w:tabs>
              <w:spacing w:before="0" w:beforeAutospacing="0" w:after="0" w:afterAutospacing="0" w:line="240" w:lineRule="auto"/>
              <w:ind w:left="0" w:leftChars="0" w:right="0" w:rightChars="0" w:firstLine="40" w:firstLineChars="0"/>
              <w:jc w:val="cente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w:t>
            </w:r>
            <w:r>
              <w:rPr>
                <w:rFonts w:hint="eastAsia" w:cs="Times New Roman"/>
                <w:b/>
                <w:bCs/>
                <w:color w:val="000000" w:themeColor="text1"/>
                <w:kern w:val="2"/>
                <w:sz w:val="21"/>
                <w:szCs w:val="21"/>
                <w:lang w:val="en-US" w:eastAsia="zh-CN" w:bidi="ar-SA"/>
                <w14:textFill>
                  <w14:solidFill>
                    <w14:schemeClr w14:val="tx1"/>
                  </w14:solidFill>
                </w14:textFill>
              </w:rPr>
              <w:t>19</w:t>
            </w: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本项目污染源非正常排放量核算表</w:t>
            </w:r>
          </w:p>
          <w:tbl>
            <w:tblPr>
              <w:tblStyle w:val="132"/>
              <w:tblW w:w="4994"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1"/>
              <w:gridCol w:w="934"/>
              <w:gridCol w:w="1534"/>
              <w:gridCol w:w="1093"/>
              <w:gridCol w:w="1280"/>
              <w:gridCol w:w="870"/>
              <w:gridCol w:w="660"/>
              <w:gridCol w:w="599"/>
              <w:gridCol w:w="1008"/>
            </w:tblGrid>
            <w:tr w14:paraId="21E5F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411" w:type="dxa"/>
                  <w:tcBorders>
                    <w:tl2br w:val="nil"/>
                    <w:tr2bl w:val="nil"/>
                  </w:tcBorders>
                  <w:noWrap w:val="0"/>
                  <w:vAlign w:val="center"/>
                </w:tcPr>
                <w:p w14:paraId="2C48EF69">
                  <w:pPr>
                    <w:keepNext w:val="0"/>
                    <w:keepLines w:val="0"/>
                    <w:widowControl/>
                    <w:suppressLineNumbers w:val="0"/>
                    <w:jc w:val="center"/>
                    <w:textAlignment w:val="cente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序号</w:t>
                  </w:r>
                </w:p>
              </w:tc>
              <w:tc>
                <w:tcPr>
                  <w:tcW w:w="934" w:type="dxa"/>
                  <w:tcBorders>
                    <w:tl2br w:val="nil"/>
                    <w:tr2bl w:val="nil"/>
                  </w:tcBorders>
                  <w:noWrap w:val="0"/>
                  <w:vAlign w:val="center"/>
                </w:tcPr>
                <w:p w14:paraId="16CE4998">
                  <w:pPr>
                    <w:keepNext w:val="0"/>
                    <w:keepLines w:val="0"/>
                    <w:widowControl/>
                    <w:suppressLineNumbers w:val="0"/>
                    <w:jc w:val="center"/>
                    <w:textAlignment w:val="cente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排放源</w:t>
                  </w:r>
                </w:p>
              </w:tc>
              <w:tc>
                <w:tcPr>
                  <w:tcW w:w="1534" w:type="dxa"/>
                  <w:tcBorders>
                    <w:tl2br w:val="nil"/>
                    <w:tr2bl w:val="nil"/>
                  </w:tcBorders>
                  <w:noWrap w:val="0"/>
                  <w:vAlign w:val="center"/>
                </w:tcPr>
                <w:p w14:paraId="6862BAC2">
                  <w:pPr>
                    <w:keepNext w:val="0"/>
                    <w:keepLines w:val="0"/>
                    <w:widowControl/>
                    <w:suppressLineNumbers w:val="0"/>
                    <w:jc w:val="center"/>
                    <w:textAlignment w:val="cente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非正常排放原因</w:t>
                  </w:r>
                </w:p>
              </w:tc>
              <w:tc>
                <w:tcPr>
                  <w:tcW w:w="1093" w:type="dxa"/>
                  <w:tcBorders>
                    <w:tl2br w:val="nil"/>
                    <w:tr2bl w:val="nil"/>
                  </w:tcBorders>
                  <w:noWrap w:val="0"/>
                  <w:vAlign w:val="center"/>
                </w:tcPr>
                <w:p w14:paraId="5A993654">
                  <w:pPr>
                    <w:keepNext w:val="0"/>
                    <w:keepLines w:val="0"/>
                    <w:widowControl/>
                    <w:suppressLineNumbers w:val="0"/>
                    <w:jc w:val="center"/>
                    <w:textAlignment w:val="cente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污染物</w:t>
                  </w:r>
                </w:p>
              </w:tc>
              <w:tc>
                <w:tcPr>
                  <w:tcW w:w="1280" w:type="dxa"/>
                  <w:tcBorders>
                    <w:tl2br w:val="nil"/>
                    <w:tr2bl w:val="nil"/>
                  </w:tcBorders>
                  <w:noWrap w:val="0"/>
                  <w:vAlign w:val="center"/>
                </w:tcPr>
                <w:p w14:paraId="7166B10E">
                  <w:pPr>
                    <w:keepNext w:val="0"/>
                    <w:keepLines w:val="0"/>
                    <w:widowControl/>
                    <w:suppressLineNumbers w:val="0"/>
                    <w:jc w:val="center"/>
                    <w:textAlignment w:val="cente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非正常排放浓度</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mg/m</w:t>
                  </w:r>
                  <w:r>
                    <w:rPr>
                      <w:rFonts w:hint="default" w:ascii="Times New Roman" w:hAnsi="Times New Roman" w:eastAsia="宋体" w:cs="Times New Roman"/>
                      <w:b/>
                      <w:bCs/>
                      <w:i w:val="0"/>
                      <w:iCs w:val="0"/>
                      <w:color w:val="000000" w:themeColor="text1"/>
                      <w:kern w:val="0"/>
                      <w:sz w:val="21"/>
                      <w:szCs w:val="21"/>
                      <w:u w:val="none"/>
                      <w:vertAlign w:val="superscript"/>
                      <w:lang w:val="en-US" w:eastAsia="zh-CN" w:bidi="ar"/>
                      <w14:textFill>
                        <w14:solidFill>
                          <w14:schemeClr w14:val="tx1"/>
                        </w14:solidFill>
                      </w14:textFill>
                    </w:rPr>
                    <w:t>3</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p>
              </w:tc>
              <w:tc>
                <w:tcPr>
                  <w:tcW w:w="870" w:type="dxa"/>
                  <w:tcBorders>
                    <w:tl2br w:val="nil"/>
                    <w:tr2bl w:val="nil"/>
                  </w:tcBorders>
                  <w:noWrap w:val="0"/>
                  <w:vAlign w:val="center"/>
                </w:tcPr>
                <w:p w14:paraId="3C5EEEFB">
                  <w:pPr>
                    <w:keepNext w:val="0"/>
                    <w:keepLines w:val="0"/>
                    <w:widowControl/>
                    <w:suppressLineNumbers w:val="0"/>
                    <w:jc w:val="center"/>
                    <w:textAlignment w:val="cente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非正常排放速率</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kg/h</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p>
              </w:tc>
              <w:tc>
                <w:tcPr>
                  <w:tcW w:w="660" w:type="dxa"/>
                  <w:tcBorders>
                    <w:tl2br w:val="nil"/>
                    <w:tr2bl w:val="nil"/>
                  </w:tcBorders>
                  <w:noWrap w:val="0"/>
                  <w:vAlign w:val="center"/>
                </w:tcPr>
                <w:p w14:paraId="38186C03">
                  <w:pPr>
                    <w:keepNext w:val="0"/>
                    <w:keepLines w:val="0"/>
                    <w:widowControl/>
                    <w:suppressLineNumbers w:val="0"/>
                    <w:jc w:val="center"/>
                    <w:textAlignment w:val="cente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单次持续时间</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/h</w:t>
                  </w:r>
                </w:p>
              </w:tc>
              <w:tc>
                <w:tcPr>
                  <w:tcW w:w="599" w:type="dxa"/>
                  <w:tcBorders>
                    <w:tl2br w:val="nil"/>
                    <w:tr2bl w:val="nil"/>
                  </w:tcBorders>
                  <w:noWrap w:val="0"/>
                  <w:vAlign w:val="center"/>
                </w:tcPr>
                <w:p w14:paraId="3687870D">
                  <w:pPr>
                    <w:keepNext w:val="0"/>
                    <w:keepLines w:val="0"/>
                    <w:widowControl/>
                    <w:suppressLineNumbers w:val="0"/>
                    <w:jc w:val="center"/>
                    <w:textAlignment w:val="cente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年发生频次</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次</w:t>
                  </w:r>
                </w:p>
              </w:tc>
              <w:tc>
                <w:tcPr>
                  <w:tcW w:w="1008" w:type="dxa"/>
                  <w:tcBorders>
                    <w:tl2br w:val="nil"/>
                    <w:tr2bl w:val="nil"/>
                  </w:tcBorders>
                  <w:noWrap w:val="0"/>
                  <w:vAlign w:val="center"/>
                </w:tcPr>
                <w:p w14:paraId="66919989">
                  <w:pPr>
                    <w:keepNext w:val="0"/>
                    <w:keepLines w:val="0"/>
                    <w:widowControl/>
                    <w:suppressLineNumbers w:val="0"/>
                    <w:jc w:val="center"/>
                    <w:textAlignment w:val="cente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应对措施</w:t>
                  </w:r>
                </w:p>
              </w:tc>
            </w:tr>
            <w:tr w14:paraId="35450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411" w:type="dxa"/>
                  <w:vMerge w:val="restart"/>
                  <w:tcBorders>
                    <w:tl2br w:val="nil"/>
                    <w:tr2bl w:val="nil"/>
                  </w:tcBorders>
                  <w:noWrap w:val="0"/>
                  <w:vAlign w:val="center"/>
                </w:tcPr>
                <w:p w14:paraId="700F030A">
                  <w:pPr>
                    <w:keepNext w:val="0"/>
                    <w:keepLines w:val="0"/>
                    <w:widowControl/>
                    <w:suppressLineNumbers w:val="0"/>
                    <w:jc w:val="center"/>
                    <w:textAlignment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w:t>
                  </w:r>
                </w:p>
              </w:tc>
              <w:tc>
                <w:tcPr>
                  <w:tcW w:w="934" w:type="dxa"/>
                  <w:vMerge w:val="restart"/>
                  <w:tcBorders>
                    <w:tl2br w:val="nil"/>
                    <w:tr2bl w:val="nil"/>
                  </w:tcBorders>
                  <w:noWrap w:val="0"/>
                  <w:vAlign w:val="center"/>
                </w:tcPr>
                <w:p w14:paraId="06D8FB1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DA001</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排气筒</w:t>
                  </w:r>
                </w:p>
              </w:tc>
              <w:tc>
                <w:tcPr>
                  <w:tcW w:w="1534" w:type="dxa"/>
                  <w:vMerge w:val="restart"/>
                  <w:tcBorders>
                    <w:tl2br w:val="nil"/>
                    <w:tr2bl w:val="nil"/>
                  </w:tcBorders>
                  <w:noWrap w:val="0"/>
                  <w:vAlign w:val="center"/>
                </w:tcPr>
                <w:p w14:paraId="764DCFB1">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废气设施失效</w:t>
                  </w:r>
                </w:p>
              </w:tc>
              <w:tc>
                <w:tcPr>
                  <w:tcW w:w="1093" w:type="dxa"/>
                  <w:tcBorders>
                    <w:tl2br w:val="nil"/>
                    <w:tr2bl w:val="nil"/>
                  </w:tcBorders>
                  <w:noWrap w:val="0"/>
                  <w:vAlign w:val="center"/>
                </w:tcPr>
                <w:p w14:paraId="5C4669C5">
                  <w:pPr>
                    <w:keepNext w:val="0"/>
                    <w:keepLines w:val="0"/>
                    <w:widowControl/>
                    <w:suppressLineNumbers w:val="0"/>
                    <w:jc w:val="center"/>
                    <w:textAlignment w:val="center"/>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颗粒物</w:t>
                  </w:r>
                </w:p>
              </w:tc>
              <w:tc>
                <w:tcPr>
                  <w:tcW w:w="1280" w:type="dxa"/>
                  <w:tcBorders>
                    <w:tl2br w:val="nil"/>
                    <w:tr2bl w:val="nil"/>
                  </w:tcBorders>
                  <w:noWrap w:val="0"/>
                  <w:vAlign w:val="center"/>
                </w:tcPr>
                <w:p w14:paraId="2E164759">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5.1 </w:t>
                  </w:r>
                </w:p>
              </w:tc>
              <w:tc>
                <w:tcPr>
                  <w:tcW w:w="870" w:type="dxa"/>
                  <w:tcBorders>
                    <w:tl2br w:val="nil"/>
                    <w:tr2bl w:val="nil"/>
                  </w:tcBorders>
                  <w:noWrap w:val="0"/>
                  <w:vAlign w:val="center"/>
                </w:tcPr>
                <w:p w14:paraId="7A5098D7">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0.930 </w:t>
                  </w:r>
                </w:p>
              </w:tc>
              <w:tc>
                <w:tcPr>
                  <w:tcW w:w="660" w:type="dxa"/>
                  <w:vMerge w:val="restart"/>
                  <w:tcBorders>
                    <w:tl2br w:val="nil"/>
                    <w:tr2bl w:val="nil"/>
                  </w:tcBorders>
                  <w:noWrap w:val="0"/>
                  <w:vAlign w:val="center"/>
                </w:tcPr>
                <w:p w14:paraId="3BCF69F0">
                  <w:pPr>
                    <w:keepNext w:val="0"/>
                    <w:keepLines w:val="0"/>
                    <w:widowControl/>
                    <w:suppressLineNumbers w:val="0"/>
                    <w:jc w:val="center"/>
                    <w:textAlignment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599" w:type="dxa"/>
                  <w:vMerge w:val="restart"/>
                  <w:tcBorders>
                    <w:tl2br w:val="nil"/>
                    <w:tr2bl w:val="nil"/>
                  </w:tcBorders>
                  <w:noWrap w:val="0"/>
                  <w:vAlign w:val="center"/>
                </w:tcPr>
                <w:p w14:paraId="35FF2CFA">
                  <w:pPr>
                    <w:keepNext w:val="0"/>
                    <w:keepLines w:val="0"/>
                    <w:widowControl/>
                    <w:suppressLineNumbers w:val="0"/>
                    <w:jc w:val="center"/>
                    <w:textAlignment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008" w:type="dxa"/>
                  <w:vMerge w:val="restart"/>
                  <w:tcBorders>
                    <w:tl2br w:val="nil"/>
                    <w:tr2bl w:val="nil"/>
                  </w:tcBorders>
                  <w:noWrap w:val="0"/>
                  <w:vAlign w:val="center"/>
                </w:tcPr>
                <w:p w14:paraId="365FBDA1">
                  <w:pPr>
                    <w:keepNext w:val="0"/>
                    <w:keepLines w:val="0"/>
                    <w:widowControl/>
                    <w:suppressLineNumbers w:val="0"/>
                    <w:jc w:val="center"/>
                    <w:textAlignment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停止生产并修复处理设备</w:t>
                  </w:r>
                </w:p>
              </w:tc>
            </w:tr>
            <w:tr w14:paraId="242DDB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411" w:type="dxa"/>
                  <w:vMerge w:val="continue"/>
                  <w:tcBorders>
                    <w:tl2br w:val="nil"/>
                    <w:tr2bl w:val="nil"/>
                  </w:tcBorders>
                  <w:noWrap w:val="0"/>
                  <w:vAlign w:val="center"/>
                </w:tcPr>
                <w:p w14:paraId="3A7A7FA8">
                  <w:pPr>
                    <w:jc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p>
              </w:tc>
              <w:tc>
                <w:tcPr>
                  <w:tcW w:w="934" w:type="dxa"/>
                  <w:vMerge w:val="continue"/>
                  <w:tcBorders>
                    <w:tl2br w:val="nil"/>
                    <w:tr2bl w:val="nil"/>
                  </w:tcBorders>
                  <w:noWrap w:val="0"/>
                  <w:vAlign w:val="center"/>
                </w:tcPr>
                <w:p w14:paraId="4DC0535F">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1534" w:type="dxa"/>
                  <w:vMerge w:val="continue"/>
                  <w:tcBorders>
                    <w:tl2br w:val="nil"/>
                    <w:tr2bl w:val="nil"/>
                  </w:tcBorders>
                  <w:noWrap w:val="0"/>
                  <w:vAlign w:val="center"/>
                </w:tcPr>
                <w:p w14:paraId="3E6435BD">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093" w:type="dxa"/>
                  <w:tcBorders>
                    <w:tl2br w:val="nil"/>
                    <w:tr2bl w:val="nil"/>
                  </w:tcBorders>
                  <w:noWrap w:val="0"/>
                  <w:vAlign w:val="center"/>
                </w:tcPr>
                <w:p w14:paraId="1CFD683D">
                  <w:pPr>
                    <w:keepNext w:val="0"/>
                    <w:keepLines w:val="0"/>
                    <w:widowControl/>
                    <w:suppressLineNumbers w:val="0"/>
                    <w:jc w:val="center"/>
                    <w:textAlignment w:val="center"/>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非甲烷总烃</w:t>
                  </w:r>
                </w:p>
              </w:tc>
              <w:tc>
                <w:tcPr>
                  <w:tcW w:w="1280" w:type="dxa"/>
                  <w:tcBorders>
                    <w:tl2br w:val="nil"/>
                    <w:tr2bl w:val="nil"/>
                  </w:tcBorders>
                  <w:noWrap w:val="0"/>
                  <w:vAlign w:val="center"/>
                </w:tcPr>
                <w:p w14:paraId="09D74521">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7.3 </w:t>
                  </w:r>
                </w:p>
              </w:tc>
              <w:tc>
                <w:tcPr>
                  <w:tcW w:w="870" w:type="dxa"/>
                  <w:tcBorders>
                    <w:tl2br w:val="nil"/>
                    <w:tr2bl w:val="nil"/>
                  </w:tcBorders>
                  <w:noWrap w:val="0"/>
                  <w:vAlign w:val="center"/>
                </w:tcPr>
                <w:p w14:paraId="5B92366A">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1.328 </w:t>
                  </w:r>
                </w:p>
              </w:tc>
              <w:tc>
                <w:tcPr>
                  <w:tcW w:w="660" w:type="dxa"/>
                  <w:vMerge w:val="continue"/>
                  <w:tcBorders>
                    <w:tl2br w:val="nil"/>
                    <w:tr2bl w:val="nil"/>
                  </w:tcBorders>
                  <w:noWrap w:val="0"/>
                  <w:vAlign w:val="center"/>
                </w:tcPr>
                <w:p w14:paraId="4B4515E1">
                  <w:pPr>
                    <w:jc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p>
              </w:tc>
              <w:tc>
                <w:tcPr>
                  <w:tcW w:w="599" w:type="dxa"/>
                  <w:vMerge w:val="continue"/>
                  <w:tcBorders>
                    <w:tl2br w:val="nil"/>
                    <w:tr2bl w:val="nil"/>
                  </w:tcBorders>
                  <w:noWrap w:val="0"/>
                  <w:vAlign w:val="center"/>
                </w:tcPr>
                <w:p w14:paraId="0BE2E4A9">
                  <w:pPr>
                    <w:jc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p>
              </w:tc>
              <w:tc>
                <w:tcPr>
                  <w:tcW w:w="1008" w:type="dxa"/>
                  <w:vMerge w:val="continue"/>
                  <w:tcBorders>
                    <w:tl2br w:val="nil"/>
                    <w:tr2bl w:val="nil"/>
                  </w:tcBorders>
                  <w:noWrap w:val="0"/>
                  <w:vAlign w:val="center"/>
                </w:tcPr>
                <w:p w14:paraId="5D1C6ACA">
                  <w:pPr>
                    <w:jc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p>
              </w:tc>
            </w:tr>
            <w:tr w14:paraId="4B4E3C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411" w:type="dxa"/>
                  <w:vMerge w:val="continue"/>
                  <w:tcBorders>
                    <w:tl2br w:val="nil"/>
                    <w:tr2bl w:val="nil"/>
                  </w:tcBorders>
                  <w:noWrap w:val="0"/>
                  <w:vAlign w:val="center"/>
                </w:tcPr>
                <w:p w14:paraId="31054050">
                  <w:pPr>
                    <w:jc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p>
              </w:tc>
              <w:tc>
                <w:tcPr>
                  <w:tcW w:w="934" w:type="dxa"/>
                  <w:vMerge w:val="continue"/>
                  <w:tcBorders>
                    <w:tl2br w:val="nil"/>
                    <w:tr2bl w:val="nil"/>
                  </w:tcBorders>
                  <w:noWrap w:val="0"/>
                  <w:vAlign w:val="center"/>
                </w:tcPr>
                <w:p w14:paraId="0864DAB5">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1534" w:type="dxa"/>
                  <w:vMerge w:val="continue"/>
                  <w:tcBorders>
                    <w:tl2br w:val="nil"/>
                    <w:tr2bl w:val="nil"/>
                  </w:tcBorders>
                  <w:noWrap w:val="0"/>
                  <w:vAlign w:val="center"/>
                </w:tcPr>
                <w:p w14:paraId="0A09DDBE">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093" w:type="dxa"/>
                  <w:tcBorders>
                    <w:tl2br w:val="nil"/>
                    <w:tr2bl w:val="nil"/>
                  </w:tcBorders>
                  <w:shd w:val="clear" w:color="auto" w:fill="auto"/>
                  <w:noWrap w:val="0"/>
                  <w:vAlign w:val="center"/>
                </w:tcPr>
                <w:p w14:paraId="0927E60D">
                  <w:pPr>
                    <w:keepNext w:val="0"/>
                    <w:keepLines w:val="0"/>
                    <w:widowControl/>
                    <w:suppressLineNumbers w:val="0"/>
                    <w:jc w:val="center"/>
                    <w:textAlignment w:val="center"/>
                    <w:rPr>
                      <w:rFonts w:hint="eastAsia"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苯系物</w:t>
                  </w:r>
                </w:p>
              </w:tc>
              <w:tc>
                <w:tcPr>
                  <w:tcW w:w="1280" w:type="dxa"/>
                  <w:tcBorders>
                    <w:tl2br w:val="nil"/>
                    <w:tr2bl w:val="nil"/>
                  </w:tcBorders>
                  <w:shd w:val="clear" w:color="auto" w:fill="auto"/>
                  <w:noWrap w:val="0"/>
                  <w:vAlign w:val="center"/>
                </w:tcPr>
                <w:p w14:paraId="4E0A3A3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6.8 </w:t>
                  </w:r>
                </w:p>
              </w:tc>
              <w:tc>
                <w:tcPr>
                  <w:tcW w:w="870" w:type="dxa"/>
                  <w:tcBorders>
                    <w:tl2br w:val="nil"/>
                    <w:tr2bl w:val="nil"/>
                  </w:tcBorders>
                  <w:shd w:val="clear" w:color="auto" w:fill="auto"/>
                  <w:noWrap w:val="0"/>
                  <w:vAlign w:val="center"/>
                </w:tcPr>
                <w:p w14:paraId="670E0E4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1.238 </w:t>
                  </w:r>
                </w:p>
              </w:tc>
              <w:tc>
                <w:tcPr>
                  <w:tcW w:w="660" w:type="dxa"/>
                  <w:vMerge w:val="continue"/>
                  <w:tcBorders>
                    <w:tl2br w:val="nil"/>
                    <w:tr2bl w:val="nil"/>
                  </w:tcBorders>
                  <w:noWrap w:val="0"/>
                  <w:vAlign w:val="center"/>
                </w:tcPr>
                <w:p w14:paraId="5BF37F46">
                  <w:pPr>
                    <w:jc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p>
              </w:tc>
              <w:tc>
                <w:tcPr>
                  <w:tcW w:w="599" w:type="dxa"/>
                  <w:vMerge w:val="continue"/>
                  <w:tcBorders>
                    <w:tl2br w:val="nil"/>
                    <w:tr2bl w:val="nil"/>
                  </w:tcBorders>
                  <w:noWrap w:val="0"/>
                  <w:vAlign w:val="center"/>
                </w:tcPr>
                <w:p w14:paraId="57401444">
                  <w:pPr>
                    <w:jc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p>
              </w:tc>
              <w:tc>
                <w:tcPr>
                  <w:tcW w:w="1008" w:type="dxa"/>
                  <w:vMerge w:val="continue"/>
                  <w:tcBorders>
                    <w:tl2br w:val="nil"/>
                    <w:tr2bl w:val="nil"/>
                  </w:tcBorders>
                  <w:noWrap w:val="0"/>
                  <w:vAlign w:val="center"/>
                </w:tcPr>
                <w:p w14:paraId="6DD1EAFD">
                  <w:pPr>
                    <w:jc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p>
              </w:tc>
            </w:tr>
            <w:tr w14:paraId="64D695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411" w:type="dxa"/>
                  <w:vMerge w:val="continue"/>
                  <w:tcBorders>
                    <w:tl2br w:val="nil"/>
                    <w:tr2bl w:val="nil"/>
                  </w:tcBorders>
                  <w:noWrap w:val="0"/>
                  <w:vAlign w:val="center"/>
                </w:tcPr>
                <w:p w14:paraId="4B33FFFC">
                  <w:pPr>
                    <w:jc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p>
              </w:tc>
              <w:tc>
                <w:tcPr>
                  <w:tcW w:w="934" w:type="dxa"/>
                  <w:vMerge w:val="continue"/>
                  <w:tcBorders>
                    <w:tl2br w:val="nil"/>
                    <w:tr2bl w:val="nil"/>
                  </w:tcBorders>
                  <w:noWrap w:val="0"/>
                  <w:vAlign w:val="center"/>
                </w:tcPr>
                <w:p w14:paraId="25866ACB">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1534" w:type="dxa"/>
                  <w:vMerge w:val="continue"/>
                  <w:tcBorders>
                    <w:tl2br w:val="nil"/>
                    <w:tr2bl w:val="nil"/>
                  </w:tcBorders>
                  <w:noWrap w:val="0"/>
                  <w:vAlign w:val="center"/>
                </w:tcPr>
                <w:p w14:paraId="7FE8C730">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093" w:type="dxa"/>
                  <w:tcBorders>
                    <w:tl2br w:val="nil"/>
                    <w:tr2bl w:val="nil"/>
                  </w:tcBorders>
                  <w:noWrap w:val="0"/>
                  <w:vAlign w:val="center"/>
                </w:tcPr>
                <w:p w14:paraId="7C294DE9">
                  <w:pPr>
                    <w:keepNext w:val="0"/>
                    <w:keepLines w:val="0"/>
                    <w:widowControl/>
                    <w:suppressLineNumbers w:val="0"/>
                    <w:jc w:val="center"/>
                    <w:textAlignment w:val="center"/>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臭气浓度</w:t>
                  </w:r>
                </w:p>
              </w:tc>
              <w:tc>
                <w:tcPr>
                  <w:tcW w:w="1280" w:type="dxa"/>
                  <w:tcBorders>
                    <w:tl2br w:val="nil"/>
                    <w:tr2bl w:val="nil"/>
                  </w:tcBorders>
                  <w:noWrap w:val="0"/>
                  <w:vAlign w:val="center"/>
                </w:tcPr>
                <w:p w14:paraId="0504D81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870" w:type="dxa"/>
                  <w:tcBorders>
                    <w:tl2br w:val="nil"/>
                    <w:tr2bl w:val="nil"/>
                  </w:tcBorders>
                  <w:noWrap w:val="0"/>
                  <w:vAlign w:val="center"/>
                </w:tcPr>
                <w:p w14:paraId="57DDE2E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660" w:type="dxa"/>
                  <w:vMerge w:val="continue"/>
                  <w:tcBorders>
                    <w:tl2br w:val="nil"/>
                    <w:tr2bl w:val="nil"/>
                  </w:tcBorders>
                  <w:noWrap w:val="0"/>
                  <w:vAlign w:val="center"/>
                </w:tcPr>
                <w:p w14:paraId="6C976287">
                  <w:pPr>
                    <w:jc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p>
              </w:tc>
              <w:tc>
                <w:tcPr>
                  <w:tcW w:w="599" w:type="dxa"/>
                  <w:vMerge w:val="continue"/>
                  <w:tcBorders>
                    <w:tl2br w:val="nil"/>
                    <w:tr2bl w:val="nil"/>
                  </w:tcBorders>
                  <w:noWrap w:val="0"/>
                  <w:vAlign w:val="center"/>
                </w:tcPr>
                <w:p w14:paraId="3DE0A12F">
                  <w:pPr>
                    <w:jc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p>
              </w:tc>
              <w:tc>
                <w:tcPr>
                  <w:tcW w:w="1008" w:type="dxa"/>
                  <w:vMerge w:val="continue"/>
                  <w:tcBorders>
                    <w:tl2br w:val="nil"/>
                    <w:tr2bl w:val="nil"/>
                  </w:tcBorders>
                  <w:noWrap w:val="0"/>
                  <w:vAlign w:val="center"/>
                </w:tcPr>
                <w:p w14:paraId="6D02B071">
                  <w:pPr>
                    <w:jc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p>
              </w:tc>
            </w:tr>
            <w:tr w14:paraId="03707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411" w:type="dxa"/>
                  <w:vMerge w:val="restart"/>
                  <w:tcBorders>
                    <w:tl2br w:val="nil"/>
                    <w:tr2bl w:val="nil"/>
                  </w:tcBorders>
                  <w:noWrap w:val="0"/>
                  <w:vAlign w:val="center"/>
                </w:tcPr>
                <w:p w14:paraId="3E440CF0">
                  <w:pPr>
                    <w:keepNext w:val="0"/>
                    <w:keepLines w:val="0"/>
                    <w:widowControl/>
                    <w:suppressLineNumbers w:val="0"/>
                    <w:jc w:val="center"/>
                    <w:textAlignment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w:t>
                  </w:r>
                </w:p>
              </w:tc>
              <w:tc>
                <w:tcPr>
                  <w:tcW w:w="934" w:type="dxa"/>
                  <w:vMerge w:val="restart"/>
                  <w:tcBorders>
                    <w:tl2br w:val="nil"/>
                    <w:tr2bl w:val="nil"/>
                  </w:tcBorders>
                  <w:noWrap w:val="0"/>
                  <w:vAlign w:val="center"/>
                </w:tcPr>
                <w:p w14:paraId="64796CF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DA002</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排气筒</w:t>
                  </w:r>
                </w:p>
              </w:tc>
              <w:tc>
                <w:tcPr>
                  <w:tcW w:w="1534" w:type="dxa"/>
                  <w:vMerge w:val="restart"/>
                  <w:tcBorders>
                    <w:tl2br w:val="nil"/>
                    <w:tr2bl w:val="nil"/>
                  </w:tcBorders>
                  <w:noWrap w:val="0"/>
                  <w:vAlign w:val="center"/>
                </w:tcPr>
                <w:p w14:paraId="181DCFC5">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废气设施失效</w:t>
                  </w:r>
                </w:p>
              </w:tc>
              <w:tc>
                <w:tcPr>
                  <w:tcW w:w="1093" w:type="dxa"/>
                  <w:tcBorders>
                    <w:tl2br w:val="nil"/>
                    <w:tr2bl w:val="nil"/>
                  </w:tcBorders>
                  <w:noWrap w:val="0"/>
                  <w:vAlign w:val="center"/>
                </w:tcPr>
                <w:p w14:paraId="33027167">
                  <w:pPr>
                    <w:keepNext w:val="0"/>
                    <w:keepLines w:val="0"/>
                    <w:widowControl/>
                    <w:suppressLineNumbers w:val="0"/>
                    <w:jc w:val="center"/>
                    <w:textAlignment w:val="center"/>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非甲烷总烃</w:t>
                  </w:r>
                </w:p>
              </w:tc>
              <w:tc>
                <w:tcPr>
                  <w:tcW w:w="1280" w:type="dxa"/>
                  <w:tcBorders>
                    <w:tl2br w:val="nil"/>
                    <w:tr2bl w:val="nil"/>
                  </w:tcBorders>
                  <w:noWrap w:val="0"/>
                  <w:vAlign w:val="center"/>
                </w:tcPr>
                <w:p w14:paraId="7C65058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3.9 </w:t>
                  </w:r>
                </w:p>
              </w:tc>
              <w:tc>
                <w:tcPr>
                  <w:tcW w:w="870" w:type="dxa"/>
                  <w:tcBorders>
                    <w:tl2br w:val="nil"/>
                    <w:tr2bl w:val="nil"/>
                  </w:tcBorders>
                  <w:noWrap w:val="0"/>
                  <w:vAlign w:val="center"/>
                </w:tcPr>
                <w:p w14:paraId="339028C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0.156 </w:t>
                  </w:r>
                </w:p>
              </w:tc>
              <w:tc>
                <w:tcPr>
                  <w:tcW w:w="660" w:type="dxa"/>
                  <w:vMerge w:val="restart"/>
                  <w:tcBorders>
                    <w:tl2br w:val="nil"/>
                    <w:tr2bl w:val="nil"/>
                  </w:tcBorders>
                  <w:noWrap w:val="0"/>
                  <w:vAlign w:val="center"/>
                </w:tcPr>
                <w:p w14:paraId="34FD44C2">
                  <w:pPr>
                    <w:keepNext w:val="0"/>
                    <w:keepLines w:val="0"/>
                    <w:widowControl/>
                    <w:suppressLineNumbers w:val="0"/>
                    <w:jc w:val="center"/>
                    <w:textAlignment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599" w:type="dxa"/>
                  <w:vMerge w:val="restart"/>
                  <w:tcBorders>
                    <w:tl2br w:val="nil"/>
                    <w:tr2bl w:val="nil"/>
                  </w:tcBorders>
                  <w:noWrap w:val="0"/>
                  <w:vAlign w:val="center"/>
                </w:tcPr>
                <w:p w14:paraId="6BF845EE">
                  <w:pPr>
                    <w:keepNext w:val="0"/>
                    <w:keepLines w:val="0"/>
                    <w:widowControl/>
                    <w:suppressLineNumbers w:val="0"/>
                    <w:jc w:val="center"/>
                    <w:textAlignment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008" w:type="dxa"/>
                  <w:vMerge w:val="restart"/>
                  <w:tcBorders>
                    <w:tl2br w:val="nil"/>
                    <w:tr2bl w:val="nil"/>
                  </w:tcBorders>
                  <w:noWrap w:val="0"/>
                  <w:vAlign w:val="center"/>
                </w:tcPr>
                <w:p w14:paraId="299E1EEC">
                  <w:pPr>
                    <w:keepNext w:val="0"/>
                    <w:keepLines w:val="0"/>
                    <w:widowControl/>
                    <w:suppressLineNumbers w:val="0"/>
                    <w:jc w:val="center"/>
                    <w:textAlignment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停止生产并修复处理设备</w:t>
                  </w:r>
                </w:p>
              </w:tc>
            </w:tr>
            <w:tr w14:paraId="1F0E3C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411" w:type="dxa"/>
                  <w:vMerge w:val="continue"/>
                  <w:tcBorders>
                    <w:tl2br w:val="nil"/>
                    <w:tr2bl w:val="nil"/>
                  </w:tcBorders>
                  <w:noWrap w:val="0"/>
                  <w:vAlign w:val="center"/>
                </w:tcPr>
                <w:p w14:paraId="53906C57">
                  <w:pPr>
                    <w:jc w:val="center"/>
                    <w:rPr>
                      <w:rFonts w:hint="eastAsia" w:ascii="Times New Roman" w:hAnsi="Times New Roman" w:eastAsia="宋体" w:cs="Times New Roman"/>
                      <w:snapToGrid/>
                      <w:color w:val="000000" w:themeColor="text1"/>
                      <w:kern w:val="2"/>
                      <w:sz w:val="21"/>
                      <w:szCs w:val="21"/>
                      <w:lang w:val="en-US" w:eastAsia="zh-CN"/>
                      <w14:textFill>
                        <w14:solidFill>
                          <w14:schemeClr w14:val="tx1"/>
                        </w14:solidFill>
                      </w14:textFill>
                    </w:rPr>
                  </w:pPr>
                </w:p>
              </w:tc>
              <w:tc>
                <w:tcPr>
                  <w:tcW w:w="934" w:type="dxa"/>
                  <w:vMerge w:val="continue"/>
                  <w:tcBorders>
                    <w:tl2br w:val="nil"/>
                    <w:tr2bl w:val="nil"/>
                  </w:tcBorders>
                  <w:noWrap w:val="0"/>
                  <w:vAlign w:val="center"/>
                </w:tcPr>
                <w:p w14:paraId="36779F39">
                  <w:pPr>
                    <w:jc w:val="cente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c>
                <w:tcPr>
                  <w:tcW w:w="1534" w:type="dxa"/>
                  <w:vMerge w:val="continue"/>
                  <w:tcBorders>
                    <w:tl2br w:val="nil"/>
                    <w:tr2bl w:val="nil"/>
                  </w:tcBorders>
                  <w:noWrap w:val="0"/>
                  <w:vAlign w:val="center"/>
                </w:tcPr>
                <w:p w14:paraId="31327884">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p>
              </w:tc>
              <w:tc>
                <w:tcPr>
                  <w:tcW w:w="1093" w:type="dxa"/>
                  <w:tcBorders>
                    <w:tl2br w:val="nil"/>
                    <w:tr2bl w:val="nil"/>
                  </w:tcBorders>
                  <w:noWrap w:val="0"/>
                  <w:vAlign w:val="center"/>
                </w:tcPr>
                <w:p w14:paraId="63103F1C">
                  <w:pPr>
                    <w:keepNext w:val="0"/>
                    <w:keepLines w:val="0"/>
                    <w:widowControl/>
                    <w:suppressLineNumbers w:val="0"/>
                    <w:jc w:val="center"/>
                    <w:textAlignment w:val="center"/>
                    <w:rPr>
                      <w:rFonts w:hint="default" w:ascii="Times New Roman" w:hAnsi="Times New Roman" w:eastAsia="宋体" w:cs="Times New Roman"/>
                      <w:snapToGrid/>
                      <w:color w:val="000000" w:themeColor="text1"/>
                      <w:kern w:val="2"/>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苯系物</w:t>
                  </w:r>
                </w:p>
              </w:tc>
              <w:tc>
                <w:tcPr>
                  <w:tcW w:w="1280" w:type="dxa"/>
                  <w:tcBorders>
                    <w:tl2br w:val="nil"/>
                    <w:tr2bl w:val="nil"/>
                  </w:tcBorders>
                  <w:noWrap w:val="0"/>
                  <w:vAlign w:val="center"/>
                </w:tcPr>
                <w:p w14:paraId="01BA2254">
                  <w:pPr>
                    <w:keepNext w:val="0"/>
                    <w:keepLines w:val="0"/>
                    <w:widowControl/>
                    <w:suppressLineNumbers w:val="0"/>
                    <w:jc w:val="center"/>
                    <w:textAlignment w:val="center"/>
                    <w:rPr>
                      <w:rFonts w:hint="eastAsia"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2.5 </w:t>
                  </w:r>
                </w:p>
              </w:tc>
              <w:tc>
                <w:tcPr>
                  <w:tcW w:w="870" w:type="dxa"/>
                  <w:tcBorders>
                    <w:tl2br w:val="nil"/>
                    <w:tr2bl w:val="nil"/>
                  </w:tcBorders>
                  <w:noWrap w:val="0"/>
                  <w:vAlign w:val="center"/>
                </w:tcPr>
                <w:p w14:paraId="67A58D11">
                  <w:pPr>
                    <w:keepNext w:val="0"/>
                    <w:keepLines w:val="0"/>
                    <w:widowControl/>
                    <w:suppressLineNumbers w:val="0"/>
                    <w:jc w:val="center"/>
                    <w:textAlignment w:val="center"/>
                    <w:rPr>
                      <w:rFonts w:hint="eastAsia"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0.101 </w:t>
                  </w:r>
                </w:p>
              </w:tc>
              <w:tc>
                <w:tcPr>
                  <w:tcW w:w="660" w:type="dxa"/>
                  <w:vMerge w:val="continue"/>
                  <w:tcBorders>
                    <w:tl2br w:val="nil"/>
                    <w:tr2bl w:val="nil"/>
                  </w:tcBorders>
                  <w:noWrap w:val="0"/>
                  <w:vAlign w:val="center"/>
                </w:tcPr>
                <w:p w14:paraId="351795D9">
                  <w:pPr>
                    <w:jc w:val="center"/>
                    <w:rPr>
                      <w:rFonts w:hint="default" w:ascii="Times New Roman" w:hAnsi="Times New Roman" w:eastAsia="宋体" w:cs="Times New Roman"/>
                      <w:snapToGrid/>
                      <w:color w:val="000000" w:themeColor="text1"/>
                      <w:kern w:val="2"/>
                      <w:sz w:val="21"/>
                      <w:szCs w:val="21"/>
                      <w:lang w:eastAsia="zh-CN"/>
                      <w14:textFill>
                        <w14:solidFill>
                          <w14:schemeClr w14:val="tx1"/>
                        </w14:solidFill>
                      </w14:textFill>
                    </w:rPr>
                  </w:pPr>
                </w:p>
              </w:tc>
              <w:tc>
                <w:tcPr>
                  <w:tcW w:w="599" w:type="dxa"/>
                  <w:vMerge w:val="continue"/>
                  <w:tcBorders>
                    <w:tl2br w:val="nil"/>
                    <w:tr2bl w:val="nil"/>
                  </w:tcBorders>
                  <w:noWrap w:val="0"/>
                  <w:vAlign w:val="center"/>
                </w:tcPr>
                <w:p w14:paraId="1A191914">
                  <w:pPr>
                    <w:jc w:val="center"/>
                    <w:rPr>
                      <w:rFonts w:hint="eastAsia" w:ascii="Times New Roman" w:hAnsi="Times New Roman" w:eastAsia="宋体" w:cs="Times New Roman"/>
                      <w:snapToGrid/>
                      <w:color w:val="000000" w:themeColor="text1"/>
                      <w:kern w:val="2"/>
                      <w:sz w:val="21"/>
                      <w:szCs w:val="21"/>
                      <w:lang w:val="en-US" w:eastAsia="zh-CN"/>
                      <w14:textFill>
                        <w14:solidFill>
                          <w14:schemeClr w14:val="tx1"/>
                        </w14:solidFill>
                      </w14:textFill>
                    </w:rPr>
                  </w:pPr>
                </w:p>
              </w:tc>
              <w:tc>
                <w:tcPr>
                  <w:tcW w:w="1008" w:type="dxa"/>
                  <w:vMerge w:val="continue"/>
                  <w:tcBorders>
                    <w:tl2br w:val="nil"/>
                    <w:tr2bl w:val="nil"/>
                  </w:tcBorders>
                  <w:noWrap w:val="0"/>
                  <w:vAlign w:val="center"/>
                </w:tcPr>
                <w:p w14:paraId="2D6DC92E">
                  <w:pPr>
                    <w:jc w:val="center"/>
                    <w:rPr>
                      <w:rFonts w:hint="default" w:ascii="Times New Roman" w:hAnsi="Times New Roman" w:eastAsia="宋体" w:cs="Times New Roman"/>
                      <w:snapToGrid/>
                      <w:color w:val="000000" w:themeColor="text1"/>
                      <w:kern w:val="2"/>
                      <w:sz w:val="21"/>
                      <w:szCs w:val="21"/>
                      <w:lang w:eastAsia="zh-CN"/>
                      <w14:textFill>
                        <w14:solidFill>
                          <w14:schemeClr w14:val="tx1"/>
                        </w14:solidFill>
                      </w14:textFill>
                    </w:rPr>
                  </w:pPr>
                </w:p>
              </w:tc>
            </w:tr>
            <w:tr w14:paraId="345B16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411" w:type="dxa"/>
                  <w:vMerge w:val="continue"/>
                  <w:tcBorders>
                    <w:tl2br w:val="nil"/>
                    <w:tr2bl w:val="nil"/>
                  </w:tcBorders>
                  <w:noWrap w:val="0"/>
                  <w:vAlign w:val="center"/>
                </w:tcPr>
                <w:p w14:paraId="68712EB2">
                  <w:pPr>
                    <w:jc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p>
              </w:tc>
              <w:tc>
                <w:tcPr>
                  <w:tcW w:w="934" w:type="dxa"/>
                  <w:vMerge w:val="continue"/>
                  <w:tcBorders>
                    <w:tl2br w:val="nil"/>
                    <w:tr2bl w:val="nil"/>
                  </w:tcBorders>
                  <w:noWrap w:val="0"/>
                  <w:vAlign w:val="center"/>
                </w:tcPr>
                <w:p w14:paraId="203F7ED1">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1534" w:type="dxa"/>
                  <w:vMerge w:val="continue"/>
                  <w:tcBorders>
                    <w:tl2br w:val="nil"/>
                    <w:tr2bl w:val="nil"/>
                  </w:tcBorders>
                  <w:noWrap w:val="0"/>
                  <w:vAlign w:val="center"/>
                </w:tcPr>
                <w:p w14:paraId="3E1783F8">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093" w:type="dxa"/>
                  <w:tcBorders>
                    <w:tl2br w:val="nil"/>
                    <w:tr2bl w:val="nil"/>
                  </w:tcBorders>
                  <w:noWrap w:val="0"/>
                  <w:vAlign w:val="center"/>
                </w:tcPr>
                <w:p w14:paraId="3212058A">
                  <w:pPr>
                    <w:keepNext w:val="0"/>
                    <w:keepLines w:val="0"/>
                    <w:widowControl/>
                    <w:suppressLineNumbers w:val="0"/>
                    <w:jc w:val="center"/>
                    <w:textAlignment w:val="center"/>
                    <w:rPr>
                      <w:rFonts w:hint="default" w:ascii="Times New Roman" w:hAnsi="Times New Roman" w:eastAsia="宋体" w:cs="Times New Roman"/>
                      <w:snapToGrid/>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臭气浓度</w:t>
                  </w:r>
                </w:p>
              </w:tc>
              <w:tc>
                <w:tcPr>
                  <w:tcW w:w="1280" w:type="dxa"/>
                  <w:tcBorders>
                    <w:tl2br w:val="nil"/>
                    <w:tr2bl w:val="nil"/>
                  </w:tcBorders>
                  <w:noWrap w:val="0"/>
                  <w:vAlign w:val="center"/>
                </w:tcPr>
                <w:p w14:paraId="4651BE3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870" w:type="dxa"/>
                  <w:tcBorders>
                    <w:tl2br w:val="nil"/>
                    <w:tr2bl w:val="nil"/>
                  </w:tcBorders>
                  <w:noWrap w:val="0"/>
                  <w:vAlign w:val="center"/>
                </w:tcPr>
                <w:p w14:paraId="51AB3AE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660" w:type="dxa"/>
                  <w:vMerge w:val="continue"/>
                  <w:tcBorders>
                    <w:tl2br w:val="nil"/>
                    <w:tr2bl w:val="nil"/>
                  </w:tcBorders>
                  <w:noWrap w:val="0"/>
                  <w:vAlign w:val="center"/>
                </w:tcPr>
                <w:p w14:paraId="33CBB98A">
                  <w:pPr>
                    <w:jc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p>
              </w:tc>
              <w:tc>
                <w:tcPr>
                  <w:tcW w:w="599" w:type="dxa"/>
                  <w:vMerge w:val="continue"/>
                  <w:tcBorders>
                    <w:tl2br w:val="nil"/>
                    <w:tr2bl w:val="nil"/>
                  </w:tcBorders>
                  <w:noWrap w:val="0"/>
                  <w:vAlign w:val="center"/>
                </w:tcPr>
                <w:p w14:paraId="171C2E6B">
                  <w:pPr>
                    <w:jc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p>
              </w:tc>
              <w:tc>
                <w:tcPr>
                  <w:tcW w:w="1008" w:type="dxa"/>
                  <w:vMerge w:val="continue"/>
                  <w:tcBorders>
                    <w:tl2br w:val="nil"/>
                    <w:tr2bl w:val="nil"/>
                  </w:tcBorders>
                  <w:noWrap w:val="0"/>
                  <w:vAlign w:val="center"/>
                </w:tcPr>
                <w:p w14:paraId="3B6D7458">
                  <w:pPr>
                    <w:jc w:val="cente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p>
              </w:tc>
            </w:tr>
          </w:tbl>
          <w:p w14:paraId="10D434B0">
            <w:pPr>
              <w:keepNext w:val="0"/>
              <w:keepLines w:val="0"/>
              <w:pageBreakBefore w:val="0"/>
              <w:widowControl w:val="0"/>
              <w:kinsoku/>
              <w:wordWrap/>
              <w:overflowPunct/>
              <w:topLinePunct w:val="0"/>
              <w:autoSpaceDE/>
              <w:autoSpaceDN/>
              <w:bidi w:val="0"/>
              <w:adjustRightInd/>
              <w:snapToGrid/>
              <w:spacing w:line="120" w:lineRule="auto"/>
              <w:ind w:firstLine="420" w:firstLineChars="200"/>
              <w:textAlignment w:val="auto"/>
              <w:rPr>
                <w:rFonts w:hint="default" w:ascii="Times New Roman" w:hAnsi="Times New Roman" w:eastAsia="宋体" w:cs="Times New Roman"/>
                <w:color w:val="000000" w:themeColor="text1"/>
                <w:highlight w:val="none"/>
                <w14:textFill>
                  <w14:solidFill>
                    <w14:schemeClr w14:val="tx1"/>
                  </w14:solidFill>
                </w14:textFill>
              </w:rPr>
            </w:pPr>
          </w:p>
          <w:p w14:paraId="1D4628A2">
            <w:pPr>
              <w:pStyle w:val="39"/>
              <w:spacing w:after="0" w:line="360" w:lineRule="auto"/>
              <w:ind w:firstLine="480"/>
              <w:rPr>
                <w:rFonts w:hint="default" w:ascii="Times New Roman" w:hAnsi="Times New Roman" w:eastAsia="宋体" w:cs="Times New Roman"/>
                <w:b/>
                <w:color w:val="000000" w:themeColor="text1"/>
                <w:sz w:val="24"/>
                <w:szCs w:val="24"/>
                <w:highlight w:val="none"/>
                <w:lang w:val="en-US"/>
                <w14:textFill>
                  <w14:solidFill>
                    <w14:schemeClr w14:val="tx1"/>
                  </w14:solidFill>
                </w14:textFill>
              </w:rPr>
            </w:pPr>
            <w:r>
              <w:rPr>
                <w:rFonts w:hint="default" w:ascii="Times New Roman" w:hAnsi="Times New Roman" w:eastAsia="宋体" w:cs="Times New Roman"/>
                <w:b/>
                <w:color w:val="000000" w:themeColor="text1"/>
                <w:sz w:val="24"/>
                <w:szCs w:val="24"/>
                <w:highlight w:val="none"/>
                <w:lang w:val="en-US" w:eastAsia="zh-CN"/>
                <w14:textFill>
                  <w14:solidFill>
                    <w14:schemeClr w14:val="tx1"/>
                  </w14:solidFill>
                </w14:textFill>
              </w:rPr>
              <w:t>2、废水</w:t>
            </w:r>
          </w:p>
          <w:p w14:paraId="599B3C74">
            <w:pPr>
              <w:keepNext/>
              <w:keepLines/>
              <w:suppressLineNumbers w:val="0"/>
              <w:tabs>
                <w:tab w:val="left" w:pos="0"/>
              </w:tabs>
              <w:spacing w:before="0" w:beforeAutospacing="0" w:after="0" w:afterAutospacing="0" w:line="360" w:lineRule="auto"/>
              <w:ind w:left="0" w:right="0" w:firstLine="482" w:firstLineChars="200"/>
              <w:outlineLvl w:val="3"/>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2.1</w:t>
            </w:r>
            <w:r>
              <w:rPr>
                <w:rFonts w:hint="default" w:ascii="Times New Roman" w:hAnsi="Times New Roman" w:cs="Times New Roman"/>
                <w:b/>
                <w:bCs/>
                <w:color w:val="000000" w:themeColor="text1"/>
                <w:sz w:val="24"/>
                <w:szCs w:val="24"/>
                <w:highlight w:val="none"/>
                <w14:textFill>
                  <w14:solidFill>
                    <w14:schemeClr w14:val="tx1"/>
                  </w14:solidFill>
                </w14:textFill>
              </w:rPr>
              <w:t>污染源源强分析</w:t>
            </w:r>
          </w:p>
          <w:p w14:paraId="01B4DC75">
            <w:pPr>
              <w:keepNext/>
              <w:keepLines/>
              <w:numPr>
                <w:ilvl w:val="4"/>
                <w:numId w:val="0"/>
              </w:numPr>
              <w:suppressLineNumbers w:val="0"/>
              <w:tabs>
                <w:tab w:val="left" w:pos="0"/>
              </w:tabs>
              <w:spacing w:before="0" w:beforeAutospacing="0" w:after="0" w:afterAutospacing="0" w:line="360" w:lineRule="auto"/>
              <w:ind w:left="-960" w:right="0" w:firstLine="1440"/>
              <w:outlineLvl w:val="4"/>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default" w:ascii="Times New Roman" w:hAnsi="Times New Roman" w:cs="Times New Roman"/>
                <w:b/>
                <w:bCs/>
                <w:color w:val="000000" w:themeColor="text1"/>
                <w:sz w:val="24"/>
                <w:szCs w:val="24"/>
                <w:highlight w:val="none"/>
                <w14:textFill>
                  <w14:solidFill>
                    <w14:schemeClr w14:val="tx1"/>
                  </w14:solidFill>
                </w14:textFill>
              </w:rPr>
              <w:t>（1）生活污水</w:t>
            </w:r>
          </w:p>
          <w:p w14:paraId="7E24BEE1">
            <w:pPr>
              <w:widowControl w:val="0"/>
              <w:wordWrap/>
              <w:spacing w:line="360" w:lineRule="auto"/>
              <w:ind w:firstLine="480" w:firstLineChars="200"/>
              <w:textAlignment w:val="auto"/>
              <w:rPr>
                <w:rFonts w:hint="default" w:ascii="Times New Roman" w:hAnsi="Times New Roman" w:cs="Times New Roman"/>
                <w:color w:val="000000" w:themeColor="text1"/>
                <w:kern w:val="0"/>
                <w:sz w:val="24"/>
                <w:szCs w:val="24"/>
                <w:highlight w:val="none"/>
                <w:lang w:eastAsia="zh"/>
                <w14:textFill>
                  <w14:solidFill>
                    <w14:schemeClr w14:val="tx1"/>
                  </w14:solidFill>
                </w14:textFill>
              </w:rPr>
            </w:pPr>
            <w:r>
              <w:rPr>
                <w:rFonts w:hint="default" w:ascii="Times New Roman" w:hAnsi="Times New Roman" w:cs="Times New Roman"/>
                <w:color w:val="000000" w:themeColor="text1"/>
                <w:kern w:val="0"/>
                <w:sz w:val="24"/>
                <w:szCs w:val="24"/>
                <w:highlight w:val="none"/>
                <w14:textFill>
                  <w14:solidFill>
                    <w14:schemeClr w14:val="tx1"/>
                  </w14:solidFill>
                </w14:textFill>
              </w:rPr>
              <w:t>项目</w:t>
            </w:r>
            <w:r>
              <w:rPr>
                <w:rFonts w:hint="default" w:ascii="Times New Roman" w:hAnsi="Times New Roman" w:cs="Times New Roman"/>
                <w:color w:val="000000" w:themeColor="text1"/>
                <w:sz w:val="24"/>
                <w:szCs w:val="24"/>
                <w:highlight w:val="none"/>
                <w14:textFill>
                  <w14:solidFill>
                    <w14:schemeClr w14:val="tx1"/>
                  </w14:solidFill>
                </w14:textFill>
              </w:rPr>
              <w:t>劳动定员</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160</w:t>
            </w:r>
            <w:r>
              <w:rPr>
                <w:rFonts w:hint="default" w:ascii="Times New Roman" w:hAnsi="Times New Roman" w:cs="Times New Roman"/>
                <w:color w:val="000000" w:themeColor="text1"/>
                <w:sz w:val="24"/>
                <w:szCs w:val="24"/>
                <w:highlight w:val="none"/>
                <w14:textFill>
                  <w14:solidFill>
                    <w14:schemeClr w14:val="tx1"/>
                  </w14:solidFill>
                </w14:textFill>
              </w:rPr>
              <w:t>名</w:t>
            </w:r>
            <w:r>
              <w:rPr>
                <w:rFonts w:hint="default" w:ascii="Times New Roman" w:hAnsi="Times New Roman" w:cs="Times New Roman"/>
                <w:color w:val="000000" w:themeColor="text1"/>
                <w:kern w:val="0"/>
                <w:sz w:val="24"/>
                <w:szCs w:val="24"/>
                <w:highlight w:val="none"/>
                <w14:textFill>
                  <w14:solidFill>
                    <w14:schemeClr w14:val="tx1"/>
                  </w14:solidFill>
                </w14:textFill>
              </w:rPr>
              <w:t>，</w:t>
            </w:r>
            <w:r>
              <w:rPr>
                <w:rFonts w:hint="default" w:ascii="Times New Roman" w:hAnsi="Times New Roman" w:cs="Times New Roman"/>
                <w:color w:val="000000" w:themeColor="text1"/>
                <w:kern w:val="0"/>
                <w:sz w:val="24"/>
                <w:szCs w:val="24"/>
                <w:highlight w:val="none"/>
                <w:lang w:val="en-US" w:eastAsia="zh-CN"/>
                <w14:textFill>
                  <w14:solidFill>
                    <w14:schemeClr w14:val="tx1"/>
                  </w14:solidFill>
                </w14:textFill>
              </w:rPr>
              <w:t>其中140人在厂区住宿</w:t>
            </w:r>
            <w:r>
              <w:rPr>
                <w:rFonts w:hint="default" w:ascii="Times New Roman" w:hAnsi="Times New Roman" w:cs="Times New Roman"/>
                <w:color w:val="000000" w:themeColor="text1"/>
                <w:kern w:val="0"/>
                <w:sz w:val="24"/>
                <w:szCs w:val="24"/>
                <w:highlight w:val="none"/>
                <w14:textFill>
                  <w14:solidFill>
                    <w14:schemeClr w14:val="tx1"/>
                  </w14:solidFill>
                </w14:textFill>
              </w:rPr>
              <w:t>。不住宿</w:t>
            </w:r>
            <w:r>
              <w:rPr>
                <w:rFonts w:hint="default" w:ascii="Times New Roman" w:hAnsi="Times New Roman" w:cs="Times New Roman"/>
                <w:color w:val="000000" w:themeColor="text1"/>
                <w:kern w:val="0"/>
                <w:sz w:val="24"/>
                <w:szCs w:val="24"/>
                <w:highlight w:val="none"/>
                <w:lang w:eastAsia="zh-CN"/>
                <w14:textFill>
                  <w14:solidFill>
                    <w14:schemeClr w14:val="tx1"/>
                  </w14:solidFill>
                </w14:textFill>
              </w:rPr>
              <w:t>、</w:t>
            </w:r>
            <w:r>
              <w:rPr>
                <w:rFonts w:hint="default" w:ascii="Times New Roman" w:hAnsi="Times New Roman" w:cs="Times New Roman"/>
                <w:color w:val="000000" w:themeColor="text1"/>
                <w:kern w:val="0"/>
                <w:sz w:val="24"/>
                <w:szCs w:val="24"/>
                <w:highlight w:val="none"/>
                <w:lang w:val="en-US" w:eastAsia="zh-CN"/>
                <w14:textFill>
                  <w14:solidFill>
                    <w14:schemeClr w14:val="tx1"/>
                  </w14:solidFill>
                </w14:textFill>
              </w:rPr>
              <w:t>住宿</w:t>
            </w:r>
            <w:r>
              <w:rPr>
                <w:rFonts w:hint="default" w:ascii="Times New Roman" w:hAnsi="Times New Roman" w:cs="Times New Roman"/>
                <w:color w:val="000000" w:themeColor="text1"/>
                <w:kern w:val="0"/>
                <w:sz w:val="24"/>
                <w:szCs w:val="24"/>
                <w:highlight w:val="none"/>
                <w14:textFill>
                  <w14:solidFill>
                    <w14:schemeClr w14:val="tx1"/>
                  </w14:solidFill>
                </w14:textFill>
              </w:rPr>
              <w:t>员工生活用水</w:t>
            </w:r>
            <w:r>
              <w:rPr>
                <w:rFonts w:hint="default" w:ascii="Times New Roman" w:hAnsi="Times New Roman" w:cs="Times New Roman"/>
                <w:color w:val="000000" w:themeColor="text1"/>
                <w:kern w:val="0"/>
                <w:sz w:val="24"/>
                <w:szCs w:val="24"/>
                <w:highlight w:val="none"/>
                <w:lang w:val="en-US" w:eastAsia="zh-CN"/>
                <w14:textFill>
                  <w14:solidFill>
                    <w14:schemeClr w14:val="tx1"/>
                  </w14:solidFill>
                </w14:textFill>
              </w:rPr>
              <w:t>分别</w:t>
            </w:r>
            <w:r>
              <w:rPr>
                <w:rFonts w:hint="default" w:ascii="Times New Roman" w:hAnsi="Times New Roman" w:eastAsia="宋体" w:cs="Times New Roman"/>
                <w:bCs/>
                <w:color w:val="000000" w:themeColor="text1"/>
                <w:sz w:val="24"/>
                <w:szCs w:val="24"/>
                <w:highlight w:val="none"/>
                <w14:textFill>
                  <w14:solidFill>
                    <w14:schemeClr w14:val="tx1"/>
                  </w14:solidFill>
                </w14:textFill>
              </w:rPr>
              <w:t>参照《用水定额 第3部分：生活》（DB44/T1461-2021）中国家行政机构（无食堂无浴室）中的先进值10</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m</w:t>
            </w:r>
            <w:r>
              <w:rPr>
                <w:rFonts w:hint="default" w:ascii="Times New Roman" w:hAnsi="Times New Roman" w:eastAsia="宋体" w:cs="Times New Roman"/>
                <w:color w:val="000000" w:themeColor="text1"/>
                <w:kern w:val="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Cs/>
                <w:color w:val="000000" w:themeColor="text1"/>
                <w:sz w:val="24"/>
                <w:szCs w:val="24"/>
                <w:highlight w:val="none"/>
                <w14:textFill>
                  <w14:solidFill>
                    <w14:schemeClr w14:val="tx1"/>
                  </w14:solidFill>
                </w14:textFill>
              </w:rPr>
              <w:t>/人·年</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和</w:t>
            </w:r>
            <w:r>
              <w:rPr>
                <w:rFonts w:hint="default" w:ascii="Times New Roman" w:hAnsi="Times New Roman" w:eastAsia="宋体" w:cs="Times New Roman"/>
                <w:bCs/>
                <w:color w:val="000000" w:themeColor="text1"/>
                <w:sz w:val="24"/>
                <w:szCs w:val="24"/>
                <w:highlight w:val="none"/>
                <w14:textFill>
                  <w14:solidFill>
                    <w14:schemeClr w14:val="tx1"/>
                  </w14:solidFill>
                </w14:textFill>
              </w:rPr>
              <w:t>国家行政机构（</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有</w:t>
            </w:r>
            <w:r>
              <w:rPr>
                <w:rFonts w:hint="default" w:ascii="Times New Roman" w:hAnsi="Times New Roman" w:eastAsia="宋体" w:cs="Times New Roman"/>
                <w:bCs/>
                <w:color w:val="000000" w:themeColor="text1"/>
                <w:sz w:val="24"/>
                <w:szCs w:val="24"/>
                <w:highlight w:val="none"/>
                <w14:textFill>
                  <w14:solidFill>
                    <w14:schemeClr w14:val="tx1"/>
                  </w14:solidFill>
                </w14:textFill>
              </w:rPr>
              <w:t>食堂无浴室）中的先进值</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15</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m</w:t>
            </w:r>
            <w:r>
              <w:rPr>
                <w:rFonts w:hint="default" w:ascii="Times New Roman" w:hAnsi="Times New Roman" w:eastAsia="宋体" w:cs="Times New Roman"/>
                <w:color w:val="000000" w:themeColor="text1"/>
                <w:kern w:val="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Cs/>
                <w:color w:val="000000" w:themeColor="text1"/>
                <w:sz w:val="24"/>
                <w:szCs w:val="24"/>
                <w:highlight w:val="none"/>
                <w14:textFill>
                  <w14:solidFill>
                    <w14:schemeClr w14:val="tx1"/>
                  </w14:solidFill>
                </w14:textFill>
              </w:rPr>
              <w:t>/人·年计算</w:t>
            </w:r>
            <w:r>
              <w:rPr>
                <w:rFonts w:hint="default" w:ascii="Times New Roman" w:hAnsi="Times New Roman" w:eastAsia="宋体" w:cs="Times New Roman"/>
                <w:color w:val="000000" w:themeColor="text1"/>
                <w:sz w:val="24"/>
                <w:szCs w:val="24"/>
                <w:highlight w:val="none"/>
                <w14:textFill>
                  <w14:solidFill>
                    <w14:schemeClr w14:val="tx1"/>
                  </w14:solidFill>
                </w14:textFill>
              </w:rPr>
              <w:t>，则生活用水量</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合计</w:t>
            </w:r>
            <w:r>
              <w:rPr>
                <w:rFonts w:hint="default" w:ascii="Times New Roman" w:hAnsi="Times New Roman" w:eastAsia="宋体" w:cs="Times New Roman"/>
                <w:color w:val="000000" w:themeColor="text1"/>
                <w:sz w:val="24"/>
                <w:szCs w:val="24"/>
                <w:highlight w:val="none"/>
                <w14:textFill>
                  <w14:solidFill>
                    <w14:schemeClr w14:val="tx1"/>
                  </w14:solidFill>
                </w14:textFill>
              </w:rPr>
              <w:t>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2300</w:t>
            </w:r>
            <w:r>
              <w:rPr>
                <w:rFonts w:hint="default" w:ascii="Times New Roman" w:hAnsi="Times New Roman" w:eastAsia="宋体" w:cs="Times New Roman"/>
                <w:bCs/>
                <w:color w:val="000000" w:themeColor="text1"/>
                <w:sz w:val="24"/>
                <w:szCs w:val="24"/>
                <w:highlight w:val="none"/>
                <w14:textFill>
                  <w14:solidFill>
                    <w14:schemeClr w14:val="tx1"/>
                  </w14:solidFill>
                </w14:textFill>
              </w:rPr>
              <w:t>t/a</w:t>
            </w:r>
            <w:r>
              <w:rPr>
                <w:rFonts w:hint="default" w:ascii="Times New Roman" w:hAnsi="Times New Roman" w:eastAsia="宋体" w:cs="Times New Roman"/>
                <w:color w:val="000000" w:themeColor="text1"/>
                <w:sz w:val="24"/>
                <w:szCs w:val="24"/>
                <w:highlight w:val="none"/>
                <w14:textFill>
                  <w14:solidFill>
                    <w14:schemeClr w14:val="tx1"/>
                  </w14:solidFill>
                </w14:textFill>
              </w:rPr>
              <w:t>。生活污水排污系数按0.9计，生活污水产生量</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2070</w:t>
            </w:r>
            <w:r>
              <w:rPr>
                <w:rFonts w:hint="default" w:ascii="Times New Roman" w:hAnsi="Times New Roman" w:eastAsia="宋体" w:cs="Times New Roman"/>
                <w:bCs/>
                <w:color w:val="000000" w:themeColor="text1"/>
                <w:sz w:val="24"/>
                <w:szCs w:val="24"/>
                <w:highlight w:val="none"/>
                <w14:textFill>
                  <w14:solidFill>
                    <w14:schemeClr w14:val="tx1"/>
                  </w14:solidFill>
                </w14:textFill>
              </w:rPr>
              <w:t>t/a</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cs="Times New Roman"/>
                <w:color w:val="000000" w:themeColor="text1"/>
                <w:kern w:val="0"/>
                <w:sz w:val="24"/>
                <w:szCs w:val="24"/>
                <w:highlight w:val="none"/>
                <w14:textFill>
                  <w14:solidFill>
                    <w14:schemeClr w14:val="tx1"/>
                  </w14:solidFill>
                </w14:textFill>
              </w:rPr>
              <w:t>本项目办公生活污水经过三级化粪池</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+隔油隔渣池</w:t>
            </w:r>
            <w:r>
              <w:rPr>
                <w:rFonts w:hint="default" w:ascii="Times New Roman" w:hAnsi="Times New Roman" w:cs="Times New Roman"/>
                <w:color w:val="000000" w:themeColor="text1"/>
                <w:kern w:val="0"/>
                <w:sz w:val="24"/>
                <w:szCs w:val="24"/>
                <w:highlight w:val="none"/>
                <w14:textFill>
                  <w14:solidFill>
                    <w14:schemeClr w14:val="tx1"/>
                  </w14:solidFill>
                </w14:textFill>
              </w:rPr>
              <w:t>处理后经管网排入园区污水处理厂，处理达标后排入武江（乐昌城-犁市河段）</w:t>
            </w:r>
            <w:r>
              <w:rPr>
                <w:rFonts w:hint="default" w:ascii="Times New Roman" w:hAnsi="Times New Roman" w:cs="Times New Roman"/>
                <w:color w:val="000000" w:themeColor="text1"/>
                <w:kern w:val="0"/>
                <w:sz w:val="24"/>
                <w:szCs w:val="24"/>
                <w:highlight w:val="none"/>
                <w:lang w:eastAsia="zh"/>
                <w14:textFill>
                  <w14:solidFill>
                    <w14:schemeClr w14:val="tx1"/>
                  </w14:solidFill>
                </w14:textFill>
              </w:rPr>
              <w:t>。</w:t>
            </w:r>
          </w:p>
          <w:p w14:paraId="7DDECF9D">
            <w:pPr>
              <w:keepNext w:val="0"/>
              <w:keepLines w:val="0"/>
              <w:widowControl/>
              <w:numPr>
                <w:ilvl w:val="0"/>
                <w:numId w:val="0"/>
              </w:numPr>
              <w:suppressLineNumbers w:val="0"/>
              <w:tabs>
                <w:tab w:val="left" w:pos="0"/>
              </w:tabs>
              <w:spacing w:before="0" w:beforeAutospacing="0" w:after="0" w:afterAutospacing="0" w:line="240" w:lineRule="auto"/>
              <w:ind w:left="0" w:leftChars="0" w:right="0" w:rightChars="0" w:firstLine="40" w:firstLineChars="0"/>
              <w:jc w:val="cente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w:t>
            </w:r>
            <w:r>
              <w:rPr>
                <w:rFonts w:hint="eastAsia" w:cs="Times New Roman"/>
                <w:b/>
                <w:bCs/>
                <w:color w:val="000000" w:themeColor="text1"/>
                <w:kern w:val="2"/>
                <w:sz w:val="21"/>
                <w:szCs w:val="21"/>
                <w:lang w:val="en-US" w:eastAsia="zh-CN" w:bidi="ar-SA"/>
                <w14:textFill>
                  <w14:solidFill>
                    <w14:schemeClr w14:val="tx1"/>
                  </w14:solidFill>
                </w14:textFill>
              </w:rPr>
              <w:t xml:space="preserve">20 </w:t>
            </w: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污水污染源源强核算结果及相关参数一览表</w:t>
            </w:r>
          </w:p>
          <w:tbl>
            <w:tblPr>
              <w:tblStyle w:val="4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1314"/>
              <w:gridCol w:w="1268"/>
              <w:gridCol w:w="1133"/>
              <w:gridCol w:w="950"/>
              <w:gridCol w:w="1089"/>
              <w:gridCol w:w="1101"/>
            </w:tblGrid>
            <w:tr w14:paraId="1B777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5" w:type="pct"/>
                  <w:noWrap w:val="0"/>
                  <w:vAlign w:val="center"/>
                </w:tcPr>
                <w:p w14:paraId="1A8658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污水种类</w:t>
                  </w:r>
                </w:p>
              </w:tc>
              <w:tc>
                <w:tcPr>
                  <w:tcW w:w="783" w:type="pct"/>
                  <w:noWrap w:val="0"/>
                  <w:vAlign w:val="center"/>
                </w:tcPr>
                <w:p w14:paraId="2032A5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污染物</w:t>
                  </w:r>
                </w:p>
              </w:tc>
              <w:tc>
                <w:tcPr>
                  <w:tcW w:w="756" w:type="pct"/>
                  <w:noWrap w:val="0"/>
                  <w:vAlign w:val="center"/>
                </w:tcPr>
                <w:p w14:paraId="06A1B1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产生浓度（mg/L）</w:t>
                  </w:r>
                </w:p>
              </w:tc>
              <w:tc>
                <w:tcPr>
                  <w:tcW w:w="675" w:type="pct"/>
                  <w:noWrap w:val="0"/>
                  <w:vAlign w:val="center"/>
                </w:tcPr>
                <w:p w14:paraId="3287ED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产生量（t/a）</w:t>
                  </w:r>
                </w:p>
              </w:tc>
              <w:tc>
                <w:tcPr>
                  <w:tcW w:w="566" w:type="pct"/>
                  <w:noWrap/>
                  <w:vAlign w:val="center"/>
                </w:tcPr>
                <w:p w14:paraId="461BD5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处理效率</w:t>
                  </w:r>
                </w:p>
              </w:tc>
              <w:tc>
                <w:tcPr>
                  <w:tcW w:w="649" w:type="pct"/>
                  <w:noWrap w:val="0"/>
                  <w:vAlign w:val="center"/>
                </w:tcPr>
                <w:p w14:paraId="1EEDD3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排放浓度（mg/L）</w:t>
                  </w:r>
                </w:p>
              </w:tc>
              <w:tc>
                <w:tcPr>
                  <w:tcW w:w="653" w:type="pct"/>
                  <w:noWrap w:val="0"/>
                  <w:vAlign w:val="center"/>
                </w:tcPr>
                <w:p w14:paraId="749B59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排放量（t/a）</w:t>
                  </w:r>
                </w:p>
              </w:tc>
            </w:tr>
            <w:tr w14:paraId="10FA5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5" w:type="pct"/>
                  <w:vMerge w:val="restart"/>
                  <w:noWrap w:val="0"/>
                  <w:vAlign w:val="center"/>
                </w:tcPr>
                <w:p w14:paraId="7CCB20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生活污水</w:t>
                  </w:r>
                </w:p>
                <w:p w14:paraId="7A1A2D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2070m</w:t>
                  </w:r>
                  <w:r>
                    <w:rPr>
                      <w:rFonts w:hint="default" w:ascii="Times New Roman" w:hAnsi="Times New Roman" w:eastAsia="宋体" w:cs="Times New Roman"/>
                      <w:b w:val="0"/>
                      <w:bCs w:val="0"/>
                      <w:i w:val="0"/>
                      <w:iCs w:val="0"/>
                      <w:color w:val="000000" w:themeColor="text1"/>
                      <w:kern w:val="0"/>
                      <w:sz w:val="21"/>
                      <w:szCs w:val="21"/>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/a</w:t>
                  </w:r>
                </w:p>
              </w:tc>
              <w:tc>
                <w:tcPr>
                  <w:tcW w:w="783" w:type="pct"/>
                  <w:noWrap w:val="0"/>
                  <w:vAlign w:val="center"/>
                </w:tcPr>
                <w:p w14:paraId="5708F4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COD</w:t>
                  </w:r>
                  <w: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t>Cr</w:t>
                  </w:r>
                </w:p>
              </w:tc>
              <w:tc>
                <w:tcPr>
                  <w:tcW w:w="756" w:type="pct"/>
                  <w:noWrap w:val="0"/>
                  <w:vAlign w:val="center"/>
                </w:tcPr>
                <w:p w14:paraId="429D53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250</w:t>
                  </w:r>
                </w:p>
              </w:tc>
              <w:tc>
                <w:tcPr>
                  <w:tcW w:w="675" w:type="pct"/>
                  <w:noWrap w:val="0"/>
                  <w:vAlign w:val="center"/>
                </w:tcPr>
                <w:p w14:paraId="7422658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0.518 </w:t>
                  </w:r>
                </w:p>
              </w:tc>
              <w:tc>
                <w:tcPr>
                  <w:tcW w:w="566" w:type="pct"/>
                  <w:noWrap/>
                  <w:vAlign w:val="center"/>
                </w:tcPr>
                <w:p w14:paraId="124DFA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w:t>
                  </w:r>
                </w:p>
              </w:tc>
              <w:tc>
                <w:tcPr>
                  <w:tcW w:w="649" w:type="pct"/>
                  <w:noWrap w:val="0"/>
                  <w:vAlign w:val="center"/>
                </w:tcPr>
                <w:p w14:paraId="102008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200</w:t>
                  </w:r>
                </w:p>
              </w:tc>
              <w:tc>
                <w:tcPr>
                  <w:tcW w:w="653" w:type="pct"/>
                  <w:noWrap w:val="0"/>
                  <w:vAlign w:val="center"/>
                </w:tcPr>
                <w:p w14:paraId="1672DB15">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0.414 </w:t>
                  </w:r>
                </w:p>
              </w:tc>
            </w:tr>
            <w:tr w14:paraId="4D792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5" w:type="pct"/>
                  <w:vMerge w:val="continue"/>
                  <w:noWrap w:val="0"/>
                  <w:vAlign w:val="center"/>
                </w:tcPr>
                <w:p w14:paraId="314FC1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p>
              </w:tc>
              <w:tc>
                <w:tcPr>
                  <w:tcW w:w="783" w:type="pct"/>
                  <w:noWrap w:val="0"/>
                  <w:vAlign w:val="center"/>
                </w:tcPr>
                <w:p w14:paraId="75FD1A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BOD</w:t>
                  </w:r>
                  <w: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t>5</w:t>
                  </w:r>
                </w:p>
              </w:tc>
              <w:tc>
                <w:tcPr>
                  <w:tcW w:w="756" w:type="pct"/>
                  <w:noWrap w:val="0"/>
                  <w:vAlign w:val="center"/>
                </w:tcPr>
                <w:p w14:paraId="4AB7FD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150</w:t>
                  </w:r>
                </w:p>
              </w:tc>
              <w:tc>
                <w:tcPr>
                  <w:tcW w:w="675" w:type="pct"/>
                  <w:noWrap w:val="0"/>
                  <w:vAlign w:val="center"/>
                </w:tcPr>
                <w:p w14:paraId="78A3C4C1">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0.311 </w:t>
                  </w:r>
                </w:p>
              </w:tc>
              <w:tc>
                <w:tcPr>
                  <w:tcW w:w="566" w:type="pct"/>
                  <w:noWrap/>
                  <w:vAlign w:val="center"/>
                </w:tcPr>
                <w:p w14:paraId="211A12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w:t>
                  </w:r>
                </w:p>
              </w:tc>
              <w:tc>
                <w:tcPr>
                  <w:tcW w:w="649" w:type="pct"/>
                  <w:noWrap w:val="0"/>
                  <w:vAlign w:val="center"/>
                </w:tcPr>
                <w:p w14:paraId="2514B1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142.5</w:t>
                  </w:r>
                </w:p>
              </w:tc>
              <w:tc>
                <w:tcPr>
                  <w:tcW w:w="653" w:type="pct"/>
                  <w:noWrap w:val="0"/>
                  <w:vAlign w:val="center"/>
                </w:tcPr>
                <w:p w14:paraId="1BD5AA25">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0.295 </w:t>
                  </w:r>
                </w:p>
              </w:tc>
            </w:tr>
            <w:tr w14:paraId="16B62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5" w:type="pct"/>
                  <w:vMerge w:val="continue"/>
                  <w:noWrap/>
                  <w:vAlign w:val="center"/>
                </w:tcPr>
                <w:p w14:paraId="74CA41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p>
              </w:tc>
              <w:tc>
                <w:tcPr>
                  <w:tcW w:w="783" w:type="pct"/>
                  <w:noWrap w:val="0"/>
                  <w:vAlign w:val="center"/>
                </w:tcPr>
                <w:p w14:paraId="011D7C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SS</w:t>
                  </w:r>
                </w:p>
              </w:tc>
              <w:tc>
                <w:tcPr>
                  <w:tcW w:w="756" w:type="pct"/>
                  <w:noWrap w:val="0"/>
                  <w:vAlign w:val="center"/>
                </w:tcPr>
                <w:p w14:paraId="36DD82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150</w:t>
                  </w:r>
                </w:p>
              </w:tc>
              <w:tc>
                <w:tcPr>
                  <w:tcW w:w="675" w:type="pct"/>
                  <w:noWrap w:val="0"/>
                  <w:vAlign w:val="center"/>
                </w:tcPr>
                <w:p w14:paraId="27EF148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0.311 </w:t>
                  </w:r>
                </w:p>
              </w:tc>
              <w:tc>
                <w:tcPr>
                  <w:tcW w:w="566" w:type="pct"/>
                  <w:noWrap/>
                  <w:vAlign w:val="center"/>
                </w:tcPr>
                <w:p w14:paraId="740EC7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30%</w:t>
                  </w:r>
                </w:p>
              </w:tc>
              <w:tc>
                <w:tcPr>
                  <w:tcW w:w="649" w:type="pct"/>
                  <w:noWrap w:val="0"/>
                  <w:vAlign w:val="center"/>
                </w:tcPr>
                <w:p w14:paraId="4091E8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105</w:t>
                  </w:r>
                </w:p>
              </w:tc>
              <w:tc>
                <w:tcPr>
                  <w:tcW w:w="653" w:type="pct"/>
                  <w:noWrap w:val="0"/>
                  <w:vAlign w:val="center"/>
                </w:tcPr>
                <w:p w14:paraId="5582E7AF">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0.217 </w:t>
                  </w:r>
                </w:p>
              </w:tc>
            </w:tr>
            <w:tr w14:paraId="09E9B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5" w:type="pct"/>
                  <w:vMerge w:val="continue"/>
                  <w:noWrap/>
                  <w:vAlign w:val="center"/>
                </w:tcPr>
                <w:p w14:paraId="6B0F19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p>
              </w:tc>
              <w:tc>
                <w:tcPr>
                  <w:tcW w:w="783" w:type="pct"/>
                  <w:noWrap w:val="0"/>
                  <w:vAlign w:val="center"/>
                </w:tcPr>
                <w:p w14:paraId="52DFEC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NH</w:t>
                  </w:r>
                  <w: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-N</w:t>
                  </w:r>
                </w:p>
              </w:tc>
              <w:tc>
                <w:tcPr>
                  <w:tcW w:w="756" w:type="pct"/>
                  <w:noWrap w:val="0"/>
                  <w:vAlign w:val="center"/>
                </w:tcPr>
                <w:p w14:paraId="009A07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30</w:t>
                  </w:r>
                </w:p>
              </w:tc>
              <w:tc>
                <w:tcPr>
                  <w:tcW w:w="675" w:type="pct"/>
                  <w:noWrap w:val="0"/>
                  <w:vAlign w:val="center"/>
                </w:tcPr>
                <w:p w14:paraId="6E386FB9">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0.062 </w:t>
                  </w:r>
                </w:p>
              </w:tc>
              <w:tc>
                <w:tcPr>
                  <w:tcW w:w="566" w:type="pct"/>
                  <w:noWrap/>
                  <w:vAlign w:val="center"/>
                </w:tcPr>
                <w:p w14:paraId="315993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c>
                <w:tcPr>
                  <w:tcW w:w="649" w:type="pct"/>
                  <w:noWrap w:val="0"/>
                  <w:vAlign w:val="center"/>
                </w:tcPr>
                <w:p w14:paraId="1ABA70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30</w:t>
                  </w:r>
                </w:p>
              </w:tc>
              <w:tc>
                <w:tcPr>
                  <w:tcW w:w="653" w:type="pct"/>
                  <w:noWrap w:val="0"/>
                  <w:vAlign w:val="center"/>
                </w:tcPr>
                <w:p w14:paraId="7E64FF37">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0.062 </w:t>
                  </w:r>
                </w:p>
              </w:tc>
            </w:tr>
            <w:tr w14:paraId="7110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5" w:type="pct"/>
                  <w:vMerge w:val="continue"/>
                  <w:noWrap/>
                  <w:vAlign w:val="center"/>
                </w:tcPr>
                <w:p w14:paraId="0EB8C4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p>
              </w:tc>
              <w:tc>
                <w:tcPr>
                  <w:tcW w:w="783" w:type="pct"/>
                  <w:noWrap w:val="0"/>
                  <w:vAlign w:val="center"/>
                </w:tcPr>
                <w:p w14:paraId="6F6CF8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总磷</w:t>
                  </w:r>
                </w:p>
              </w:tc>
              <w:tc>
                <w:tcPr>
                  <w:tcW w:w="756" w:type="pct"/>
                  <w:noWrap w:val="0"/>
                  <w:vAlign w:val="center"/>
                </w:tcPr>
                <w:p w14:paraId="338955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w:t>
                  </w:r>
                </w:p>
              </w:tc>
              <w:tc>
                <w:tcPr>
                  <w:tcW w:w="675" w:type="pct"/>
                  <w:noWrap w:val="0"/>
                  <w:vAlign w:val="center"/>
                </w:tcPr>
                <w:p w14:paraId="6F58D32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0.010 </w:t>
                  </w:r>
                </w:p>
              </w:tc>
              <w:tc>
                <w:tcPr>
                  <w:tcW w:w="566" w:type="pct"/>
                  <w:noWrap/>
                  <w:vAlign w:val="center"/>
                </w:tcPr>
                <w:p w14:paraId="076347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w:t>
                  </w:r>
                </w:p>
              </w:tc>
              <w:tc>
                <w:tcPr>
                  <w:tcW w:w="649" w:type="pct"/>
                  <w:noWrap w:val="0"/>
                  <w:vAlign w:val="center"/>
                </w:tcPr>
                <w:p w14:paraId="233075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w:t>
                  </w:r>
                </w:p>
              </w:tc>
              <w:tc>
                <w:tcPr>
                  <w:tcW w:w="653" w:type="pct"/>
                  <w:noWrap w:val="0"/>
                  <w:vAlign w:val="center"/>
                </w:tcPr>
                <w:p w14:paraId="528223E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0.008 </w:t>
                  </w:r>
                </w:p>
              </w:tc>
            </w:tr>
            <w:tr w14:paraId="66C29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5" w:type="pct"/>
                  <w:vMerge w:val="continue"/>
                  <w:noWrap/>
                  <w:vAlign w:val="center"/>
                </w:tcPr>
                <w:p w14:paraId="06AB50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p>
              </w:tc>
              <w:tc>
                <w:tcPr>
                  <w:tcW w:w="783" w:type="pct"/>
                  <w:noWrap w:val="0"/>
                  <w:vAlign w:val="center"/>
                </w:tcPr>
                <w:p w14:paraId="2E75DF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动植物油</w:t>
                  </w:r>
                </w:p>
              </w:tc>
              <w:tc>
                <w:tcPr>
                  <w:tcW w:w="756" w:type="pct"/>
                  <w:noWrap w:val="0"/>
                  <w:vAlign w:val="center"/>
                </w:tcPr>
                <w:p w14:paraId="20558F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100</w:t>
                  </w:r>
                </w:p>
              </w:tc>
              <w:tc>
                <w:tcPr>
                  <w:tcW w:w="675" w:type="pct"/>
                  <w:noWrap w:val="0"/>
                  <w:vAlign w:val="center"/>
                </w:tcPr>
                <w:p w14:paraId="336971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0.207 </w:t>
                  </w:r>
                </w:p>
              </w:tc>
              <w:tc>
                <w:tcPr>
                  <w:tcW w:w="566" w:type="pct"/>
                  <w:noWrap/>
                  <w:vAlign w:val="center"/>
                </w:tcPr>
                <w:p w14:paraId="585D3D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80%</w:t>
                  </w:r>
                </w:p>
              </w:tc>
              <w:tc>
                <w:tcPr>
                  <w:tcW w:w="649" w:type="pct"/>
                  <w:noWrap w:val="0"/>
                  <w:vAlign w:val="center"/>
                </w:tcPr>
                <w:p w14:paraId="27A7AE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20</w:t>
                  </w:r>
                </w:p>
              </w:tc>
              <w:tc>
                <w:tcPr>
                  <w:tcW w:w="653" w:type="pct"/>
                  <w:noWrap w:val="0"/>
                  <w:vAlign w:val="center"/>
                </w:tcPr>
                <w:p w14:paraId="0A8C51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0.041 </w:t>
                  </w:r>
                </w:p>
              </w:tc>
            </w:tr>
            <w:tr w14:paraId="563F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00" w:type="pct"/>
                  <w:gridSpan w:val="7"/>
                  <w:vMerge w:val="restart"/>
                  <w:noWrap w:val="0"/>
                  <w:vAlign w:val="center"/>
                </w:tcPr>
                <w:p w14:paraId="07E26C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b w:val="0"/>
                      <w:bCs w:val="0"/>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注：</w:t>
                  </w: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1、项目生活污水主要污染物为COD</w:t>
                  </w:r>
                  <w:r>
                    <w:rPr>
                      <w:rFonts w:hint="default" w:ascii="Times New Roman" w:hAnsi="Times New Roman" w:eastAsia="宋体" w:cs="Times New Roman"/>
                      <w:b w:val="0"/>
                      <w:bCs w:val="0"/>
                      <w:i w:val="0"/>
                      <w:iCs w:val="0"/>
                      <w:color w:val="000000" w:themeColor="text1"/>
                      <w:kern w:val="0"/>
                      <w:sz w:val="21"/>
                      <w:szCs w:val="21"/>
                      <w:highlight w:val="none"/>
                      <w:u w:val="none"/>
                      <w:vertAlign w:val="subscript"/>
                      <w:lang w:val="en-US" w:eastAsia="zh-CN" w:bidi="ar"/>
                      <w14:textFill>
                        <w14:solidFill>
                          <w14:schemeClr w14:val="tx1"/>
                        </w14:solidFill>
                      </w14:textFill>
                    </w:rPr>
                    <w:t>Cr</w:t>
                  </w: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、BOD</w:t>
                  </w:r>
                  <w:r>
                    <w:rPr>
                      <w:rFonts w:hint="default" w:ascii="Times New Roman" w:hAnsi="Times New Roman" w:eastAsia="宋体" w:cs="Times New Roman"/>
                      <w:b w:val="0"/>
                      <w:bCs w:val="0"/>
                      <w:i w:val="0"/>
                      <w:iCs w:val="0"/>
                      <w:color w:val="000000" w:themeColor="text1"/>
                      <w:kern w:val="0"/>
                      <w:sz w:val="21"/>
                      <w:szCs w:val="21"/>
                      <w:highlight w:val="none"/>
                      <w:u w:val="none"/>
                      <w:vertAlign w:val="subscript"/>
                      <w:lang w:val="en-US" w:eastAsia="zh-CN" w:bidi="ar"/>
                      <w14:textFill>
                        <w14:solidFill>
                          <w14:schemeClr w14:val="tx1"/>
                        </w14:solidFill>
                      </w14:textFill>
                    </w:rPr>
                    <w:t>5</w:t>
                  </w: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、SS、NH</w:t>
                  </w:r>
                  <w:r>
                    <w:rPr>
                      <w:rFonts w:hint="default" w:ascii="Times New Roman" w:hAnsi="Times New Roman" w:eastAsia="宋体" w:cs="Times New Roman"/>
                      <w:b w:val="0"/>
                      <w:bCs w:val="0"/>
                      <w:i w:val="0"/>
                      <w:iCs w:val="0"/>
                      <w:color w:val="000000" w:themeColor="text1"/>
                      <w:kern w:val="0"/>
                      <w:sz w:val="21"/>
                      <w:szCs w:val="21"/>
                      <w:highlight w:val="none"/>
                      <w:u w:val="none"/>
                      <w:vertAlign w:val="subscript"/>
                      <w:lang w:val="en-US" w:eastAsia="zh-CN" w:bidi="ar"/>
                      <w14:textFill>
                        <w14:solidFill>
                          <w14:schemeClr w14:val="tx1"/>
                        </w14:solidFill>
                      </w14:textFill>
                    </w:rPr>
                    <w:t>3</w:t>
                  </w: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-N</w:t>
                  </w:r>
                  <w:r>
                    <w:rPr>
                      <w:rFonts w:hint="default" w:ascii="Times New Roman" w:hAnsi="Times New Roman"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、总磷</w:t>
                  </w: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，生活污水产生浓度参照《给水排水设计手册（第五册城镇排水）》（中国建筑工业出版社）表4-1典型生活污水水质示例中浓度。</w:t>
                  </w: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2、根据《室外排水设计规范（2011年版）》（GB50014-2006）、《村镇生活污染防治最佳可行技术指南（试行）》（HJ-BAT-9）三级化粪池对COD</w:t>
                  </w:r>
                  <w:r>
                    <w:rPr>
                      <w:rFonts w:hint="default" w:ascii="Times New Roman" w:hAnsi="Times New Roman" w:eastAsia="宋体" w:cs="Times New Roman"/>
                      <w:b w:val="0"/>
                      <w:bCs w:val="0"/>
                      <w:i w:val="0"/>
                      <w:iCs w:val="0"/>
                      <w:color w:val="000000" w:themeColor="text1"/>
                      <w:kern w:val="0"/>
                      <w:sz w:val="21"/>
                      <w:szCs w:val="21"/>
                      <w:highlight w:val="none"/>
                      <w:u w:val="none"/>
                      <w:vertAlign w:val="subscript"/>
                      <w:lang w:val="en-US" w:eastAsia="zh-CN" w:bidi="ar"/>
                      <w14:textFill>
                        <w14:solidFill>
                          <w14:schemeClr w14:val="tx1"/>
                        </w14:solidFill>
                      </w14:textFill>
                    </w:rPr>
                    <w:t>Cr</w:t>
                  </w: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、BOD</w:t>
                  </w:r>
                  <w:r>
                    <w:rPr>
                      <w:rFonts w:hint="default" w:ascii="Times New Roman" w:hAnsi="Times New Roman" w:eastAsia="宋体" w:cs="Times New Roman"/>
                      <w:b w:val="0"/>
                      <w:bCs w:val="0"/>
                      <w:i w:val="0"/>
                      <w:iCs w:val="0"/>
                      <w:color w:val="000000" w:themeColor="text1"/>
                      <w:kern w:val="0"/>
                      <w:sz w:val="21"/>
                      <w:szCs w:val="21"/>
                      <w:highlight w:val="none"/>
                      <w:u w:val="none"/>
                      <w:vertAlign w:val="subscript"/>
                      <w:lang w:val="en-US" w:eastAsia="zh-CN" w:bidi="ar"/>
                      <w14:textFill>
                        <w14:solidFill>
                          <w14:schemeClr w14:val="tx1"/>
                        </w14:solidFill>
                      </w14:textFill>
                    </w:rPr>
                    <w:t>5</w:t>
                  </w: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、SS</w:t>
                  </w:r>
                  <w:r>
                    <w:rPr>
                      <w:rFonts w:hint="default" w:ascii="Times New Roman" w:hAnsi="Times New Roman"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NH</w:t>
                  </w:r>
                  <w:r>
                    <w:rPr>
                      <w:rFonts w:hint="default" w:ascii="Times New Roman" w:hAnsi="Times New Roman" w:eastAsia="宋体" w:cs="Times New Roman"/>
                      <w:b w:val="0"/>
                      <w:bCs w:val="0"/>
                      <w:i w:val="0"/>
                      <w:iCs w:val="0"/>
                      <w:color w:val="000000" w:themeColor="text1"/>
                      <w:kern w:val="0"/>
                      <w:sz w:val="21"/>
                      <w:szCs w:val="21"/>
                      <w:highlight w:val="none"/>
                      <w:u w:val="none"/>
                      <w:vertAlign w:val="subscript"/>
                      <w:lang w:val="en-US" w:eastAsia="zh-CN" w:bidi="ar"/>
                      <w14:textFill>
                        <w14:solidFill>
                          <w14:schemeClr w14:val="tx1"/>
                        </w14:solidFill>
                      </w14:textFill>
                    </w:rPr>
                    <w:t>3</w:t>
                  </w: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-N</w:t>
                  </w:r>
                  <w:r>
                    <w:rPr>
                      <w:rFonts w:hint="default" w:ascii="Times New Roman" w:hAnsi="Times New Roman"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、总磷</w:t>
                  </w: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分别的处理效率为20%、5%、30%</w:t>
                  </w:r>
                  <w:r>
                    <w:rPr>
                      <w:rFonts w:hint="default" w:ascii="Times New Roman" w:hAnsi="Times New Roman"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0%</w:t>
                  </w:r>
                  <w:r>
                    <w:rPr>
                      <w:rFonts w:hint="default" w:ascii="Times New Roman" w:hAnsi="Times New Roman"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和20%，对动植物油处理效率参考《村镇生活污染防治最佳可行技术指南（试行）》（HJ-BAT-9）：动植物油80%~90%，本项目取80%。</w:t>
                  </w:r>
                </w:p>
              </w:tc>
            </w:tr>
            <w:tr w14:paraId="176C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00" w:type="pct"/>
                  <w:gridSpan w:val="7"/>
                  <w:vMerge w:val="continue"/>
                  <w:noWrap w:val="0"/>
                  <w:vAlign w:val="center"/>
                </w:tcPr>
                <w:p w14:paraId="4A32EE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Times New Roman" w:hAnsi="Times New Roman" w:eastAsia="宋体" w:cs="Times New Roman"/>
                      <w:b w:val="0"/>
                      <w:bCs w:val="0"/>
                      <w:i w:val="0"/>
                      <w:iCs w:val="0"/>
                      <w:color w:val="000000" w:themeColor="text1"/>
                      <w:sz w:val="21"/>
                      <w:szCs w:val="21"/>
                      <w:highlight w:val="none"/>
                      <w:u w:val="none"/>
                      <w14:textFill>
                        <w14:solidFill>
                          <w14:schemeClr w14:val="tx1"/>
                        </w14:solidFill>
                      </w14:textFill>
                    </w:rPr>
                  </w:pPr>
                </w:p>
              </w:tc>
            </w:tr>
          </w:tbl>
          <w:p w14:paraId="06EC9F17">
            <w:pPr>
              <w:keepNext w:val="0"/>
              <w:keepLines w:val="0"/>
              <w:pageBreakBefore w:val="0"/>
              <w:widowControl w:val="0"/>
              <w:kinsoku/>
              <w:wordWrap/>
              <w:overflowPunct/>
              <w:topLinePunct w:val="0"/>
              <w:autoSpaceDE/>
              <w:autoSpaceDN/>
              <w:bidi w:val="0"/>
              <w:adjustRightInd/>
              <w:snapToGrid/>
              <w:spacing w:line="120" w:lineRule="auto"/>
              <w:ind w:firstLine="420" w:firstLineChars="200"/>
              <w:textAlignment w:val="auto"/>
              <w:rPr>
                <w:rFonts w:hint="default" w:ascii="Times New Roman" w:hAnsi="Times New Roman" w:eastAsia="宋体" w:cs="Times New Roman"/>
                <w:color w:val="000000" w:themeColor="text1"/>
                <w:highlight w:val="none"/>
                <w14:textFill>
                  <w14:solidFill>
                    <w14:schemeClr w14:val="tx1"/>
                  </w14:solidFill>
                </w14:textFill>
              </w:rPr>
            </w:pPr>
          </w:p>
          <w:p w14:paraId="1EFB56AD">
            <w:pPr>
              <w:pStyle w:val="11"/>
              <w:widowControl/>
              <w:numPr>
                <w:ilvl w:val="4"/>
                <w:numId w:val="0"/>
              </w:numPr>
              <w:suppressLineNumbers w:val="0"/>
              <w:spacing w:before="0" w:beforeAutospacing="0" w:after="0" w:afterAutospacing="0" w:line="360" w:lineRule="auto"/>
              <w:ind w:left="0" w:right="0" w:firstLine="482" w:firstLineChars="200"/>
              <w:rPr>
                <w:rFonts w:hint="default" w:ascii="Times New Roman" w:hAnsi="Times New Roman" w:cs="Times New Roman"/>
                <w:color w:val="000000" w:themeColor="text1"/>
                <w:kern w:val="2"/>
                <w:sz w:val="24"/>
                <w:szCs w:val="24"/>
                <w:highlight w:val="none"/>
                <w14:textFill>
                  <w14:solidFill>
                    <w14:schemeClr w14:val="tx1"/>
                  </w14:solidFill>
                </w14:textFill>
              </w:rPr>
            </w:pPr>
            <w:r>
              <w:rPr>
                <w:rFonts w:hint="default" w:ascii="Times New Roman" w:hAnsi="Times New Roman" w:cs="Times New Roman"/>
                <w:color w:val="000000" w:themeColor="text1"/>
                <w:kern w:val="2"/>
                <w:sz w:val="24"/>
                <w:szCs w:val="24"/>
                <w:highlight w:val="none"/>
                <w14:textFill>
                  <w14:solidFill>
                    <w14:schemeClr w14:val="tx1"/>
                  </w14:solidFill>
                </w14:textFill>
              </w:rPr>
              <w:t>（2）</w:t>
            </w:r>
            <w:r>
              <w:rPr>
                <w:rFonts w:hint="eastAsia" w:ascii="Times New Roman" w:hAnsi="Times New Roman" w:cs="Times New Roman"/>
                <w:color w:val="000000" w:themeColor="text1"/>
                <w:kern w:val="2"/>
                <w:sz w:val="24"/>
                <w:szCs w:val="24"/>
                <w:highlight w:val="none"/>
                <w:lang w:val="en-US" w:eastAsia="zh-CN"/>
                <w14:textFill>
                  <w14:solidFill>
                    <w14:schemeClr w14:val="tx1"/>
                  </w14:solidFill>
                </w14:textFill>
              </w:rPr>
              <w:t>生产</w:t>
            </w:r>
            <w:r>
              <w:rPr>
                <w:rFonts w:hint="default" w:ascii="Times New Roman" w:hAnsi="Times New Roman" w:cs="Times New Roman"/>
                <w:color w:val="000000" w:themeColor="text1"/>
                <w:kern w:val="2"/>
                <w:sz w:val="24"/>
                <w:szCs w:val="24"/>
                <w:highlight w:val="none"/>
                <w14:textFill>
                  <w14:solidFill>
                    <w14:schemeClr w14:val="tx1"/>
                  </w14:solidFill>
                </w14:textFill>
              </w:rPr>
              <w:t>废水</w:t>
            </w:r>
          </w:p>
          <w:p w14:paraId="6140AA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color w:val="000000" w:themeColor="text1"/>
                <w:sz w:val="24"/>
                <w:szCs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A.水帘柜废水：</w:t>
            </w:r>
            <w:r>
              <w:rPr>
                <w:color w:val="000000" w:themeColor="text1"/>
                <w:sz w:val="24"/>
                <w:szCs w:val="24"/>
                <w14:textFill>
                  <w14:solidFill>
                    <w14:schemeClr w14:val="tx1"/>
                  </w14:solidFill>
                </w14:textFill>
              </w:rPr>
              <w:t>喷漆房内设有水帘</w:t>
            </w:r>
            <w:r>
              <w:rPr>
                <w:rFonts w:hint="eastAsia"/>
                <w:color w:val="000000" w:themeColor="text1"/>
                <w:sz w:val="24"/>
                <w:szCs w:val="24"/>
                <w:lang w:val="en-US" w:eastAsia="zh-CN"/>
                <w14:textFill>
                  <w14:solidFill>
                    <w14:schemeClr w14:val="tx1"/>
                  </w14:solidFill>
                </w14:textFill>
              </w:rPr>
              <w:t>柜</w:t>
            </w:r>
            <w:r>
              <w:rPr>
                <w:color w:val="000000" w:themeColor="text1"/>
                <w:sz w:val="24"/>
                <w:szCs w:val="24"/>
                <w14:textFill>
                  <w14:solidFill>
                    <w14:schemeClr w14:val="tx1"/>
                  </w14:solidFill>
                </w14:textFill>
              </w:rPr>
              <w:t>的循环水池，总有效容积为</w:t>
            </w:r>
            <w:r>
              <w:rPr>
                <w:rFonts w:hint="eastAsia"/>
                <w:color w:val="000000" w:themeColor="text1"/>
                <w:sz w:val="24"/>
                <w:szCs w:val="24"/>
                <w:lang w:val="en-US" w:eastAsia="zh-CN"/>
                <w14:textFill>
                  <w14:solidFill>
                    <w14:schemeClr w14:val="tx1"/>
                  </w14:solidFill>
                </w14:textFill>
              </w:rPr>
              <w:t>16.2</w:t>
            </w:r>
            <w:r>
              <w:rPr>
                <w:color w:val="000000" w:themeColor="text1"/>
                <w:sz w:val="24"/>
                <w:szCs w:val="24"/>
                <w14:textFill>
                  <w14:solidFill>
                    <w14:schemeClr w14:val="tx1"/>
                  </w14:solidFill>
                </w14:textFill>
              </w:rPr>
              <w:t>m</w:t>
            </w:r>
            <w:r>
              <w:rPr>
                <w:color w:val="000000" w:themeColor="text1"/>
                <w:sz w:val="24"/>
                <w:szCs w:val="24"/>
                <w:vertAlign w:val="superscript"/>
                <w14:textFill>
                  <w14:solidFill>
                    <w14:schemeClr w14:val="tx1"/>
                  </w14:solidFill>
                </w14:textFill>
              </w:rPr>
              <w:t>3</w:t>
            </w:r>
            <w:r>
              <w:rPr>
                <w:color w:val="000000" w:themeColor="text1"/>
                <w:sz w:val="24"/>
                <w:szCs w:val="24"/>
                <w14:textFill>
                  <w14:solidFill>
                    <w14:schemeClr w14:val="tx1"/>
                  </w14:solidFill>
                </w14:textFill>
              </w:rPr>
              <w:t>，每</w:t>
            </w:r>
            <w:r>
              <w:rPr>
                <w:rFonts w:hint="eastAsia"/>
                <w:color w:val="000000" w:themeColor="text1"/>
                <w:sz w:val="24"/>
                <w:szCs w:val="24"/>
                <w:lang w:eastAsia="zh-CN"/>
                <w14:textFill>
                  <w14:solidFill>
                    <w14:schemeClr w14:val="tx1"/>
                  </w14:solidFill>
                </w14:textFill>
              </w:rPr>
              <w:t>月</w:t>
            </w:r>
            <w:r>
              <w:rPr>
                <w:color w:val="000000" w:themeColor="text1"/>
                <w:sz w:val="24"/>
                <w:szCs w:val="24"/>
                <w14:textFill>
                  <w14:solidFill>
                    <w14:schemeClr w14:val="tx1"/>
                  </w14:solidFill>
                </w14:textFill>
              </w:rPr>
              <w:t>更换一次，对应更换补充用水量为</w:t>
            </w:r>
            <w:r>
              <w:rPr>
                <w:rFonts w:hint="eastAsia"/>
                <w:color w:val="000000" w:themeColor="text1"/>
                <w:sz w:val="24"/>
                <w:szCs w:val="24"/>
                <w:lang w:val="en-US" w:eastAsia="zh-CN"/>
                <w14:textFill>
                  <w14:solidFill>
                    <w14:schemeClr w14:val="tx1"/>
                  </w14:solidFill>
                </w14:textFill>
              </w:rPr>
              <w:t>16.2</w:t>
            </w:r>
            <w:r>
              <w:rPr>
                <w:color w:val="000000" w:themeColor="text1"/>
                <w:sz w:val="24"/>
                <w:szCs w:val="24"/>
                <w14:textFill>
                  <w14:solidFill>
                    <w14:schemeClr w14:val="tx1"/>
                  </w14:solidFill>
                </w14:textFill>
              </w:rPr>
              <w:t>m</w:t>
            </w:r>
            <w:r>
              <w:rPr>
                <w:color w:val="000000" w:themeColor="text1"/>
                <w:sz w:val="24"/>
                <w:szCs w:val="24"/>
                <w:vertAlign w:val="superscript"/>
                <w14:textFill>
                  <w14:solidFill>
                    <w14:schemeClr w14:val="tx1"/>
                  </w14:solidFill>
                </w14:textFill>
              </w:rPr>
              <w:t>3</w:t>
            </w:r>
            <w:r>
              <w:rPr>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12</w:t>
            </w:r>
            <w:r>
              <w:rPr>
                <w:color w:val="000000" w:themeColor="text1"/>
                <w:sz w:val="24"/>
                <w:szCs w:val="24"/>
                <w14:textFill>
                  <w14:solidFill>
                    <w14:schemeClr w14:val="tx1"/>
                  </w14:solidFill>
                </w14:textFill>
              </w:rPr>
              <w:t>次/年=</w:t>
            </w:r>
            <w:r>
              <w:rPr>
                <w:rFonts w:hint="eastAsia"/>
                <w:color w:val="000000" w:themeColor="text1"/>
                <w:sz w:val="24"/>
                <w:szCs w:val="24"/>
                <w:lang w:val="en-US" w:eastAsia="zh-CN"/>
                <w14:textFill>
                  <w14:solidFill>
                    <w14:schemeClr w14:val="tx1"/>
                  </w14:solidFill>
                </w14:textFill>
              </w:rPr>
              <w:t>194.4</w:t>
            </w:r>
            <w:r>
              <w:rPr>
                <w:color w:val="000000" w:themeColor="text1"/>
                <w:sz w:val="24"/>
                <w:szCs w:val="24"/>
                <w14:textFill>
                  <w14:solidFill>
                    <w14:schemeClr w14:val="tx1"/>
                  </w14:solidFill>
                </w14:textFill>
              </w:rPr>
              <w:t>m</w:t>
            </w:r>
            <w:r>
              <w:rPr>
                <w:color w:val="000000" w:themeColor="text1"/>
                <w:sz w:val="24"/>
                <w:szCs w:val="24"/>
                <w:vertAlign w:val="superscript"/>
                <w14:textFill>
                  <w14:solidFill>
                    <w14:schemeClr w14:val="tx1"/>
                  </w14:solidFill>
                </w14:textFill>
              </w:rPr>
              <w:t>3</w:t>
            </w:r>
            <w:r>
              <w:rPr>
                <w:color w:val="000000" w:themeColor="text1"/>
                <w:sz w:val="24"/>
                <w:szCs w:val="24"/>
                <w14:textFill>
                  <w14:solidFill>
                    <w14:schemeClr w14:val="tx1"/>
                  </w14:solidFill>
                </w14:textFill>
              </w:rPr>
              <w:t>/a，更换后的废水</w:t>
            </w:r>
            <w:r>
              <w:rPr>
                <w:rFonts w:hint="eastAsia"/>
                <w:color w:val="000000" w:themeColor="text1"/>
                <w:sz w:val="24"/>
                <w:szCs w:val="24"/>
                <w:lang w:val="en-US" w:eastAsia="zh-CN"/>
                <w14:textFill>
                  <w14:solidFill>
                    <w14:schemeClr w14:val="tx1"/>
                  </w14:solidFill>
                </w14:textFill>
              </w:rPr>
              <w:t>交由有危险废物处置资质单位</w:t>
            </w:r>
            <w:r>
              <w:rPr>
                <w:color w:val="000000" w:themeColor="text1"/>
                <w:sz w:val="24"/>
                <w:szCs w:val="24"/>
                <w14:textFill>
                  <w14:solidFill>
                    <w14:schemeClr w14:val="tx1"/>
                  </w14:solidFill>
                </w14:textFill>
              </w:rPr>
              <w:t>处理；</w:t>
            </w:r>
          </w:p>
          <w:p w14:paraId="00F295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default"/>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B.喷淋塔废水：</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本项目废气治理设施设置有</w:t>
            </w:r>
            <w:r>
              <w:rPr>
                <w:rFonts w:hint="eastAsia" w:cs="Times New Roman"/>
                <w:color w:val="000000" w:themeColor="text1"/>
                <w:sz w:val="24"/>
                <w:szCs w:val="24"/>
                <w:highlight w:val="none"/>
                <w:lang w:val="en-US" w:eastAsia="zh-CN"/>
                <w14:textFill>
                  <w14:solidFill>
                    <w14:schemeClr w14:val="tx1"/>
                  </w14:solidFill>
                </w14:textFill>
              </w:rPr>
              <w:t>1</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台</w:t>
            </w:r>
            <w:r>
              <w:rPr>
                <w:rFonts w:ascii="Times New Roman" w:hAnsi="Times New Roman" w:cs="Times New Roman"/>
                <w:color w:val="000000" w:themeColor="text1"/>
                <w:sz w:val="24"/>
                <w:szCs w:val="24"/>
                <w:highlight w:val="none"/>
                <w14:textFill>
                  <w14:solidFill>
                    <w14:schemeClr w14:val="tx1"/>
                  </w14:solidFill>
                </w14:textFill>
              </w:rPr>
              <w:t>喷淋塔</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color w:val="000000" w:themeColor="text1"/>
                <w:sz w:val="24"/>
                <w:szCs w:val="24"/>
                <w:highlight w:val="none"/>
                <w14:textFill>
                  <w14:solidFill>
                    <w14:schemeClr w14:val="tx1"/>
                  </w14:solidFill>
                </w14:textFill>
              </w:rPr>
              <w:t>喷淋塔循环水吸附漆雾后污染物浓度会增大，需定期更换，预计每周更换1次，一个月更换4次，每次更换量为循环水箱容积，约0.7t，则喷淋塔循环水更换量为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1台×</w:t>
            </w:r>
            <w:r>
              <w:rPr>
                <w:rFonts w:ascii="Times New Roman" w:hAnsi="Times New Roman" w:cs="Times New Roman"/>
                <w:color w:val="000000" w:themeColor="text1"/>
                <w:sz w:val="24"/>
                <w:szCs w:val="24"/>
                <w:highlight w:val="none"/>
                <w14:textFill>
                  <w14:solidFill>
                    <w14:schemeClr w14:val="tx1"/>
                  </w14:solidFill>
                </w14:textFill>
              </w:rPr>
              <w:t>0.7t×4</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8次/年</w:t>
            </w:r>
            <w:r>
              <w:rPr>
                <w:rFonts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33.6</w:t>
            </w:r>
            <w:r>
              <w:rPr>
                <w:color w:val="000000" w:themeColor="text1"/>
                <w:sz w:val="24"/>
                <w:szCs w:val="24"/>
                <w14:textFill>
                  <w14:solidFill>
                    <w14:schemeClr w14:val="tx1"/>
                  </w14:solidFill>
                </w14:textFill>
              </w:rPr>
              <w:t>m</w:t>
            </w:r>
            <w:r>
              <w:rPr>
                <w:color w:val="000000" w:themeColor="text1"/>
                <w:sz w:val="24"/>
                <w:szCs w:val="24"/>
                <w:vertAlign w:val="superscript"/>
                <w14:textFill>
                  <w14:solidFill>
                    <w14:schemeClr w14:val="tx1"/>
                  </w14:solidFill>
                </w14:textFill>
              </w:rPr>
              <w:t>3</w:t>
            </w:r>
            <w:r>
              <w:rPr>
                <w:color w:val="000000" w:themeColor="text1"/>
                <w:sz w:val="24"/>
                <w:szCs w:val="24"/>
                <w14:textFill>
                  <w14:solidFill>
                    <w14:schemeClr w14:val="tx1"/>
                  </w14:solidFill>
                </w14:textFill>
              </w:rPr>
              <w:t>/a</w:t>
            </w:r>
            <w:r>
              <w:rPr>
                <w:color w:val="000000" w:themeColor="text1"/>
                <w:sz w:val="24"/>
                <w:szCs w:val="24"/>
                <w:highlight w:val="none"/>
                <w14:textFill>
                  <w14:solidFill>
                    <w14:schemeClr w14:val="tx1"/>
                  </w14:solidFill>
                </w14:textFill>
              </w:rPr>
              <w:t>，更换的废水</w:t>
            </w:r>
            <w:r>
              <w:rPr>
                <w:rFonts w:hint="eastAsia"/>
                <w:color w:val="000000" w:themeColor="text1"/>
                <w:sz w:val="24"/>
                <w:szCs w:val="24"/>
                <w:lang w:val="en-US" w:eastAsia="zh-CN"/>
                <w14:textFill>
                  <w14:solidFill>
                    <w14:schemeClr w14:val="tx1"/>
                  </w14:solidFill>
                </w14:textFill>
              </w:rPr>
              <w:t>交由有危险废物处置资质单位</w:t>
            </w:r>
            <w:r>
              <w:rPr>
                <w:color w:val="000000" w:themeColor="text1"/>
                <w:sz w:val="24"/>
                <w:szCs w:val="24"/>
                <w:highlight w:val="none"/>
                <w14:textFill>
                  <w14:solidFill>
                    <w14:schemeClr w14:val="tx1"/>
                  </w14:solidFill>
                </w14:textFill>
              </w:rPr>
              <w:t>处理。</w:t>
            </w:r>
          </w:p>
          <w:p w14:paraId="2F7CD156">
            <w:pPr>
              <w:keepNext w:val="0"/>
              <w:keepLines w:val="0"/>
              <w:widowControl/>
              <w:suppressLineNumbers w:val="0"/>
              <w:spacing w:before="0" w:beforeAutospacing="0" w:after="0" w:afterAutospacing="0" w:line="360" w:lineRule="auto"/>
              <w:ind w:left="0" w:right="0" w:firstLine="482" w:firstLineChars="200"/>
              <w:jc w:val="left"/>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C.前处理废水：</w:t>
            </w:r>
            <w:r>
              <w:rPr>
                <w:rFonts w:hint="default" w:ascii="Times New Roman" w:hAnsi="Times New Roman" w:cs="Times New Roman"/>
                <w:color w:val="000000" w:themeColor="text1"/>
                <w:sz w:val="24"/>
                <w:szCs w:val="24"/>
                <w:highlight w:val="none"/>
                <w14:textFill>
                  <w14:solidFill>
                    <w14:schemeClr w14:val="tx1"/>
                  </w14:solidFill>
                </w14:textFill>
              </w:rPr>
              <w:t>本项目</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设置</w:t>
            </w:r>
            <w:r>
              <w:rPr>
                <w:rFonts w:hint="eastAsia"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14:textFill>
                  <w14:solidFill>
                    <w14:schemeClr w14:val="tx1"/>
                  </w14:solidFill>
                </w14:textFill>
              </w:rPr>
              <w:t>条前处理生产线，</w:t>
            </w:r>
            <w:r>
              <w:rPr>
                <w:rFonts w:hint="eastAsia" w:cs="Times New Roman"/>
                <w:color w:val="000000" w:themeColor="text1"/>
                <w:sz w:val="24"/>
                <w:szCs w:val="24"/>
                <w:highlight w:val="none"/>
                <w:lang w:val="en-US" w:eastAsia="zh-CN"/>
                <w14:textFill>
                  <w14:solidFill>
                    <w14:schemeClr w14:val="tx1"/>
                  </w14:solidFill>
                </w14:textFill>
              </w:rPr>
              <w:t>每条</w:t>
            </w:r>
            <w:r>
              <w:rPr>
                <w:rFonts w:hint="default" w:ascii="Times New Roman" w:hAnsi="Times New Roman" w:cs="Times New Roman"/>
                <w:color w:val="000000" w:themeColor="text1"/>
                <w:sz w:val="24"/>
                <w:szCs w:val="24"/>
                <w:highlight w:val="none"/>
                <w14:textFill>
                  <w14:solidFill>
                    <w14:schemeClr w14:val="tx1"/>
                  </w14:solidFill>
                </w14:textFill>
              </w:rPr>
              <w:t>生产线</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共</w:t>
            </w:r>
            <w:r>
              <w:rPr>
                <w:rFonts w:hint="default" w:ascii="Times New Roman" w:hAnsi="Times New Roman" w:cs="Times New Roman"/>
                <w:color w:val="000000" w:themeColor="text1"/>
                <w:sz w:val="24"/>
                <w:szCs w:val="24"/>
                <w:highlight w:val="none"/>
                <w14:textFill>
                  <w14:solidFill>
                    <w14:schemeClr w14:val="tx1"/>
                  </w14:solidFill>
                </w14:textFill>
              </w:rPr>
              <w:t>设置1个预脱脂池</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1个脱脂池</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cs="Times New Roman"/>
                <w:color w:val="000000" w:themeColor="text1"/>
                <w:sz w:val="24"/>
                <w:szCs w:val="24"/>
                <w:highlight w:val="none"/>
                <w14:textFill>
                  <w14:solidFill>
                    <w14:schemeClr w14:val="tx1"/>
                  </w14:solidFill>
                </w14:textFill>
              </w:rPr>
              <w:t>个水洗池</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以及</w:t>
            </w:r>
            <w:r>
              <w:rPr>
                <w:rFonts w:hint="default" w:ascii="Times New Roman" w:hAnsi="Times New Roman" w:cs="Times New Roman"/>
                <w:color w:val="000000" w:themeColor="text1"/>
                <w:sz w:val="24"/>
                <w:szCs w:val="24"/>
                <w:highlight w:val="none"/>
                <w14:textFill>
                  <w14:solidFill>
                    <w14:schemeClr w14:val="tx1"/>
                  </w14:solidFill>
                </w14:textFill>
              </w:rPr>
              <w:t>1个无铬钝化池。预脱脂池</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脱脂池、无铬钝化池、水洗池的溶液循环使用，</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前处理废水主要为</w:t>
            </w:r>
            <w:r>
              <w:rPr>
                <w:rFonts w:hint="default" w:ascii="Times New Roman" w:hAnsi="Times New Roman" w:cs="Times New Roman"/>
                <w:color w:val="000000" w:themeColor="text1"/>
                <w:sz w:val="24"/>
                <w:szCs w:val="24"/>
                <w:highlight w:val="none"/>
                <w14:textFill>
                  <w14:solidFill>
                    <w14:schemeClr w14:val="tx1"/>
                  </w14:solidFill>
                </w14:textFill>
              </w:rPr>
              <w:t>预脱脂池</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和</w:t>
            </w:r>
            <w:r>
              <w:rPr>
                <w:rFonts w:hint="default" w:ascii="Times New Roman" w:hAnsi="Times New Roman" w:cs="Times New Roman"/>
                <w:color w:val="000000" w:themeColor="text1"/>
                <w:sz w:val="24"/>
                <w:szCs w:val="24"/>
                <w:highlight w:val="none"/>
                <w14:textFill>
                  <w14:solidFill>
                    <w14:schemeClr w14:val="tx1"/>
                  </w14:solidFill>
                </w14:textFill>
              </w:rPr>
              <w:t>脱脂池</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整槽更换废水以及水洗池溢流排水。</w:t>
            </w:r>
          </w:p>
          <w:p w14:paraId="2A097EB4">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根据前文水平衡分析，</w:t>
            </w:r>
            <w:r>
              <w:rPr>
                <w:rFonts w:hint="default" w:ascii="Times New Roman" w:hAnsi="Times New Roman" w:cs="Times New Roman"/>
                <w:color w:val="000000" w:themeColor="text1"/>
                <w:sz w:val="24"/>
                <w:szCs w:val="24"/>
                <w:highlight w:val="none"/>
                <w14:textFill>
                  <w14:solidFill>
                    <w14:schemeClr w14:val="tx1"/>
                  </w14:solidFill>
                </w14:textFill>
              </w:rPr>
              <w:t>项目前处理废水产生情况详见下表。</w:t>
            </w:r>
          </w:p>
          <w:p w14:paraId="47D3E688">
            <w:pPr>
              <w:keepNext w:val="0"/>
              <w:keepLines w:val="0"/>
              <w:widowControl/>
              <w:numPr>
                <w:ilvl w:val="0"/>
                <w:numId w:val="0"/>
              </w:numPr>
              <w:suppressLineNumbers w:val="0"/>
              <w:tabs>
                <w:tab w:val="left" w:pos="0"/>
              </w:tabs>
              <w:spacing w:before="0" w:beforeAutospacing="0" w:after="0" w:afterAutospacing="0" w:line="240" w:lineRule="auto"/>
              <w:ind w:left="0" w:leftChars="0" w:right="0" w:rightChars="0" w:firstLine="40" w:firstLineChars="0"/>
              <w:jc w:val="cente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表4-2</w:t>
            </w:r>
            <w:r>
              <w:rPr>
                <w:rFonts w:hint="eastAsia" w:cs="Times New Roman"/>
                <w:b/>
                <w:bCs/>
                <w:color w:val="000000" w:themeColor="text1"/>
                <w:kern w:val="2"/>
                <w:sz w:val="21"/>
                <w:szCs w:val="21"/>
                <w:lang w:val="en-US" w:eastAsia="zh-CN" w:bidi="ar-SA"/>
                <w14:textFill>
                  <w14:solidFill>
                    <w14:schemeClr w14:val="tx1"/>
                  </w14:solidFill>
                </w14:textFill>
              </w:rPr>
              <w:t>1单条前处理线</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整槽更换废水和溢流废水</w:t>
            </w: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一览表 单位t/a</w:t>
            </w:r>
          </w:p>
          <w:tbl>
            <w:tblPr>
              <w:tblStyle w:val="4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1368"/>
              <w:gridCol w:w="1131"/>
              <w:gridCol w:w="2479"/>
              <w:gridCol w:w="2517"/>
            </w:tblGrid>
            <w:tr w14:paraId="2DB64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34" w:type="pct"/>
                  <w:noWrap w:val="0"/>
                  <w:vAlign w:val="center"/>
                </w:tcPr>
                <w:p w14:paraId="0592B01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bCs/>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名称</w:t>
                  </w:r>
                </w:p>
              </w:tc>
              <w:tc>
                <w:tcPr>
                  <w:tcW w:w="815" w:type="pct"/>
                  <w:noWrap w:val="0"/>
                  <w:vAlign w:val="center"/>
                </w:tcPr>
                <w:p w14:paraId="2D6F837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bCs/>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槽体名称</w:t>
                  </w:r>
                </w:p>
              </w:tc>
              <w:tc>
                <w:tcPr>
                  <w:tcW w:w="673" w:type="pct"/>
                  <w:noWrap w:val="0"/>
                  <w:vAlign w:val="center"/>
                </w:tcPr>
                <w:p w14:paraId="51A1F20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bCs/>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数量</w:t>
                  </w:r>
                  <w:r>
                    <w:rPr>
                      <w:rFonts w:hint="default" w:ascii="Times New Roman" w:hAnsi="Times New Roman" w:cs="Times New Roman"/>
                      <w:b/>
                      <w:bCs/>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个）</w:t>
                  </w:r>
                </w:p>
              </w:tc>
              <w:tc>
                <w:tcPr>
                  <w:tcW w:w="1477" w:type="pct"/>
                  <w:noWrap/>
                  <w:vAlign w:val="center"/>
                </w:tcPr>
                <w:p w14:paraId="46A6828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bCs/>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整槽更换废水量(t/a)</w:t>
                  </w:r>
                </w:p>
              </w:tc>
              <w:tc>
                <w:tcPr>
                  <w:tcW w:w="1499" w:type="pct"/>
                  <w:noWrap w:val="0"/>
                  <w:vAlign w:val="center"/>
                </w:tcPr>
                <w:p w14:paraId="4DD781A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bCs/>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溢流废水量(t/a)</w:t>
                  </w:r>
                </w:p>
              </w:tc>
            </w:tr>
            <w:tr w14:paraId="20C4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34" w:type="pct"/>
                  <w:vMerge w:val="restart"/>
                  <w:noWrap w:val="0"/>
                  <w:vAlign w:val="center"/>
                </w:tcPr>
                <w:p w14:paraId="64F33D3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工件表面预处理</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线</w:t>
                  </w:r>
                </w:p>
              </w:tc>
              <w:tc>
                <w:tcPr>
                  <w:tcW w:w="815" w:type="pct"/>
                  <w:noWrap w:val="0"/>
                  <w:vAlign w:val="center"/>
                </w:tcPr>
                <w:p w14:paraId="2ED8EC6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预水洗池</w:t>
                  </w:r>
                </w:p>
              </w:tc>
              <w:tc>
                <w:tcPr>
                  <w:tcW w:w="673" w:type="pct"/>
                  <w:noWrap w:val="0"/>
                  <w:vAlign w:val="center"/>
                </w:tcPr>
                <w:p w14:paraId="71D2250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477" w:type="pct"/>
                  <w:noWrap/>
                  <w:vAlign w:val="center"/>
                </w:tcPr>
                <w:p w14:paraId="095AE01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38.4</w:t>
                  </w:r>
                </w:p>
              </w:tc>
              <w:tc>
                <w:tcPr>
                  <w:tcW w:w="2583" w:type="dxa"/>
                  <w:noWrap w:val="0"/>
                  <w:vAlign w:val="center"/>
                </w:tcPr>
                <w:p w14:paraId="0CF2E75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1561.68</w:t>
                  </w:r>
                </w:p>
              </w:tc>
            </w:tr>
            <w:tr w14:paraId="3FEFE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34" w:type="pct"/>
                  <w:vMerge w:val="continue"/>
                  <w:noWrap w:val="0"/>
                  <w:vAlign w:val="center"/>
                </w:tcPr>
                <w:p w14:paraId="46C0299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815" w:type="pct"/>
                  <w:noWrap w:val="0"/>
                  <w:vAlign w:val="center"/>
                </w:tcPr>
                <w:p w14:paraId="5B4C5D2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预脱脂池</w:t>
                  </w:r>
                </w:p>
              </w:tc>
              <w:tc>
                <w:tcPr>
                  <w:tcW w:w="673" w:type="pct"/>
                  <w:noWrap w:val="0"/>
                  <w:vAlign w:val="center"/>
                </w:tcPr>
                <w:p w14:paraId="2A36D37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477" w:type="pct"/>
                  <w:noWrap/>
                  <w:vAlign w:val="center"/>
                </w:tcPr>
                <w:p w14:paraId="73F3AB7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44.8</w:t>
                  </w:r>
                </w:p>
              </w:tc>
              <w:tc>
                <w:tcPr>
                  <w:tcW w:w="2583" w:type="dxa"/>
                  <w:noWrap w:val="0"/>
                  <w:vAlign w:val="center"/>
                </w:tcPr>
                <w:p w14:paraId="6C8D9D4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5E9D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34" w:type="pct"/>
                  <w:vMerge w:val="continue"/>
                  <w:noWrap w:val="0"/>
                  <w:vAlign w:val="center"/>
                </w:tcPr>
                <w:p w14:paraId="51CA6A2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815" w:type="pct"/>
                  <w:noWrap w:val="0"/>
                  <w:vAlign w:val="center"/>
                </w:tcPr>
                <w:p w14:paraId="1855FC6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脱脂池</w:t>
                  </w:r>
                </w:p>
              </w:tc>
              <w:tc>
                <w:tcPr>
                  <w:tcW w:w="673" w:type="pct"/>
                  <w:noWrap w:val="0"/>
                  <w:vAlign w:val="center"/>
                </w:tcPr>
                <w:p w14:paraId="48D7881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477" w:type="pct"/>
                  <w:noWrap/>
                  <w:vAlign w:val="center"/>
                </w:tcPr>
                <w:p w14:paraId="1B1F508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44.8</w:t>
                  </w:r>
                </w:p>
              </w:tc>
              <w:tc>
                <w:tcPr>
                  <w:tcW w:w="2583" w:type="dxa"/>
                  <w:noWrap w:val="0"/>
                  <w:vAlign w:val="center"/>
                </w:tcPr>
                <w:p w14:paraId="5B107CD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432B9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34" w:type="pct"/>
                  <w:vMerge w:val="continue"/>
                  <w:noWrap w:val="0"/>
                  <w:vAlign w:val="center"/>
                </w:tcPr>
                <w:p w14:paraId="6FDFDE1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815" w:type="pct"/>
                  <w:noWrap w:val="0"/>
                  <w:vAlign w:val="center"/>
                </w:tcPr>
                <w:p w14:paraId="49D1FD6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1#水洗池</w:t>
                  </w:r>
                </w:p>
              </w:tc>
              <w:tc>
                <w:tcPr>
                  <w:tcW w:w="673" w:type="pct"/>
                  <w:noWrap w:val="0"/>
                  <w:vAlign w:val="center"/>
                </w:tcPr>
                <w:p w14:paraId="2C57903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477" w:type="pct"/>
                  <w:noWrap/>
                  <w:vAlign w:val="center"/>
                </w:tcPr>
                <w:p w14:paraId="0A6DD3E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67.2</w:t>
                  </w:r>
                </w:p>
              </w:tc>
              <w:tc>
                <w:tcPr>
                  <w:tcW w:w="2583" w:type="dxa"/>
                  <w:noWrap w:val="0"/>
                  <w:vAlign w:val="center"/>
                </w:tcPr>
                <w:p w14:paraId="39044E3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1561.68</w:t>
                  </w:r>
                </w:p>
              </w:tc>
            </w:tr>
            <w:tr w14:paraId="64BD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4" w:type="pct"/>
                  <w:vMerge w:val="continue"/>
                  <w:noWrap w:val="0"/>
                  <w:vAlign w:val="center"/>
                </w:tcPr>
                <w:p w14:paraId="6C60733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815" w:type="pct"/>
                  <w:noWrap w:val="0"/>
                  <w:vAlign w:val="center"/>
                </w:tcPr>
                <w:p w14:paraId="358F70F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2#水洗池</w:t>
                  </w:r>
                </w:p>
              </w:tc>
              <w:tc>
                <w:tcPr>
                  <w:tcW w:w="673" w:type="pct"/>
                  <w:noWrap w:val="0"/>
                  <w:vAlign w:val="center"/>
                </w:tcPr>
                <w:p w14:paraId="0C3C5BF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477" w:type="pct"/>
                  <w:noWrap/>
                  <w:vAlign w:val="center"/>
                </w:tcPr>
                <w:p w14:paraId="79928DC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67.2</w:t>
                  </w:r>
                </w:p>
              </w:tc>
              <w:tc>
                <w:tcPr>
                  <w:tcW w:w="2583" w:type="dxa"/>
                  <w:noWrap w:val="0"/>
                  <w:vAlign w:val="center"/>
                </w:tcPr>
                <w:p w14:paraId="12A4081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r>
            <w:tr w14:paraId="4794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34" w:type="pct"/>
                  <w:vMerge w:val="continue"/>
                  <w:noWrap w:val="0"/>
                  <w:vAlign w:val="center"/>
                </w:tcPr>
                <w:p w14:paraId="40DD8E8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815" w:type="pct"/>
                  <w:noWrap w:val="0"/>
                  <w:vAlign w:val="center"/>
                </w:tcPr>
                <w:p w14:paraId="404F925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清水洗池</w:t>
                  </w:r>
                </w:p>
              </w:tc>
              <w:tc>
                <w:tcPr>
                  <w:tcW w:w="673" w:type="pct"/>
                  <w:noWrap w:val="0"/>
                  <w:vAlign w:val="center"/>
                </w:tcPr>
                <w:p w14:paraId="061A381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477" w:type="pct"/>
                  <w:noWrap/>
                  <w:vAlign w:val="center"/>
                </w:tcPr>
                <w:p w14:paraId="4891150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19.2</w:t>
                  </w:r>
                </w:p>
              </w:tc>
              <w:tc>
                <w:tcPr>
                  <w:tcW w:w="2583" w:type="dxa"/>
                  <w:noWrap w:val="0"/>
                  <w:vAlign w:val="center"/>
                </w:tcPr>
                <w:p w14:paraId="6907C33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r>
            <w:tr w14:paraId="5E53F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34" w:type="pct"/>
                  <w:vMerge w:val="continue"/>
                  <w:noWrap w:val="0"/>
                  <w:vAlign w:val="center"/>
                </w:tcPr>
                <w:p w14:paraId="652A26F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815" w:type="pct"/>
                  <w:noWrap w:val="0"/>
                  <w:vAlign w:val="center"/>
                </w:tcPr>
                <w:p w14:paraId="215B8B8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无铬钝化池</w:t>
                  </w:r>
                </w:p>
              </w:tc>
              <w:tc>
                <w:tcPr>
                  <w:tcW w:w="673" w:type="pct"/>
                  <w:noWrap w:val="0"/>
                  <w:vAlign w:val="center"/>
                </w:tcPr>
                <w:p w14:paraId="7C80881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477" w:type="pct"/>
                  <w:noWrap/>
                  <w:vAlign w:val="center"/>
                </w:tcPr>
                <w:p w14:paraId="192459D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22.4</w:t>
                  </w:r>
                </w:p>
              </w:tc>
              <w:tc>
                <w:tcPr>
                  <w:tcW w:w="2583" w:type="dxa"/>
                  <w:noWrap w:val="0"/>
                  <w:vAlign w:val="center"/>
                </w:tcPr>
                <w:p w14:paraId="7E89C61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239BC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34" w:type="pct"/>
                  <w:vMerge w:val="continue"/>
                  <w:noWrap w:val="0"/>
                  <w:vAlign w:val="center"/>
                </w:tcPr>
                <w:p w14:paraId="4D159D6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815" w:type="pct"/>
                  <w:noWrap w:val="0"/>
                  <w:vAlign w:val="center"/>
                </w:tcPr>
                <w:p w14:paraId="506E2F3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3#水洗池</w:t>
                  </w:r>
                </w:p>
              </w:tc>
              <w:tc>
                <w:tcPr>
                  <w:tcW w:w="673" w:type="pct"/>
                  <w:noWrap w:val="0"/>
                  <w:vAlign w:val="center"/>
                </w:tcPr>
                <w:p w14:paraId="2EA72AA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477" w:type="pct"/>
                  <w:noWrap/>
                  <w:vAlign w:val="center"/>
                </w:tcPr>
                <w:p w14:paraId="2C80718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38.4</w:t>
                  </w:r>
                </w:p>
              </w:tc>
              <w:tc>
                <w:tcPr>
                  <w:tcW w:w="2583" w:type="dxa"/>
                  <w:noWrap w:val="0"/>
                  <w:vAlign w:val="center"/>
                </w:tcPr>
                <w:p w14:paraId="1EA18E7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1561.68</w:t>
                  </w:r>
                </w:p>
              </w:tc>
            </w:tr>
            <w:tr w14:paraId="0D7DF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23" w:type="pct"/>
                  <w:gridSpan w:val="3"/>
                  <w:noWrap w:val="0"/>
                  <w:vAlign w:val="center"/>
                </w:tcPr>
                <w:p w14:paraId="0C042ED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77" w:type="pct"/>
                  <w:noWrap/>
                  <w:vAlign w:val="center"/>
                </w:tcPr>
                <w:p w14:paraId="7990D30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320*</w:t>
                  </w:r>
                </w:p>
              </w:tc>
              <w:tc>
                <w:tcPr>
                  <w:tcW w:w="2583" w:type="dxa"/>
                  <w:noWrap w:val="0"/>
                  <w:vAlign w:val="center"/>
                </w:tcPr>
                <w:p w14:paraId="00861FA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4685.04</w:t>
                  </w:r>
                </w:p>
              </w:tc>
            </w:tr>
            <w:tr w14:paraId="0890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00" w:type="pct"/>
                  <w:gridSpan w:val="5"/>
                  <w:noWrap w:val="0"/>
                  <w:vAlign w:val="center"/>
                </w:tcPr>
                <w:p w14:paraId="5556C12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备注：①整槽更换槽液=槽液量×更换频率（槽液更换不考虑损耗）；</w:t>
                  </w:r>
                </w:p>
                <w:p w14:paraId="7F6E591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②溢流废水产生量=溢流用水×排污系数，排污系数按0.9计算；</w:t>
                  </w:r>
                </w:p>
                <w:p w14:paraId="5D432E1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③无铬钝化工序产生的废槽液按危废处置，故整池更换产生的废水量=342.4-22.4=320m</w:t>
                  </w:r>
                  <w:r>
                    <w:rPr>
                      <w:rFonts w:hint="default" w:ascii="Times New Roman" w:hAnsi="Times New Roman" w:eastAsia="宋体"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/a。</w:t>
                  </w:r>
                </w:p>
              </w:tc>
            </w:tr>
          </w:tbl>
          <w:p w14:paraId="61C448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100" w:lineRule="exact"/>
              <w:ind w:left="0" w:right="0" w:firstLine="480" w:firstLineChars="20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4E9476D2">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根据表4-14的计算，本项目前处理用水和废水产生情况如下所示。</w:t>
            </w:r>
          </w:p>
          <w:p w14:paraId="2ED99319">
            <w:pPr>
              <w:keepNext w:val="0"/>
              <w:keepLines w:val="0"/>
              <w:widowControl/>
              <w:numPr>
                <w:ilvl w:val="0"/>
                <w:numId w:val="0"/>
              </w:numPr>
              <w:suppressLineNumbers w:val="0"/>
              <w:tabs>
                <w:tab w:val="left" w:pos="0"/>
              </w:tabs>
              <w:spacing w:before="0" w:beforeAutospacing="0" w:after="0" w:afterAutospacing="0" w:line="240" w:lineRule="auto"/>
              <w:ind w:left="0" w:leftChars="0" w:right="0" w:rightChars="0" w:firstLine="40" w:firstLineChars="0"/>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表4-2</w:t>
            </w:r>
            <w:r>
              <w:rPr>
                <w:rFonts w:hint="eastAsia" w:cs="Times New Roman"/>
                <w:b/>
                <w:bCs/>
                <w:color w:val="000000" w:themeColor="text1"/>
                <w:kern w:val="2"/>
                <w:sz w:val="21"/>
                <w:szCs w:val="21"/>
                <w:lang w:val="en-US" w:eastAsia="zh-CN" w:bidi="ar-SA"/>
                <w14:textFill>
                  <w14:solidFill>
                    <w14:schemeClr w14:val="tx1"/>
                  </w14:solidFill>
                </w14:textFill>
              </w:rPr>
              <w:t xml:space="preserve">2 </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前处理用水和废水产生一览表 单位：m</w:t>
            </w:r>
            <w:r>
              <w:rPr>
                <w:rFonts w:hint="default" w:ascii="Times New Roman" w:hAnsi="Times New Roman" w:cs="Times New Roman"/>
                <w:b/>
                <w:bCs/>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/a</w:t>
            </w:r>
          </w:p>
          <w:tbl>
            <w:tblPr>
              <w:tblStyle w:val="4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71"/>
              <w:gridCol w:w="5333"/>
            </w:tblGrid>
            <w:tr w14:paraId="1FDBB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827" w:type="pct"/>
                  <w:tcBorders>
                    <w:top w:val="single" w:color="000000" w:sz="4" w:space="0"/>
                    <w:left w:val="single" w:color="000000" w:sz="4" w:space="0"/>
                    <w:bottom w:val="single" w:color="000000" w:sz="4" w:space="0"/>
                    <w:right w:val="single" w:color="000000" w:sz="4" w:space="0"/>
                  </w:tcBorders>
                  <w:noWrap w:val="0"/>
                  <w:vAlign w:val="center"/>
                </w:tcPr>
                <w:p w14:paraId="72BA1E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项目</w:t>
                  </w:r>
                </w:p>
              </w:tc>
              <w:tc>
                <w:tcPr>
                  <w:tcW w:w="3172" w:type="pct"/>
                  <w:tcBorders>
                    <w:top w:val="single" w:color="000000" w:sz="4" w:space="0"/>
                    <w:left w:val="single" w:color="000000" w:sz="4" w:space="0"/>
                    <w:bottom w:val="single" w:color="000000" w:sz="4" w:space="0"/>
                    <w:right w:val="single" w:color="000000" w:sz="4" w:space="0"/>
                  </w:tcBorders>
                  <w:noWrap w:val="0"/>
                  <w:vAlign w:val="center"/>
                </w:tcPr>
                <w:p w14:paraId="6082A3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废水</w:t>
                  </w:r>
                </w:p>
              </w:tc>
            </w:tr>
            <w:tr w14:paraId="2F241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827" w:type="pct"/>
                  <w:tcBorders>
                    <w:top w:val="single" w:color="000000" w:sz="4" w:space="0"/>
                    <w:left w:val="single" w:color="000000" w:sz="4" w:space="0"/>
                    <w:bottom w:val="single" w:color="000000" w:sz="4" w:space="0"/>
                    <w:right w:val="single" w:color="000000" w:sz="4" w:space="0"/>
                  </w:tcBorders>
                  <w:noWrap w:val="0"/>
                  <w:vAlign w:val="center"/>
                </w:tcPr>
                <w:p w14:paraId="2FCBE5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整池更换</w:t>
                  </w: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废水</w:t>
                  </w:r>
                </w:p>
              </w:tc>
              <w:tc>
                <w:tcPr>
                  <w:tcW w:w="3172" w:type="pct"/>
                  <w:tcBorders>
                    <w:top w:val="single" w:color="000000" w:sz="4" w:space="0"/>
                    <w:left w:val="single" w:color="000000" w:sz="4" w:space="0"/>
                    <w:bottom w:val="single" w:color="000000" w:sz="4" w:space="0"/>
                    <w:right w:val="single" w:color="000000" w:sz="4" w:space="0"/>
                  </w:tcBorders>
                  <w:noWrap w:val="0"/>
                  <w:vAlign w:val="center"/>
                </w:tcPr>
                <w:p w14:paraId="4CC8BE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320</w:t>
                  </w:r>
                </w:p>
              </w:tc>
            </w:tr>
            <w:tr w14:paraId="36E44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827" w:type="pct"/>
                  <w:tcBorders>
                    <w:top w:val="single" w:color="000000" w:sz="4" w:space="0"/>
                    <w:left w:val="single" w:color="000000" w:sz="4" w:space="0"/>
                    <w:bottom w:val="single" w:color="000000" w:sz="4" w:space="0"/>
                    <w:right w:val="single" w:color="000000" w:sz="4" w:space="0"/>
                  </w:tcBorders>
                  <w:noWrap w:val="0"/>
                  <w:vAlign w:val="center"/>
                </w:tcPr>
                <w:p w14:paraId="0ABF52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溢流</w:t>
                  </w: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废水</w:t>
                  </w:r>
                </w:p>
              </w:tc>
              <w:tc>
                <w:tcPr>
                  <w:tcW w:w="3172" w:type="pct"/>
                  <w:tcBorders>
                    <w:top w:val="single" w:color="000000" w:sz="4" w:space="0"/>
                    <w:left w:val="single" w:color="000000" w:sz="4" w:space="0"/>
                    <w:bottom w:val="single" w:color="000000" w:sz="4" w:space="0"/>
                    <w:right w:val="single" w:color="000000" w:sz="4" w:space="0"/>
                  </w:tcBorders>
                  <w:noWrap w:val="0"/>
                  <w:vAlign w:val="center"/>
                </w:tcPr>
                <w:p w14:paraId="503CD3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4685.04</w:t>
                  </w:r>
                </w:p>
              </w:tc>
            </w:tr>
            <w:tr w14:paraId="3E3EA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827" w:type="pct"/>
                  <w:tcBorders>
                    <w:top w:val="single" w:color="000000" w:sz="4" w:space="0"/>
                    <w:left w:val="single" w:color="000000" w:sz="4" w:space="0"/>
                    <w:bottom w:val="single" w:color="000000" w:sz="4" w:space="0"/>
                    <w:right w:val="single" w:color="000000" w:sz="4" w:space="0"/>
                  </w:tcBorders>
                  <w:noWrap w:val="0"/>
                  <w:vAlign w:val="center"/>
                </w:tcPr>
                <w:p w14:paraId="126CB0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单条前处理线</w:t>
                  </w: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合计</w:t>
                  </w:r>
                </w:p>
              </w:tc>
              <w:tc>
                <w:tcPr>
                  <w:tcW w:w="3172" w:type="pct"/>
                  <w:tcBorders>
                    <w:top w:val="single" w:color="000000" w:sz="4" w:space="0"/>
                    <w:left w:val="single" w:color="000000" w:sz="4" w:space="0"/>
                    <w:bottom w:val="single" w:color="000000" w:sz="4" w:space="0"/>
                    <w:right w:val="single" w:color="000000" w:sz="4" w:space="0"/>
                  </w:tcBorders>
                  <w:noWrap w:val="0"/>
                  <w:vAlign w:val="center"/>
                </w:tcPr>
                <w:p w14:paraId="0AD6AC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5005.04</w:t>
                  </w:r>
                </w:p>
              </w:tc>
            </w:tr>
            <w:tr w14:paraId="7DF4F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827" w:type="pct"/>
                  <w:tcBorders>
                    <w:top w:val="single" w:color="000000" w:sz="4" w:space="0"/>
                    <w:left w:val="single" w:color="000000" w:sz="4" w:space="0"/>
                    <w:bottom w:val="single" w:color="000000" w:sz="4" w:space="0"/>
                    <w:right w:val="single" w:color="000000" w:sz="4" w:space="0"/>
                  </w:tcBorders>
                  <w:noWrap w:val="0"/>
                  <w:vAlign w:val="center"/>
                </w:tcPr>
                <w:p w14:paraId="21191C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合计</w:t>
                  </w:r>
                </w:p>
              </w:tc>
              <w:tc>
                <w:tcPr>
                  <w:tcW w:w="3172" w:type="pct"/>
                  <w:tcBorders>
                    <w:top w:val="single" w:color="000000" w:sz="4" w:space="0"/>
                    <w:left w:val="single" w:color="000000" w:sz="4" w:space="0"/>
                    <w:bottom w:val="single" w:color="000000" w:sz="4" w:space="0"/>
                    <w:right w:val="single" w:color="000000" w:sz="4" w:space="0"/>
                  </w:tcBorders>
                  <w:noWrap w:val="0"/>
                  <w:vAlign w:val="center"/>
                </w:tcPr>
                <w:p w14:paraId="662A70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10010.08（2条生产线）</w:t>
                  </w:r>
                </w:p>
              </w:tc>
            </w:tr>
          </w:tbl>
          <w:p w14:paraId="204FC8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100" w:lineRule="exact"/>
              <w:ind w:left="0" w:right="0" w:firstLine="480" w:firstLineChars="20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55D04BA8">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综上，项目</w:t>
            </w:r>
            <w:r>
              <w:rPr>
                <w:rFonts w:hint="eastAsia" w:cs="Times New Roman"/>
                <w:color w:val="000000" w:themeColor="text1"/>
                <w:sz w:val="24"/>
                <w:szCs w:val="24"/>
                <w:highlight w:val="none"/>
                <w:lang w:val="en-US" w:eastAsia="zh-CN"/>
                <w14:textFill>
                  <w14:solidFill>
                    <w14:schemeClr w14:val="tx1"/>
                  </w14:solidFill>
                </w14:textFill>
              </w:rPr>
              <w:t>2条</w:t>
            </w:r>
            <w:r>
              <w:rPr>
                <w:rFonts w:hint="default" w:ascii="Times New Roman" w:hAnsi="Times New Roman" w:cs="Times New Roman"/>
                <w:color w:val="000000" w:themeColor="text1"/>
                <w:sz w:val="24"/>
                <w:szCs w:val="24"/>
                <w:highlight w:val="none"/>
                <w14:textFill>
                  <w14:solidFill>
                    <w14:schemeClr w14:val="tx1"/>
                  </w14:solidFill>
                </w14:textFill>
              </w:rPr>
              <w:t>前处理生产线共产生废水</w:t>
            </w:r>
            <w:r>
              <w:rPr>
                <w:rFonts w:hint="eastAsia" w:cs="Times New Roman"/>
                <w:i w:val="0"/>
                <w:iCs w:val="0"/>
                <w:color w:val="000000" w:themeColor="text1"/>
                <w:kern w:val="0"/>
                <w:sz w:val="24"/>
                <w:szCs w:val="24"/>
                <w:highlight w:val="none"/>
                <w:u w:val="none"/>
                <w:lang w:val="en-US" w:eastAsia="zh-CN" w:bidi="ar"/>
                <w14:textFill>
                  <w14:solidFill>
                    <w14:schemeClr w14:val="tx1"/>
                  </w14:solidFill>
                </w14:textFill>
              </w:rPr>
              <w:t>10010.08</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/a。</w:t>
            </w:r>
          </w:p>
          <w:p w14:paraId="7029A281">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（3）前处理废水源强核算</w:t>
            </w:r>
          </w:p>
          <w:p w14:paraId="1FEAB8FE">
            <w:pPr>
              <w:keepNext w:val="0"/>
              <w:keepLines w:val="0"/>
              <w:suppressLineNumbers w:val="0"/>
              <w:spacing w:before="0" w:beforeAutospacing="0" w:after="0" w:afterAutospacing="0" w:line="360" w:lineRule="auto"/>
              <w:ind w:left="0" w:right="0" w:firstLine="480" w:firstLineChars="200"/>
              <w:rPr>
                <w:rFonts w:hint="default"/>
                <w:color w:val="000000" w:themeColor="text1"/>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本项目</w:t>
            </w:r>
            <w:r>
              <w:rPr>
                <w:rFonts w:hint="default" w:ascii="Times New Roman" w:hAnsi="Times New Roman" w:cs="Times New Roman"/>
                <w:color w:val="000000" w:themeColor="text1"/>
                <w:sz w:val="24"/>
                <w:szCs w:val="24"/>
                <w:highlight w:val="none"/>
                <w14:textFill>
                  <w14:solidFill>
                    <w14:schemeClr w14:val="tx1"/>
                  </w14:solidFill>
                </w14:textFill>
              </w:rPr>
              <w:t>主要污染物为pH、COD</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Cr</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BOD</w:t>
            </w:r>
            <w:r>
              <w:rPr>
                <w:rFonts w:hint="default" w:ascii="Times New Roman" w:hAnsi="Times New Roman" w:cs="Times New Roman"/>
                <w:color w:val="000000" w:themeColor="text1"/>
                <w:sz w:val="24"/>
                <w:szCs w:val="24"/>
                <w:highlight w:val="none"/>
                <w:vertAlign w:val="subscript"/>
                <w:lang w:val="en-US" w:eastAsia="zh-CN"/>
                <w14:textFill>
                  <w14:solidFill>
                    <w14:schemeClr w14:val="tx1"/>
                  </w14:solidFill>
                </w14:textFill>
              </w:rPr>
              <w:t>5</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SS、</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NH</w:t>
            </w:r>
            <w:r>
              <w:rPr>
                <w:rFonts w:hint="default" w:ascii="Times New Roman" w:hAnsi="Times New Roman" w:cs="Times New Roman"/>
                <w:color w:val="000000" w:themeColor="text1"/>
                <w:sz w:val="24"/>
                <w:szCs w:val="24"/>
                <w:highlight w:val="none"/>
                <w:vertAlign w:val="sub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-N、</w:t>
            </w:r>
            <w:r>
              <w:rPr>
                <w:rFonts w:hint="default" w:ascii="Times New Roman" w:hAnsi="Times New Roman" w:cs="Times New Roman"/>
                <w:color w:val="000000" w:themeColor="text1"/>
                <w:sz w:val="24"/>
                <w:szCs w:val="24"/>
                <w:highlight w:val="none"/>
                <w14:textFill>
                  <w14:solidFill>
                    <w14:schemeClr w14:val="tx1"/>
                  </w14:solidFill>
                </w14:textFill>
              </w:rPr>
              <w:t>氟化物</w:t>
            </w:r>
            <w:r>
              <w:rPr>
                <w:rFonts w:hint="eastAsia"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TP、TN、</w:t>
            </w:r>
            <w:r>
              <w:rPr>
                <w:rFonts w:hint="default" w:ascii="Times New Roman" w:hAnsi="Times New Roman" w:cs="Times New Roman"/>
                <w:color w:val="000000" w:themeColor="text1"/>
                <w:sz w:val="24"/>
                <w:szCs w:val="24"/>
                <w:highlight w:val="none"/>
                <w14:textFill>
                  <w14:solidFill>
                    <w14:schemeClr w14:val="tx1"/>
                  </w14:solidFill>
                </w14:textFill>
              </w:rPr>
              <w:t>LAS</w:t>
            </w:r>
            <w:r>
              <w:rPr>
                <w:rFonts w:hint="eastAsia"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总铝</w:t>
            </w:r>
            <w:r>
              <w:rPr>
                <w:rFonts w:hint="default" w:ascii="Times New Roman" w:hAnsi="Times New Roman" w:cs="Times New Roman"/>
                <w:color w:val="000000" w:themeColor="text1"/>
                <w:sz w:val="24"/>
                <w:szCs w:val="24"/>
                <w:highlight w:val="none"/>
                <w14:textFill>
                  <w14:solidFill>
                    <w14:schemeClr w14:val="tx1"/>
                  </w14:solidFill>
                </w14:textFill>
              </w:rPr>
              <w:t>和石油类</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p>
          <w:p w14:paraId="05B08D88">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本项目生产废水各污染物产生浓度类比项目《佛山市亿鑫创金属科技有限责任公司铝型材制造项目（一期）验收检测报告》（报告编号：弗雷德检字(2025)第 0425B19 号）</w:t>
            </w:r>
            <w:r>
              <w:rPr>
                <w:rFonts w:hint="eastAsia" w:cs="Times New Roman"/>
                <w:color w:val="000000" w:themeColor="text1"/>
                <w:sz w:val="24"/>
                <w:szCs w:val="24"/>
                <w:highlight w:val="none"/>
                <w:lang w:val="en-US" w:eastAsia="zh-CN"/>
                <w14:textFill>
                  <w14:solidFill>
                    <w14:schemeClr w14:val="tx1"/>
                  </w14:solidFill>
                </w14:textFill>
              </w:rPr>
              <w:t>和《佛山市现泰铝业有限公司建设项目》（批复文号佛环南审[2026]25号）</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，佛山市亿鑫创金属科技有限责任公司</w:t>
            </w:r>
            <w:r>
              <w:rPr>
                <w:rFonts w:hint="eastAsia" w:cs="Times New Roman"/>
                <w:color w:val="000000" w:themeColor="text1"/>
                <w:sz w:val="24"/>
                <w:szCs w:val="24"/>
                <w:highlight w:val="none"/>
                <w:lang w:val="en-US" w:eastAsia="zh-CN"/>
                <w14:textFill>
                  <w14:solidFill>
                    <w14:schemeClr w14:val="tx1"/>
                  </w14:solidFill>
                </w14:textFill>
              </w:rPr>
              <w:t>、佛山市现泰铝业有限公司建设项目</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其生产工艺与本项目基本一致，废水产生及处理工艺类似，因此具有可类比性，类比结果详见下表。</w:t>
            </w:r>
          </w:p>
          <w:p w14:paraId="76EDE699">
            <w:pPr>
              <w:keepNext w:val="0"/>
              <w:keepLines w:val="0"/>
              <w:widowControl/>
              <w:numPr>
                <w:ilvl w:val="0"/>
                <w:numId w:val="0"/>
              </w:numPr>
              <w:suppressLineNumbers w:val="0"/>
              <w:tabs>
                <w:tab w:val="left" w:pos="0"/>
              </w:tabs>
              <w:spacing w:before="0" w:beforeAutospacing="0" w:after="0" w:afterAutospacing="0"/>
              <w:ind w:left="0" w:leftChars="0" w:right="0" w:rightChars="0" w:firstLine="40" w:firstLineChars="0"/>
              <w:jc w:val="cente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t>表4-2</w:t>
            </w:r>
            <w:r>
              <w:rPr>
                <w:rFonts w:hint="eastAsia" w:cs="Times New Roman"/>
                <w:b/>
                <w:bCs/>
                <w:color w:val="000000" w:themeColor="text1"/>
                <w:kern w:val="0"/>
                <w:sz w:val="21"/>
                <w:szCs w:val="21"/>
                <w:lang w:val="en-US" w:eastAsia="zh-CN" w:bidi="ar"/>
                <w14:textFill>
                  <w14:solidFill>
                    <w14:schemeClr w14:val="tx1"/>
                  </w14:solidFill>
                </w14:textFill>
              </w:rPr>
              <w:t>3</w:t>
            </w:r>
            <w:r>
              <w:rPr>
                <w:rFonts w:hint="default" w:ascii="Times New Roman" w:hAnsi="Times New Roman" w:cs="Times New Roman"/>
                <w:b/>
                <w:bCs/>
                <w:color w:val="000000" w:themeColor="text1"/>
                <w:kern w:val="0"/>
                <w:sz w:val="21"/>
                <w:szCs w:val="21"/>
                <w:highlight w:val="none"/>
                <w:lang w:val="en-US" w:eastAsia="zh-CN" w:bidi="ar"/>
                <w14:textFill>
                  <w14:solidFill>
                    <w14:schemeClr w14:val="tx1"/>
                  </w14:solidFill>
                </w14:textFill>
              </w:rPr>
              <w:t>前处理</w:t>
            </w: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废水水质类比可行性</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569"/>
              <w:gridCol w:w="2475"/>
              <w:gridCol w:w="2245"/>
              <w:gridCol w:w="2480"/>
              <w:gridCol w:w="844"/>
            </w:tblGrid>
            <w:tr w14:paraId="6C4E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569" w:type="dxa"/>
                  <w:shd w:val="clear" w:color="auto" w:fill="auto"/>
                  <w:tcMar>
                    <w:top w:w="0" w:type="dxa"/>
                    <w:left w:w="0" w:type="dxa"/>
                    <w:bottom w:w="0" w:type="dxa"/>
                    <w:right w:w="0" w:type="dxa"/>
                  </w:tcMar>
                  <w:vAlign w:val="center"/>
                </w:tcPr>
                <w:p w14:paraId="4DA29621">
                  <w:pPr>
                    <w:keepNext w:val="0"/>
                    <w:keepLines w:val="0"/>
                    <w:widowControl/>
                    <w:suppressLineNumbers w:val="0"/>
                    <w:spacing w:line="240" w:lineRule="auto"/>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t>项目</w:t>
                  </w:r>
                </w:p>
              </w:tc>
              <w:tc>
                <w:tcPr>
                  <w:tcW w:w="2475" w:type="dxa"/>
                  <w:shd w:val="clear" w:color="auto" w:fill="auto"/>
                  <w:tcMar>
                    <w:top w:w="0" w:type="dxa"/>
                    <w:left w:w="0" w:type="dxa"/>
                    <w:bottom w:w="0" w:type="dxa"/>
                    <w:right w:w="0" w:type="dxa"/>
                  </w:tcMar>
                  <w:vAlign w:val="center"/>
                </w:tcPr>
                <w:p w14:paraId="1ED8904A">
                  <w:pPr>
                    <w:keepNext w:val="0"/>
                    <w:keepLines w:val="0"/>
                    <w:widowControl/>
                    <w:suppressLineNumbers w:val="0"/>
                    <w:spacing w:line="240" w:lineRule="auto"/>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t>本项目</w:t>
                  </w:r>
                </w:p>
              </w:tc>
              <w:tc>
                <w:tcPr>
                  <w:tcW w:w="2245" w:type="dxa"/>
                  <w:shd w:val="clear" w:color="auto" w:fill="auto"/>
                  <w:tcMar>
                    <w:top w:w="0" w:type="dxa"/>
                    <w:left w:w="0" w:type="dxa"/>
                    <w:bottom w:w="0" w:type="dxa"/>
                    <w:right w:w="0" w:type="dxa"/>
                  </w:tcMar>
                  <w:vAlign w:val="center"/>
                </w:tcPr>
                <w:p w14:paraId="4DE11AC0">
                  <w:pPr>
                    <w:keepNext w:val="0"/>
                    <w:keepLines w:val="0"/>
                    <w:widowControl/>
                    <w:suppressLineNumbers w:val="0"/>
                    <w:spacing w:line="240" w:lineRule="auto"/>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t>佛山市亿鑫创金属科技有限责任公司铝型材制造项目（一期）</w:t>
                  </w:r>
                </w:p>
              </w:tc>
              <w:tc>
                <w:tcPr>
                  <w:tcW w:w="2480" w:type="dxa"/>
                  <w:shd w:val="clear" w:color="auto" w:fill="auto"/>
                  <w:tcMar>
                    <w:top w:w="0" w:type="dxa"/>
                    <w:left w:w="0" w:type="dxa"/>
                    <w:bottom w:w="0" w:type="dxa"/>
                    <w:right w:w="0" w:type="dxa"/>
                  </w:tcMar>
                  <w:vAlign w:val="center"/>
                </w:tcPr>
                <w:p w14:paraId="60DFA92E">
                  <w:pPr>
                    <w:keepNext w:val="0"/>
                    <w:keepLines w:val="0"/>
                    <w:widowControl/>
                    <w:suppressLineNumbers w:val="0"/>
                    <w:spacing w:line="240" w:lineRule="auto"/>
                    <w:jc w:val="cente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佛山市现泰铝业有限公司建设项目</w:t>
                  </w:r>
                </w:p>
              </w:tc>
              <w:tc>
                <w:tcPr>
                  <w:tcW w:w="844" w:type="dxa"/>
                  <w:shd w:val="clear" w:color="auto" w:fill="auto"/>
                  <w:tcMar>
                    <w:top w:w="0" w:type="dxa"/>
                    <w:left w:w="0" w:type="dxa"/>
                    <w:bottom w:w="0" w:type="dxa"/>
                    <w:right w:w="0" w:type="dxa"/>
                  </w:tcMar>
                  <w:vAlign w:val="center"/>
                </w:tcPr>
                <w:p w14:paraId="5AE33BAC">
                  <w:pPr>
                    <w:keepNext w:val="0"/>
                    <w:keepLines w:val="0"/>
                    <w:widowControl/>
                    <w:suppressLineNumbers w:val="0"/>
                    <w:spacing w:line="240" w:lineRule="auto"/>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t>对比情况</w:t>
                  </w:r>
                </w:p>
              </w:tc>
            </w:tr>
            <w:tr w14:paraId="546CD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69" w:type="dxa"/>
                  <w:shd w:val="clear" w:color="auto" w:fill="auto"/>
                  <w:tcMar>
                    <w:top w:w="0" w:type="dxa"/>
                    <w:left w:w="0" w:type="dxa"/>
                    <w:bottom w:w="0" w:type="dxa"/>
                    <w:right w:w="0" w:type="dxa"/>
                  </w:tcMar>
                  <w:vAlign w:val="center"/>
                </w:tcPr>
                <w:p w14:paraId="2EDB8252">
                  <w:pPr>
                    <w:keepNext w:val="0"/>
                    <w:keepLines w:val="0"/>
                    <w:widowControl/>
                    <w:suppressLineNumbers w:val="0"/>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产品</w:t>
                  </w:r>
                </w:p>
              </w:tc>
              <w:tc>
                <w:tcPr>
                  <w:tcW w:w="2475" w:type="dxa"/>
                  <w:shd w:val="clear" w:color="auto" w:fill="auto"/>
                  <w:tcMar>
                    <w:top w:w="0" w:type="dxa"/>
                    <w:left w:w="0" w:type="dxa"/>
                    <w:bottom w:w="0" w:type="dxa"/>
                    <w:right w:w="0" w:type="dxa"/>
                  </w:tcMar>
                  <w:vAlign w:val="center"/>
                </w:tcPr>
                <w:p w14:paraId="6A9C4EF8">
                  <w:pPr>
                    <w:keepNext w:val="0"/>
                    <w:keepLines w:val="0"/>
                    <w:widowControl/>
                    <w:suppressLineNumbers w:val="0"/>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铝型材</w:t>
                  </w:r>
                </w:p>
              </w:tc>
              <w:tc>
                <w:tcPr>
                  <w:tcW w:w="2245" w:type="dxa"/>
                  <w:shd w:val="clear" w:color="auto" w:fill="auto"/>
                  <w:tcMar>
                    <w:top w:w="0" w:type="dxa"/>
                    <w:left w:w="0" w:type="dxa"/>
                    <w:bottom w:w="0" w:type="dxa"/>
                    <w:right w:w="0" w:type="dxa"/>
                  </w:tcMar>
                  <w:vAlign w:val="center"/>
                </w:tcPr>
                <w:p w14:paraId="7C83E3C8">
                  <w:pPr>
                    <w:keepNext w:val="0"/>
                    <w:keepLines w:val="0"/>
                    <w:widowControl/>
                    <w:suppressLineNumbers w:val="0"/>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铝型材</w:t>
                  </w:r>
                </w:p>
              </w:tc>
              <w:tc>
                <w:tcPr>
                  <w:tcW w:w="2480" w:type="dxa"/>
                  <w:shd w:val="clear" w:color="auto" w:fill="auto"/>
                  <w:tcMar>
                    <w:top w:w="0" w:type="dxa"/>
                    <w:left w:w="0" w:type="dxa"/>
                    <w:bottom w:w="0" w:type="dxa"/>
                    <w:right w:w="0" w:type="dxa"/>
                  </w:tcMar>
                  <w:vAlign w:val="center"/>
                </w:tcPr>
                <w:p w14:paraId="66773F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铝制品</w:t>
                  </w:r>
                </w:p>
              </w:tc>
              <w:tc>
                <w:tcPr>
                  <w:tcW w:w="844" w:type="dxa"/>
                  <w:shd w:val="clear" w:color="auto" w:fill="auto"/>
                  <w:tcMar>
                    <w:top w:w="0" w:type="dxa"/>
                    <w:left w:w="0" w:type="dxa"/>
                    <w:bottom w:w="0" w:type="dxa"/>
                    <w:right w:w="0" w:type="dxa"/>
                  </w:tcMar>
                  <w:vAlign w:val="center"/>
                </w:tcPr>
                <w:p w14:paraId="5FAB06E4">
                  <w:pPr>
                    <w:keepNext w:val="0"/>
                    <w:keepLines w:val="0"/>
                    <w:widowControl/>
                    <w:suppressLineNumbers w:val="0"/>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均为金属类的产品</w:t>
                  </w:r>
                </w:p>
              </w:tc>
            </w:tr>
            <w:tr w14:paraId="49EB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69" w:type="dxa"/>
                  <w:shd w:val="clear" w:color="auto" w:fill="auto"/>
                  <w:tcMar>
                    <w:top w:w="0" w:type="dxa"/>
                    <w:left w:w="0" w:type="dxa"/>
                    <w:bottom w:w="0" w:type="dxa"/>
                    <w:right w:w="0" w:type="dxa"/>
                  </w:tcMar>
                  <w:vAlign w:val="center"/>
                </w:tcPr>
                <w:p w14:paraId="08D5C265">
                  <w:pPr>
                    <w:keepNext w:val="0"/>
                    <w:keepLines w:val="0"/>
                    <w:widowControl/>
                    <w:suppressLineNumbers w:val="0"/>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表面处理工艺</w:t>
                  </w:r>
                </w:p>
              </w:tc>
              <w:tc>
                <w:tcPr>
                  <w:tcW w:w="2475" w:type="dxa"/>
                  <w:shd w:val="clear" w:color="auto" w:fill="auto"/>
                  <w:tcMar>
                    <w:top w:w="0" w:type="dxa"/>
                    <w:left w:w="0" w:type="dxa"/>
                    <w:bottom w:w="0" w:type="dxa"/>
                    <w:right w:w="0" w:type="dxa"/>
                  </w:tcMar>
                  <w:vAlign w:val="center"/>
                </w:tcPr>
                <w:p w14:paraId="7728781B">
                  <w:pPr>
                    <w:keepNext w:val="0"/>
                    <w:keepLines w:val="0"/>
                    <w:widowControl/>
                    <w:suppressLineNumbers w:val="0"/>
                    <w:spacing w:line="240" w:lineRule="auto"/>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清水→脱脂除油→清水→脱脂除油→清水→无铬钝化→清水</w:t>
                  </w:r>
                </w:p>
              </w:tc>
              <w:tc>
                <w:tcPr>
                  <w:tcW w:w="2245" w:type="dxa"/>
                  <w:shd w:val="clear" w:color="auto" w:fill="auto"/>
                  <w:tcMar>
                    <w:top w:w="0" w:type="dxa"/>
                    <w:left w:w="0" w:type="dxa"/>
                    <w:bottom w:w="0" w:type="dxa"/>
                    <w:right w:w="0" w:type="dxa"/>
                  </w:tcMar>
                  <w:vAlign w:val="center"/>
                </w:tcPr>
                <w:p w14:paraId="5BAE5051">
                  <w:pPr>
                    <w:keepNext w:val="0"/>
                    <w:keepLines w:val="0"/>
                    <w:widowControl/>
                    <w:suppressLineNumbers w:val="0"/>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铝→除油→除油→水洗→水洗→皮膜→水洗</w:t>
                  </w:r>
                </w:p>
              </w:tc>
              <w:tc>
                <w:tcPr>
                  <w:tcW w:w="2480" w:type="dxa"/>
                  <w:shd w:val="clear" w:color="auto" w:fill="auto"/>
                  <w:tcMar>
                    <w:top w:w="0" w:type="dxa"/>
                    <w:left w:w="0" w:type="dxa"/>
                    <w:bottom w:w="0" w:type="dxa"/>
                    <w:right w:w="0" w:type="dxa"/>
                  </w:tcMar>
                  <w:vAlign w:val="center"/>
                </w:tcPr>
                <w:p w14:paraId="5EAC57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预脱脂</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脱脂</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无铬钝化</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烘干</w:t>
                  </w:r>
                </w:p>
              </w:tc>
              <w:tc>
                <w:tcPr>
                  <w:tcW w:w="844" w:type="dxa"/>
                  <w:shd w:val="clear" w:color="auto" w:fill="auto"/>
                  <w:tcMar>
                    <w:top w:w="0" w:type="dxa"/>
                    <w:left w:w="0" w:type="dxa"/>
                    <w:bottom w:w="0" w:type="dxa"/>
                    <w:right w:w="0" w:type="dxa"/>
                  </w:tcMar>
                  <w:vAlign w:val="center"/>
                </w:tcPr>
                <w:p w14:paraId="042B45B7">
                  <w:pPr>
                    <w:keepNext w:val="0"/>
                    <w:keepLines w:val="0"/>
                    <w:widowControl/>
                    <w:suppressLineNumbers w:val="0"/>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相似</w:t>
                  </w:r>
                </w:p>
              </w:tc>
            </w:tr>
            <w:tr w14:paraId="4E3A0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569" w:type="dxa"/>
                  <w:shd w:val="clear" w:color="auto" w:fill="auto"/>
                  <w:tcMar>
                    <w:top w:w="0" w:type="dxa"/>
                    <w:left w:w="0" w:type="dxa"/>
                    <w:bottom w:w="0" w:type="dxa"/>
                    <w:right w:w="0" w:type="dxa"/>
                  </w:tcMar>
                  <w:vAlign w:val="center"/>
                </w:tcPr>
                <w:p w14:paraId="1E347663">
                  <w:pPr>
                    <w:keepNext w:val="0"/>
                    <w:keepLines w:val="0"/>
                    <w:widowControl/>
                    <w:suppressLineNumbers w:val="0"/>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原辅材料</w:t>
                  </w:r>
                </w:p>
              </w:tc>
              <w:tc>
                <w:tcPr>
                  <w:tcW w:w="2475" w:type="dxa"/>
                  <w:shd w:val="clear" w:color="auto" w:fill="auto"/>
                  <w:tcMar>
                    <w:top w:w="0" w:type="dxa"/>
                    <w:left w:w="0" w:type="dxa"/>
                    <w:bottom w:w="0" w:type="dxa"/>
                    <w:right w:w="0" w:type="dxa"/>
                  </w:tcMar>
                  <w:vAlign w:val="center"/>
                </w:tcPr>
                <w:p w14:paraId="20D4F42E">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酸性除油剂：</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磷酸5%</w:t>
                  </w:r>
                  <w:r>
                    <w:rPr>
                      <w:rFonts w:hint="default" w:ascii="Times New Roman" w:hAnsi="Times New Roman" w:eastAsia="宋体" w:cs="Times New Roman"/>
                      <w:color w:val="000000" w:themeColor="text1"/>
                      <w:kern w:val="2"/>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醋酸</w:t>
                  </w: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除油分子</w:t>
                  </w: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10%、</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抗氧化剂10%</w:t>
                  </w:r>
                  <w:r>
                    <w:rPr>
                      <w:rFonts w:hint="default" w:ascii="Times New Roman" w:hAnsi="Times New Roman" w:eastAsia="宋体" w:cs="Times New Roman"/>
                      <w:color w:val="000000" w:themeColor="text1"/>
                      <w:kern w:val="2"/>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柠檬酸</w:t>
                  </w: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活性剂</w:t>
                  </w: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10%、</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氢氟酸</w:t>
                  </w: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1%其他（水）</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55%</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br w:type="textWrapping"/>
                  </w: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无铬钝化剂：</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氟锆酸5~10%</w:t>
                  </w:r>
                </w:p>
                <w:p w14:paraId="4843BC14">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氟钛酸5~10%</w:t>
                  </w:r>
                </w:p>
                <w:p w14:paraId="4DBF07A7">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环氧改性丙烯酸树脂15~20%</w:t>
                  </w:r>
                  <w:r>
                    <w:rPr>
                      <w:rFonts w:hint="eastAsia" w:ascii="Times New Roman" w:hAnsi="Times New Roman" w:eastAsia="宋体" w:cs="Times New Roman"/>
                      <w:color w:val="000000" w:themeColor="text1"/>
                      <w:kern w:val="2"/>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一水合柠檬酸45~55%</w:t>
                  </w:r>
                </w:p>
              </w:tc>
              <w:tc>
                <w:tcPr>
                  <w:tcW w:w="2245" w:type="dxa"/>
                  <w:shd w:val="clear" w:color="auto" w:fill="auto"/>
                  <w:tcMar>
                    <w:top w:w="0" w:type="dxa"/>
                    <w:left w:w="0" w:type="dxa"/>
                    <w:bottom w:w="0" w:type="dxa"/>
                    <w:right w:w="0" w:type="dxa"/>
                  </w:tcMar>
                  <w:vAlign w:val="center"/>
                </w:tcPr>
                <w:p w14:paraId="754ED12C">
                  <w:pPr>
                    <w:keepNext w:val="0"/>
                    <w:keepLines w:val="0"/>
                    <w:widowControl/>
                    <w:suppressLineNumbers w:val="0"/>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除油剂：硫酸 1%~20%、表面活性剂 1%~20%，剩余部分为水无铬铝皮膜剂：锆酸盐 1~20%、柠檬酸盐 1~15%、聚丙烯树脂 5~15%，剩余成分为纯水</w:t>
                  </w:r>
                </w:p>
              </w:tc>
              <w:tc>
                <w:tcPr>
                  <w:tcW w:w="2480" w:type="dxa"/>
                  <w:shd w:val="clear" w:color="auto" w:fill="auto"/>
                  <w:tcMar>
                    <w:top w:w="0" w:type="dxa"/>
                    <w:left w:w="0" w:type="dxa"/>
                    <w:bottom w:w="0" w:type="dxa"/>
                    <w:right w:w="0" w:type="dxa"/>
                  </w:tcMar>
                  <w:vAlign w:val="center"/>
                </w:tcPr>
                <w:p w14:paraId="48BF15E1">
                  <w:pPr>
                    <w:keepNext w:val="0"/>
                    <w:keepLines w:val="0"/>
                    <w:widowControl/>
                    <w:suppressLineNumbers w:val="0"/>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除油剂：碳酸盐、脂肪醇聚氧乙烯醚、添加剂（盐酸）等；无铬钝化剂：氟锆酸铵、柠檬酸（有机酸）、EDTA 钠（络合剂）；氟锆酸、氟钛酸、环氧改性丙烯酸树脂、一水合柠檬酸等</w:t>
                  </w:r>
                </w:p>
              </w:tc>
              <w:tc>
                <w:tcPr>
                  <w:tcW w:w="844" w:type="dxa"/>
                  <w:shd w:val="clear" w:color="auto" w:fill="auto"/>
                  <w:tcMar>
                    <w:top w:w="0" w:type="dxa"/>
                    <w:left w:w="0" w:type="dxa"/>
                    <w:bottom w:w="0" w:type="dxa"/>
                    <w:right w:w="0" w:type="dxa"/>
                  </w:tcMar>
                  <w:vAlign w:val="center"/>
                </w:tcPr>
                <w:p w14:paraId="7328B111">
                  <w:pPr>
                    <w:keepNext w:val="0"/>
                    <w:keepLines w:val="0"/>
                    <w:widowControl/>
                    <w:suppressLineNumbers w:val="0"/>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相似</w:t>
                  </w:r>
                </w:p>
              </w:tc>
            </w:tr>
            <w:tr w14:paraId="77F5F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69" w:type="dxa"/>
                  <w:shd w:val="clear" w:color="auto" w:fill="auto"/>
                  <w:tcMar>
                    <w:top w:w="0" w:type="dxa"/>
                    <w:left w:w="0" w:type="dxa"/>
                    <w:bottom w:w="0" w:type="dxa"/>
                    <w:right w:w="0" w:type="dxa"/>
                  </w:tcMar>
                  <w:vAlign w:val="center"/>
                </w:tcPr>
                <w:p w14:paraId="3068B6FD">
                  <w:pPr>
                    <w:keepNext w:val="0"/>
                    <w:keepLines w:val="0"/>
                    <w:widowControl/>
                    <w:suppressLineNumbers w:val="0"/>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废水情况</w:t>
                  </w:r>
                </w:p>
              </w:tc>
              <w:tc>
                <w:tcPr>
                  <w:tcW w:w="2475" w:type="dxa"/>
                  <w:shd w:val="clear" w:color="auto" w:fill="auto"/>
                  <w:tcMar>
                    <w:top w:w="0" w:type="dxa"/>
                    <w:left w:w="0" w:type="dxa"/>
                    <w:bottom w:w="0" w:type="dxa"/>
                    <w:right w:w="0" w:type="dxa"/>
                  </w:tcMar>
                  <w:vAlign w:val="center"/>
                </w:tcPr>
                <w:p w14:paraId="07B09105">
                  <w:pPr>
                    <w:keepNext w:val="0"/>
                    <w:keepLines w:val="0"/>
                    <w:widowControl/>
                    <w:suppressLineNumbers w:val="0"/>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清洗废水</w:t>
                  </w:r>
                </w:p>
              </w:tc>
              <w:tc>
                <w:tcPr>
                  <w:tcW w:w="2245" w:type="dxa"/>
                  <w:shd w:val="clear" w:color="auto" w:fill="auto"/>
                  <w:tcMar>
                    <w:top w:w="0" w:type="dxa"/>
                    <w:left w:w="0" w:type="dxa"/>
                    <w:bottom w:w="0" w:type="dxa"/>
                    <w:right w:w="0" w:type="dxa"/>
                  </w:tcMar>
                  <w:vAlign w:val="center"/>
                </w:tcPr>
                <w:p w14:paraId="3345D1C2">
                  <w:pPr>
                    <w:keepNext w:val="0"/>
                    <w:keepLines w:val="0"/>
                    <w:widowControl/>
                    <w:suppressLineNumbers w:val="0"/>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喷淋废水、水帘柜废水、清洗废水</w:t>
                  </w:r>
                </w:p>
              </w:tc>
              <w:tc>
                <w:tcPr>
                  <w:tcW w:w="2480" w:type="dxa"/>
                  <w:shd w:val="clear" w:color="auto" w:fill="auto"/>
                  <w:tcMar>
                    <w:top w:w="0" w:type="dxa"/>
                    <w:left w:w="0" w:type="dxa"/>
                    <w:bottom w:w="0" w:type="dxa"/>
                    <w:right w:w="0" w:type="dxa"/>
                  </w:tcMar>
                  <w:vAlign w:val="center"/>
                </w:tcPr>
                <w:p w14:paraId="2101B55F">
                  <w:pPr>
                    <w:keepNext w:val="0"/>
                    <w:keepLines w:val="0"/>
                    <w:widowControl/>
                    <w:suppressLineNumbers w:val="0"/>
                    <w:spacing w:line="240" w:lineRule="auto"/>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清洗废水</w:t>
                  </w:r>
                </w:p>
              </w:tc>
              <w:tc>
                <w:tcPr>
                  <w:tcW w:w="844" w:type="dxa"/>
                  <w:shd w:val="clear" w:color="auto" w:fill="auto"/>
                  <w:tcMar>
                    <w:top w:w="0" w:type="dxa"/>
                    <w:left w:w="0" w:type="dxa"/>
                    <w:bottom w:w="0" w:type="dxa"/>
                    <w:right w:w="0" w:type="dxa"/>
                  </w:tcMar>
                  <w:vAlign w:val="center"/>
                </w:tcPr>
                <w:p w14:paraId="4C36C4F3">
                  <w:pPr>
                    <w:keepNext w:val="0"/>
                    <w:keepLines w:val="0"/>
                    <w:widowControl/>
                    <w:suppressLineNumbers w:val="0"/>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相似</w:t>
                  </w:r>
                </w:p>
              </w:tc>
            </w:tr>
          </w:tbl>
          <w:p w14:paraId="67153E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100" w:lineRule="exact"/>
              <w:ind w:left="0" w:right="0" w:firstLine="480" w:firstLineChars="20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01C089B0">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《佛山市现泰铝业有限公司建设项目》（批复文号佛环南审[2026]25号）、</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《佛山市亿鑫创金属科技有限责任公司铝型材制造项目（一期）验收检测报告》（报告编号：弗雷德检字(2025)第 0425B19 号）</w:t>
            </w:r>
            <w:r>
              <w:rPr>
                <w:rFonts w:hint="eastAsia" w:cs="Times New Roman"/>
                <w:color w:val="000000" w:themeColor="text1"/>
                <w:sz w:val="24"/>
                <w:szCs w:val="24"/>
                <w:highlight w:val="none"/>
                <w:lang w:val="en-US" w:eastAsia="zh-CN"/>
                <w14:textFill>
                  <w14:solidFill>
                    <w14:schemeClr w14:val="tx1"/>
                  </w14:solidFill>
                </w14:textFill>
              </w:rPr>
              <w:t>等</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类比项目前处理废水</w:t>
            </w:r>
            <w:r>
              <w:rPr>
                <w:rFonts w:hint="eastAsia" w:cs="Times New Roman"/>
                <w:color w:val="000000" w:themeColor="text1"/>
                <w:sz w:val="24"/>
                <w:szCs w:val="24"/>
                <w:highlight w:val="none"/>
                <w:lang w:val="en-US" w:eastAsia="zh-CN"/>
                <w14:textFill>
                  <w14:solidFill>
                    <w14:schemeClr w14:val="tx1"/>
                  </w14:solidFill>
                </w14:textFill>
              </w:rPr>
              <w:t>源强水质</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数据如下表。</w:t>
            </w:r>
          </w:p>
          <w:p w14:paraId="6A394224">
            <w:pPr>
              <w:keepNext w:val="0"/>
              <w:keepLines w:val="0"/>
              <w:numPr>
                <w:ilvl w:val="0"/>
                <w:numId w:val="0"/>
              </w:numPr>
              <w:suppressLineNumbers w:val="0"/>
              <w:tabs>
                <w:tab w:val="left" w:pos="0"/>
              </w:tabs>
              <w:spacing w:before="0" w:beforeAutospacing="0" w:after="0" w:afterAutospacing="0"/>
              <w:ind w:left="0" w:leftChars="0" w:right="0" w:rightChars="0" w:firstLine="40" w:firstLineChars="0"/>
              <w:jc w:val="cente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表4-2</w:t>
            </w:r>
            <w:r>
              <w:rPr>
                <w:rFonts w:hint="eastAsia" w:cs="Times New Roman"/>
                <w:b/>
                <w:bCs/>
                <w:color w:val="000000" w:themeColor="text1"/>
                <w:kern w:val="2"/>
                <w:sz w:val="21"/>
                <w:szCs w:val="21"/>
                <w:lang w:val="en-US" w:eastAsia="zh-CN" w:bidi="ar-SA"/>
                <w14:textFill>
                  <w14:solidFill>
                    <w14:schemeClr w14:val="tx1"/>
                  </w14:solidFill>
                </w14:textFill>
              </w:rPr>
              <w:t xml:space="preserve">4 </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类比项目前处理废水</w:t>
            </w:r>
            <w:r>
              <w:rPr>
                <w:rFonts w:hint="eastAsia" w:cs="Times New Roman"/>
                <w:b/>
                <w:bCs/>
                <w:color w:val="000000" w:themeColor="text1"/>
                <w:sz w:val="21"/>
                <w:szCs w:val="21"/>
                <w:highlight w:val="none"/>
                <w:lang w:val="en-US" w:eastAsia="zh-CN"/>
                <w14:textFill>
                  <w14:solidFill>
                    <w14:schemeClr w14:val="tx1"/>
                  </w14:solidFill>
                </w14:textFill>
              </w:rPr>
              <w:t>源强水质数据</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（单位：mg/L）</w:t>
            </w:r>
          </w:p>
          <w:tbl>
            <w:tblPr>
              <w:tblStyle w:val="44"/>
              <w:tblW w:w="8617"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95"/>
              <w:gridCol w:w="1781"/>
              <w:gridCol w:w="1674"/>
              <w:gridCol w:w="1674"/>
              <w:gridCol w:w="1280"/>
            </w:tblGrid>
            <w:tr w14:paraId="2B647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5" w:hRule="atLeast"/>
              </w:trPr>
              <w:tc>
                <w:tcPr>
                  <w:tcW w:w="20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2F3E2">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污染物</w:t>
                  </w:r>
                </w:p>
              </w:tc>
              <w:tc>
                <w:tcPr>
                  <w:tcW w:w="1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86B51">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佛山市亿鑫创金属科技有限责任公司</w:t>
                  </w:r>
                </w:p>
              </w:tc>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99416">
                  <w:pPr>
                    <w:keepNext w:val="0"/>
                    <w:keepLines w:val="0"/>
                    <w:widowControl/>
                    <w:suppressLineNumbers w:val="0"/>
                    <w:jc w:val="left"/>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佛山市现泰铝业有限公司建设项目</w:t>
                  </w:r>
                </w:p>
              </w:tc>
              <w:tc>
                <w:tcPr>
                  <w:tcW w:w="17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106AA">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本项目取值</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87D3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单位</w:t>
                  </w:r>
                </w:p>
              </w:tc>
            </w:tr>
            <w:tr w14:paraId="55DC2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20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709D0">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1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3FDF9">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污染物浓度范围</w:t>
                  </w:r>
                </w:p>
              </w:tc>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23359">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污染物浓度值</w:t>
                  </w:r>
                </w:p>
              </w:tc>
              <w:tc>
                <w:tcPr>
                  <w:tcW w:w="17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B8AAF">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FF8E0">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r>
            <w:tr w14:paraId="3199C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2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407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pH值</w:t>
                  </w:r>
                </w:p>
              </w:tc>
              <w:tc>
                <w:tcPr>
                  <w:tcW w:w="1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1F35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10.9~11.0</w:t>
                  </w:r>
                </w:p>
              </w:tc>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71B4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5~7</w:t>
                  </w:r>
                </w:p>
              </w:tc>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E5BA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5~7</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C08C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无量纲</w:t>
                  </w:r>
                </w:p>
              </w:tc>
            </w:tr>
            <w:tr w14:paraId="29C16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2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9E61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化学需氧量</w:t>
                  </w:r>
                </w:p>
              </w:tc>
              <w:tc>
                <w:tcPr>
                  <w:tcW w:w="1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20D0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307~339</w:t>
                  </w:r>
                </w:p>
              </w:tc>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A8CA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372</w:t>
                  </w:r>
                </w:p>
              </w:tc>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7C22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372</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CB8C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mg/L</w:t>
                  </w:r>
                </w:p>
              </w:tc>
            </w:tr>
            <w:tr w14:paraId="663FA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2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D24B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五日生化需氧量</w:t>
                  </w:r>
                </w:p>
              </w:tc>
              <w:tc>
                <w:tcPr>
                  <w:tcW w:w="1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64AE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117~129</w:t>
                  </w:r>
                </w:p>
              </w:tc>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49C9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123</w:t>
                  </w:r>
                </w:p>
              </w:tc>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9E65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129</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BCE6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mg/L</w:t>
                  </w:r>
                </w:p>
              </w:tc>
            </w:tr>
            <w:tr w14:paraId="25B5D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2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1688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悬浮物</w:t>
                  </w:r>
                </w:p>
              </w:tc>
              <w:tc>
                <w:tcPr>
                  <w:tcW w:w="1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140C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39~49</w:t>
                  </w:r>
                </w:p>
              </w:tc>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E4D4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67</w:t>
                  </w:r>
                </w:p>
              </w:tc>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FC70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67</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F42F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mg/L</w:t>
                  </w:r>
                </w:p>
              </w:tc>
            </w:tr>
            <w:tr w14:paraId="54F57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2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5CFA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氨氮</w:t>
                  </w:r>
                </w:p>
              </w:tc>
              <w:tc>
                <w:tcPr>
                  <w:tcW w:w="1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EF24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3.51~3.95</w:t>
                  </w:r>
                </w:p>
              </w:tc>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033F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15.4</w:t>
                  </w:r>
                </w:p>
              </w:tc>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AE94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15.4</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AB1F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mg/L</w:t>
                  </w:r>
                </w:p>
              </w:tc>
            </w:tr>
            <w:tr w14:paraId="3A7E0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2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D8BE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氟化物</w:t>
                  </w:r>
                </w:p>
              </w:tc>
              <w:tc>
                <w:tcPr>
                  <w:tcW w:w="1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4B39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101~109</w:t>
                  </w:r>
                </w:p>
              </w:tc>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E695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65C6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109</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902C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mg/L</w:t>
                  </w:r>
                </w:p>
              </w:tc>
            </w:tr>
            <w:tr w14:paraId="2D900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2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28CC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总磷</w:t>
                  </w:r>
                </w:p>
              </w:tc>
              <w:tc>
                <w:tcPr>
                  <w:tcW w:w="1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F210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0.46~0.58</w:t>
                  </w:r>
                </w:p>
              </w:tc>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271E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0.85</w:t>
                  </w:r>
                </w:p>
              </w:tc>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79DC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0.85</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2669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mg/L</w:t>
                  </w:r>
                </w:p>
              </w:tc>
            </w:tr>
            <w:tr w14:paraId="34E7A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2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C0A4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总氮</w:t>
                  </w:r>
                </w:p>
              </w:tc>
              <w:tc>
                <w:tcPr>
                  <w:tcW w:w="1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FAEB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11.6~14.2</w:t>
                  </w:r>
                </w:p>
              </w:tc>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F458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46.2</w:t>
                  </w:r>
                </w:p>
              </w:tc>
              <w:tc>
                <w:tcPr>
                  <w:tcW w:w="1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C0F4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46.2</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E37D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mg/L</w:t>
                  </w:r>
                </w:p>
              </w:tc>
            </w:tr>
            <w:tr w14:paraId="27A45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2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5B58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阴离子表面活性剂</w:t>
                  </w:r>
                </w:p>
              </w:tc>
              <w:tc>
                <w:tcPr>
                  <w:tcW w:w="1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CB5E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0.119~0.161</w:t>
                  </w:r>
                </w:p>
              </w:tc>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A40B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1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5544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6E36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mg/L</w:t>
                  </w:r>
                </w:p>
              </w:tc>
            </w:tr>
            <w:tr w14:paraId="1EFF0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2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745D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总铝</w:t>
                  </w:r>
                </w:p>
              </w:tc>
              <w:tc>
                <w:tcPr>
                  <w:tcW w:w="1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449F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37.8~42.6</w:t>
                  </w:r>
                </w:p>
              </w:tc>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3362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0.85</w:t>
                  </w:r>
                </w:p>
              </w:tc>
              <w:tc>
                <w:tcPr>
                  <w:tcW w:w="1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F181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42.6</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B2BA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mg/L</w:t>
                  </w:r>
                </w:p>
              </w:tc>
            </w:tr>
            <w:tr w14:paraId="628FA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2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E180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石油类</w:t>
                  </w:r>
                </w:p>
              </w:tc>
              <w:tc>
                <w:tcPr>
                  <w:tcW w:w="1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B6D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1.11~1.41</w:t>
                  </w:r>
                </w:p>
              </w:tc>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93EC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32.1</w:t>
                  </w:r>
                </w:p>
              </w:tc>
              <w:tc>
                <w:tcPr>
                  <w:tcW w:w="1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89F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32.1</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19DC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mg/L</w:t>
                  </w:r>
                </w:p>
              </w:tc>
            </w:tr>
          </w:tbl>
          <w:p w14:paraId="72C8D3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100" w:lineRule="exact"/>
              <w:ind w:left="0" w:right="0" w:firstLine="480" w:firstLineChars="20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337CE214">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结合本项目生产情况，</w:t>
            </w:r>
            <w:r>
              <w:rPr>
                <w:rFonts w:hint="default" w:ascii="Times New Roman" w:hAnsi="Times New Roman" w:cs="Times New Roman"/>
                <w:color w:val="000000" w:themeColor="text1"/>
                <w:sz w:val="24"/>
                <w:highlight w:val="none"/>
                <w:lang w:val="en-US" w:eastAsia="zh-CN"/>
                <w14:textFill>
                  <w14:solidFill>
                    <w14:schemeClr w14:val="tx1"/>
                  </w14:solidFill>
                </w14:textFill>
              </w:rPr>
              <w:t>前处理废水</w:t>
            </w:r>
            <w:r>
              <w:rPr>
                <w:rFonts w:hint="eastAsia" w:cs="Times New Roman"/>
                <w:color w:val="000000" w:themeColor="text1"/>
                <w:sz w:val="24"/>
                <w:highlight w:val="none"/>
                <w:lang w:val="en-US" w:eastAsia="zh-CN"/>
                <w14:textFill>
                  <w14:solidFill>
                    <w14:schemeClr w14:val="tx1"/>
                  </w14:solidFill>
                </w14:textFill>
              </w:rPr>
              <w:t>送入自建污水处理站处理，废水</w:t>
            </w:r>
            <w:r>
              <w:rPr>
                <w:rFonts w:hint="default" w:ascii="Times New Roman" w:hAnsi="Times New Roman" w:cs="Times New Roman"/>
                <w:color w:val="000000" w:themeColor="text1"/>
                <w:sz w:val="24"/>
                <w:highlight w:val="none"/>
                <w14:textFill>
                  <w14:solidFill>
                    <w14:schemeClr w14:val="tx1"/>
                  </w14:solidFill>
                </w14:textFill>
              </w:rPr>
              <w:t>产排情况详见下表。</w:t>
            </w:r>
          </w:p>
          <w:p w14:paraId="358C82F2">
            <w:pPr>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snapToGrid/>
              <w:spacing w:before="0" w:beforeAutospacing="0" w:after="0" w:afterAutospacing="0"/>
              <w:ind w:left="0" w:leftChars="0" w:right="0" w:rightChars="0" w:firstLine="40" w:firstLineChars="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bookmarkStart w:id="26" w:name="OLE_LINK1"/>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表4-2</w:t>
            </w:r>
            <w:r>
              <w:rPr>
                <w:rFonts w:hint="eastAsia" w:cs="Times New Roman"/>
                <w:b/>
                <w:bCs/>
                <w:color w:val="000000" w:themeColor="text1"/>
                <w:kern w:val="2"/>
                <w:sz w:val="21"/>
                <w:szCs w:val="21"/>
                <w:lang w:val="en-US" w:eastAsia="zh-CN" w:bidi="ar-SA"/>
                <w14:textFill>
                  <w14:solidFill>
                    <w14:schemeClr w14:val="tx1"/>
                  </w14:solidFill>
                </w14:textFill>
              </w:rPr>
              <w:t xml:space="preserve">5 </w:t>
            </w:r>
            <w:r>
              <w:rPr>
                <w:rFonts w:hint="default" w:ascii="Times New Roman" w:hAnsi="Times New Roman" w:cs="Times New Roman"/>
                <w:b/>
                <w:bCs/>
                <w:color w:val="000000" w:themeColor="text1"/>
                <w:sz w:val="21"/>
                <w:szCs w:val="21"/>
                <w:highlight w:val="none"/>
                <w14:textFill>
                  <w14:solidFill>
                    <w14:schemeClr w14:val="tx1"/>
                  </w14:solidFill>
                </w14:textFill>
              </w:rPr>
              <w:t>本项目</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生产</w:t>
            </w:r>
            <w:r>
              <w:rPr>
                <w:rFonts w:hint="default" w:ascii="Times New Roman" w:hAnsi="Times New Roman" w:cs="Times New Roman"/>
                <w:b/>
                <w:bCs/>
                <w:color w:val="000000" w:themeColor="text1"/>
                <w:sz w:val="21"/>
                <w:szCs w:val="21"/>
                <w:highlight w:val="none"/>
                <w14:textFill>
                  <w14:solidFill>
                    <w14:schemeClr w14:val="tx1"/>
                  </w14:solidFill>
                </w14:textFill>
              </w:rPr>
              <w:t>废水产排情况一览表</w:t>
            </w:r>
            <w:bookmarkEnd w:id="26"/>
          </w:p>
          <w:tbl>
            <w:tblPr>
              <w:tblStyle w:val="44"/>
              <w:tblW w:w="0" w:type="auto"/>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4"/>
              <w:gridCol w:w="1066"/>
              <w:gridCol w:w="616"/>
              <w:gridCol w:w="814"/>
              <w:gridCol w:w="715"/>
              <w:gridCol w:w="477"/>
              <w:gridCol w:w="477"/>
              <w:gridCol w:w="477"/>
              <w:gridCol w:w="479"/>
              <w:gridCol w:w="499"/>
              <w:gridCol w:w="604"/>
              <w:gridCol w:w="572"/>
              <w:gridCol w:w="573"/>
            </w:tblGrid>
            <w:tr w14:paraId="4CCDC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1" w:hRule="atLeast"/>
              </w:trPr>
              <w:tc>
                <w:tcPr>
                  <w:tcW w:w="20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16A0EC">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废水种类</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87256">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pH</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（无量纲）</w:t>
                  </w: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832CE">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COD</w:t>
                  </w:r>
                  <w:r>
                    <w:rPr>
                      <w:rFonts w:hint="default" w:ascii="Times New Roman" w:hAnsi="Times New Roman" w:eastAsia="宋体" w:cs="Times New Roman"/>
                      <w:b/>
                      <w:bCs/>
                      <w:i w:val="0"/>
                      <w:iCs w:val="0"/>
                      <w:color w:val="000000" w:themeColor="text1"/>
                      <w:kern w:val="0"/>
                      <w:sz w:val="21"/>
                      <w:szCs w:val="21"/>
                      <w:u w:val="none"/>
                      <w:vertAlign w:val="subscript"/>
                      <w:lang w:val="en-US" w:eastAsia="zh-CN" w:bidi="ar"/>
                      <w14:textFill>
                        <w14:solidFill>
                          <w14:schemeClr w14:val="tx1"/>
                        </w14:solidFill>
                      </w14:textFill>
                    </w:rPr>
                    <w:t>Cr</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2E82B">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BOD</w:t>
                  </w:r>
                  <w:r>
                    <w:rPr>
                      <w:rFonts w:hint="default" w:ascii="Times New Roman" w:hAnsi="Times New Roman" w:eastAsia="宋体" w:cs="Times New Roman"/>
                      <w:b/>
                      <w:bCs/>
                      <w:i w:val="0"/>
                      <w:iCs w:val="0"/>
                      <w:color w:val="000000" w:themeColor="text1"/>
                      <w:kern w:val="0"/>
                      <w:sz w:val="21"/>
                      <w:szCs w:val="21"/>
                      <w:u w:val="none"/>
                      <w:vertAlign w:val="subscript"/>
                      <w:lang w:val="en-US" w:eastAsia="zh-CN" w:bidi="ar"/>
                      <w14:textFill>
                        <w14:solidFill>
                          <w14:schemeClr w14:val="tx1"/>
                        </w14:solidFill>
                      </w14:textFill>
                    </w:rPr>
                    <w:t>5</w:t>
                  </w:r>
                </w:p>
              </w:tc>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87A90">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SS</w:t>
                  </w:r>
                </w:p>
              </w:tc>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7DD32">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氨氮</w:t>
                  </w:r>
                </w:p>
              </w:tc>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074B0">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氟化物</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A4489">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TP</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01886">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TN</w:t>
                  </w:r>
                </w:p>
              </w:tc>
              <w:tc>
                <w:tcPr>
                  <w:tcW w:w="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472E8">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LAS</w:t>
                  </w:r>
                </w:p>
              </w:tc>
              <w:tc>
                <w:tcPr>
                  <w:tcW w:w="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92AE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总铝</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7BA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石油类</w:t>
                  </w:r>
                </w:p>
              </w:tc>
            </w:tr>
            <w:tr w14:paraId="47D03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trPr>
              <w:tc>
                <w:tcPr>
                  <w:tcW w:w="9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15AC5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生产废水</w:t>
                  </w:r>
                  <w:r>
                    <w:rPr>
                      <w:rFonts w:hint="eastAsia" w:cs="Times New Roman"/>
                      <w:i w:val="0"/>
                      <w:iCs w:val="0"/>
                      <w:color w:val="000000" w:themeColor="text1"/>
                      <w:kern w:val="0"/>
                      <w:sz w:val="21"/>
                      <w:szCs w:val="21"/>
                      <w:u w:val="none"/>
                      <w:lang w:val="en-US" w:eastAsia="zh-CN" w:bidi="ar"/>
                      <w14:textFill>
                        <w14:solidFill>
                          <w14:schemeClr w14:val="tx1"/>
                        </w14:solidFill>
                      </w14:textFill>
                    </w:rPr>
                    <w:t>10010.08</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m</w:t>
                  </w:r>
                  <w:r>
                    <w:rPr>
                      <w:rFonts w:hint="default" w:ascii="Times New Roman" w:hAnsi="Times New Roman" w:eastAsia="宋体" w:cs="Times New Roman"/>
                      <w:i w:val="0"/>
                      <w:iCs w:val="0"/>
                      <w:color w:val="000000" w:themeColor="text1"/>
                      <w:kern w:val="0"/>
                      <w:sz w:val="21"/>
                      <w:szCs w:val="21"/>
                      <w:u w:val="none"/>
                      <w:vertAlign w:val="super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/a</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8D33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产生浓度</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mg/L</w:t>
                  </w:r>
                </w:p>
              </w:tc>
              <w:tc>
                <w:tcPr>
                  <w:tcW w:w="61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E71BA9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2F012D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372</w:t>
                  </w: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4503B6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129</w:t>
                  </w:r>
                </w:p>
              </w:tc>
              <w:tc>
                <w:tcPr>
                  <w:tcW w:w="4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0D885F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67</w:t>
                  </w:r>
                </w:p>
              </w:tc>
              <w:tc>
                <w:tcPr>
                  <w:tcW w:w="4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B629ED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15.4</w:t>
                  </w:r>
                </w:p>
              </w:tc>
              <w:tc>
                <w:tcPr>
                  <w:tcW w:w="4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9AE626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109</w:t>
                  </w:r>
                </w:p>
              </w:tc>
              <w:tc>
                <w:tcPr>
                  <w:tcW w:w="4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E1850A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0.85</w:t>
                  </w:r>
                </w:p>
              </w:tc>
              <w:tc>
                <w:tcPr>
                  <w:tcW w:w="4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37F0FA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46.2</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89E6DE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57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5196A96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42.6</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84BC01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32.1</w:t>
                  </w:r>
                </w:p>
              </w:tc>
            </w:tr>
            <w:tr w14:paraId="1BC8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trPr>
              <w:tc>
                <w:tcPr>
                  <w:tcW w:w="9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06204">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438C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产生量</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t/a</w:t>
                  </w:r>
                </w:p>
              </w:tc>
              <w:tc>
                <w:tcPr>
                  <w:tcW w:w="61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4BFD6B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BAB278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3.724 </w:t>
                  </w: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7BA6CB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1.291 </w:t>
                  </w:r>
                </w:p>
              </w:tc>
              <w:tc>
                <w:tcPr>
                  <w:tcW w:w="4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4D6C0E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0.671 </w:t>
                  </w:r>
                </w:p>
              </w:tc>
              <w:tc>
                <w:tcPr>
                  <w:tcW w:w="4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642F42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0.154 </w:t>
                  </w:r>
                </w:p>
              </w:tc>
              <w:tc>
                <w:tcPr>
                  <w:tcW w:w="4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06FD82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1.091 </w:t>
                  </w:r>
                </w:p>
              </w:tc>
              <w:tc>
                <w:tcPr>
                  <w:tcW w:w="4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E5A060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0.009 </w:t>
                  </w:r>
                </w:p>
              </w:tc>
              <w:tc>
                <w:tcPr>
                  <w:tcW w:w="4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1A393A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0.462 </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F751D5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0.010 </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D609E0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0.426 </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057060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0.321 </w:t>
                  </w:r>
                </w:p>
              </w:tc>
            </w:tr>
            <w:tr w14:paraId="631AB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9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CB9AE">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F63B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治理工艺</w:t>
                  </w:r>
                </w:p>
              </w:tc>
              <w:tc>
                <w:tcPr>
                  <w:tcW w:w="6303" w:type="dxa"/>
                  <w:gridSpan w:val="11"/>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59FECF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中和调节+混凝沉淀+气浮</w:t>
                  </w:r>
                  <w:r>
                    <w:rPr>
                      <w:rFonts w:hint="eastAsia" w:cs="Times New Roman"/>
                      <w:i w:val="0"/>
                      <w:iCs w:val="0"/>
                      <w:color w:val="000000" w:themeColor="text1"/>
                      <w:kern w:val="0"/>
                      <w:sz w:val="21"/>
                      <w:szCs w:val="21"/>
                      <w:u w:val="none"/>
                      <w:lang w:val="en-US" w:eastAsia="zh-CN" w:bidi="ar"/>
                      <w14:textFill>
                        <w14:solidFill>
                          <w14:schemeClr w14:val="tx1"/>
                        </w14:solidFill>
                      </w14:textFill>
                    </w:rPr>
                    <w:t>+化学除氟</w:t>
                  </w:r>
                </w:p>
              </w:tc>
            </w:tr>
            <w:tr w14:paraId="60A12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trPr>
              <w:tc>
                <w:tcPr>
                  <w:tcW w:w="9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0E3F9">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8EE2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处理效率</w:t>
                  </w:r>
                </w:p>
              </w:tc>
              <w:tc>
                <w:tcPr>
                  <w:tcW w:w="61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8D0FD6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13415A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66%</w:t>
                  </w: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4DC24C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59%</w:t>
                  </w:r>
                </w:p>
              </w:tc>
              <w:tc>
                <w:tcPr>
                  <w:tcW w:w="4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9ABD46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99%</w:t>
                  </w:r>
                </w:p>
              </w:tc>
              <w:tc>
                <w:tcPr>
                  <w:tcW w:w="4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3E25AD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w:t>
                  </w:r>
                </w:p>
              </w:tc>
              <w:tc>
                <w:tcPr>
                  <w:tcW w:w="4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B6151A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91%</w:t>
                  </w:r>
                </w:p>
              </w:tc>
              <w:tc>
                <w:tcPr>
                  <w:tcW w:w="4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FF1CD7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92%</w:t>
                  </w:r>
                </w:p>
              </w:tc>
              <w:tc>
                <w:tcPr>
                  <w:tcW w:w="4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332223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BEB054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75%</w:t>
                  </w:r>
                </w:p>
              </w:tc>
              <w:tc>
                <w:tcPr>
                  <w:tcW w:w="57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4F6B80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w:t>
                  </w:r>
                  <w:r>
                    <w:rPr>
                      <w:rFonts w:hint="eastAsia" w:cs="Times New Roman"/>
                      <w:i w:val="0"/>
                      <w:iCs w:val="0"/>
                      <w:color w:val="000000" w:themeColor="text1"/>
                      <w:kern w:val="0"/>
                      <w:sz w:val="21"/>
                      <w:szCs w:val="21"/>
                      <w:u w:val="none"/>
                      <w:lang w:val="en-US" w:eastAsia="zh-CN" w:bidi="ar"/>
                      <w14:textFill>
                        <w14:solidFill>
                          <w14:schemeClr w14:val="tx1"/>
                        </w14:solidFill>
                      </w14:textFill>
                    </w:rPr>
                    <w:t>6</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14BBE58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87%</w:t>
                  </w:r>
                </w:p>
              </w:tc>
            </w:tr>
            <w:tr w14:paraId="3279E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trPr>
              <w:tc>
                <w:tcPr>
                  <w:tcW w:w="9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705C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570A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排放浓度</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mg/L</w:t>
                  </w:r>
                </w:p>
              </w:tc>
              <w:tc>
                <w:tcPr>
                  <w:tcW w:w="61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FA3F1F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6~9</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BE3BF2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126.5 </w:t>
                  </w: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7E2FC6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53.2 </w:t>
                  </w:r>
                </w:p>
              </w:tc>
              <w:tc>
                <w:tcPr>
                  <w:tcW w:w="4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04CFE7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0.9 </w:t>
                  </w:r>
                </w:p>
              </w:tc>
              <w:tc>
                <w:tcPr>
                  <w:tcW w:w="4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3D12E0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12.5 </w:t>
                  </w:r>
                </w:p>
              </w:tc>
              <w:tc>
                <w:tcPr>
                  <w:tcW w:w="4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C820B6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9.8 </w:t>
                  </w:r>
                </w:p>
              </w:tc>
              <w:tc>
                <w:tcPr>
                  <w:tcW w:w="4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D5C128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 </w:t>
                  </w:r>
                </w:p>
              </w:tc>
              <w:tc>
                <w:tcPr>
                  <w:tcW w:w="4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07D81A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37.6 </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03D183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0.2 </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ECA4A8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1.8</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AF2466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4.1 </w:t>
                  </w:r>
                </w:p>
              </w:tc>
            </w:tr>
            <w:tr w14:paraId="17323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trPr>
              <w:tc>
                <w:tcPr>
                  <w:tcW w:w="9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AB07D">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0C0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浓度标准</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mg/L</w:t>
                  </w:r>
                </w:p>
              </w:tc>
              <w:tc>
                <w:tcPr>
                  <w:tcW w:w="61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52FE92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6~9</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D39EB4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≤160</w:t>
                  </w: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09AA03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≤150</w:t>
                  </w:r>
                </w:p>
              </w:tc>
              <w:tc>
                <w:tcPr>
                  <w:tcW w:w="4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38C1B1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w:t>
                  </w:r>
                </w:p>
              </w:tc>
              <w:tc>
                <w:tcPr>
                  <w:tcW w:w="4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9C051D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w:t>
                  </w:r>
                </w:p>
              </w:tc>
              <w:tc>
                <w:tcPr>
                  <w:tcW w:w="4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BB9DCB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8B553D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7BFF8E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E1C7CE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207BFB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r>
                    <w:rPr>
                      <w:rFonts w:hint="eastAsia" w:cs="Times New Roman"/>
                      <w:i w:val="0"/>
                      <w:iCs w:val="0"/>
                      <w:color w:val="000000" w:themeColor="text1"/>
                      <w:kern w:val="0"/>
                      <w:sz w:val="21"/>
                      <w:szCs w:val="21"/>
                      <w:u w:val="none"/>
                      <w:vertAlign w:val="superscript"/>
                      <w:lang w:val="en-US" w:eastAsia="zh-CN" w:bidi="ar"/>
                      <w14:textFill>
                        <w14:solidFill>
                          <w14:schemeClr w14:val="tx1"/>
                        </w14:solidFill>
                      </w14:textFill>
                    </w:rPr>
                    <w:t>①</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3933C2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r>
            <w:tr w14:paraId="32366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trPr>
              <w:tc>
                <w:tcPr>
                  <w:tcW w:w="9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20C4A">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DE7D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排放量</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t/a</w:t>
                  </w:r>
                </w:p>
              </w:tc>
              <w:tc>
                <w:tcPr>
                  <w:tcW w:w="61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5AEB0E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4844BC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1.266 </w:t>
                  </w: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515CC6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0.533 </w:t>
                  </w:r>
                </w:p>
              </w:tc>
              <w:tc>
                <w:tcPr>
                  <w:tcW w:w="4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79DA74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0.009 </w:t>
                  </w:r>
                </w:p>
              </w:tc>
              <w:tc>
                <w:tcPr>
                  <w:tcW w:w="4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076A3D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0.126 </w:t>
                  </w:r>
                </w:p>
              </w:tc>
              <w:tc>
                <w:tcPr>
                  <w:tcW w:w="4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33A043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0.098 </w:t>
                  </w:r>
                </w:p>
              </w:tc>
              <w:tc>
                <w:tcPr>
                  <w:tcW w:w="4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A1DA57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0.001 </w:t>
                  </w:r>
                </w:p>
              </w:tc>
              <w:tc>
                <w:tcPr>
                  <w:tcW w:w="4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9FB3EE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0.377 </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CF9E5F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0.002 </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1A855C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w:t>
                  </w:r>
                  <w:r>
                    <w:rPr>
                      <w:rFonts w:hint="eastAsia" w:cs="Times New Roman"/>
                      <w:i w:val="0"/>
                      <w:iCs w:val="0"/>
                      <w:color w:val="000000" w:themeColor="text1"/>
                      <w:kern w:val="0"/>
                      <w:sz w:val="21"/>
                      <w:szCs w:val="21"/>
                      <w:u w:val="none"/>
                      <w:lang w:val="en-US" w:eastAsia="zh-CN" w:bidi="ar"/>
                      <w14:textFill>
                        <w14:solidFill>
                          <w14:schemeClr w14:val="tx1"/>
                        </w14:solidFill>
                      </w14:textFill>
                    </w:rPr>
                    <w:t>18</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C84AAA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0.041 </w:t>
                  </w:r>
                </w:p>
              </w:tc>
            </w:tr>
            <w:tr w14:paraId="54096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0" w:hRule="atLeast"/>
              </w:trPr>
              <w:tc>
                <w:tcPr>
                  <w:tcW w:w="8333"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C14207E">
                  <w:pPr>
                    <w:keepNext w:val="0"/>
                    <w:keepLines w:val="0"/>
                    <w:widowControl/>
                    <w:numPr>
                      <w:ilvl w:val="0"/>
                      <w:numId w:val="0"/>
                    </w:numPr>
                    <w:suppressLineNumbers w:val="0"/>
                    <w:jc w:val="both"/>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注：</w:t>
                  </w:r>
                  <w:r>
                    <w:rPr>
                      <w:rFonts w:hint="eastAsia" w:ascii="宋体" w:hAnsi="宋体" w:cs="宋体"/>
                      <w:color w:val="000000" w:themeColor="text1"/>
                      <w:kern w:val="0"/>
                      <w:sz w:val="20"/>
                      <w:szCs w:val="20"/>
                      <w:lang w:val="en-US" w:eastAsia="zh-CN" w:bidi="ar"/>
                      <w14:textFill>
                        <w14:solidFill>
                          <w14:schemeClr w14:val="tx1"/>
                        </w14:solidFill>
                      </w14:textFill>
                    </w:rPr>
                    <w:t>①</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项目废水排放执行园区污水处理厂接管水质要求、广东省《水污染物排放限值》（</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DB44/26-2001</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）第二时段三级标准以及《电镀水污染物排放标准》（</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DB44/1597-2015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表现有项目水污染物非珠三角排放限值200%（其中总铝按表2新建项目水污染物排放限值-非珠三角地区执行）</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三者较严值要求。</w:t>
                  </w:r>
                </w:p>
                <w:p w14:paraId="0594AE44">
                  <w:pPr>
                    <w:keepNext w:val="0"/>
                    <w:keepLines w:val="0"/>
                    <w:widowControl/>
                    <w:suppressLineNumbers w:val="0"/>
                    <w:jc w:val="left"/>
                    <w:rPr>
                      <w:rFonts w:hint="eastAsia" w:ascii="宋体" w:hAnsi="宋体" w:eastAsia="宋体" w:cs="宋体"/>
                      <w:color w:val="000000" w:themeColor="text1"/>
                      <w:kern w:val="0"/>
                      <w:sz w:val="20"/>
                      <w:szCs w:val="20"/>
                      <w:lang w:val="en-US" w:eastAsia="zh-CN" w:bidi="ar"/>
                      <w14:textFill>
                        <w14:solidFill>
                          <w14:schemeClr w14:val="tx1"/>
                        </w14:solidFill>
                      </w14:textFill>
                    </w:rPr>
                  </w:pPr>
                </w:p>
              </w:tc>
            </w:tr>
          </w:tbl>
          <w:p w14:paraId="19129F92">
            <w:pPr>
              <w:pStyle w:val="2"/>
              <w:rPr>
                <w:rFonts w:hint="default" w:ascii="Times New Roman" w:hAnsi="Times New Roman" w:cs="Times New Roman"/>
                <w:b/>
                <w:bCs/>
                <w:color w:val="000000" w:themeColor="text1"/>
                <w:sz w:val="21"/>
                <w:szCs w:val="21"/>
                <w:highlight w:val="none"/>
                <w14:textFill>
                  <w14:solidFill>
                    <w14:schemeClr w14:val="tx1"/>
                  </w14:solidFill>
                </w14:textFill>
              </w:rPr>
            </w:pPr>
          </w:p>
          <w:p w14:paraId="14E0ED3E">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kern w:val="2"/>
                <w:sz w:val="24"/>
                <w:szCs w:val="24"/>
                <w:highlight w:val="none"/>
                <w14:textFill>
                  <w14:solidFill>
                    <w14:schemeClr w14:val="tx1"/>
                  </w14:solidFill>
                </w14:textFill>
              </w:rPr>
              <w:t>综上，</w:t>
            </w:r>
            <w:r>
              <w:rPr>
                <w:rFonts w:hint="default" w:ascii="Times New Roman" w:hAnsi="Times New Roman" w:cs="Times New Roman"/>
                <w:color w:val="000000" w:themeColor="text1"/>
                <w:sz w:val="24"/>
                <w:szCs w:val="24"/>
                <w:highlight w:val="none"/>
                <w14:textFill>
                  <w14:solidFill>
                    <w14:schemeClr w14:val="tx1"/>
                  </w14:solidFill>
                </w14:textFill>
              </w:rPr>
              <w:t>项目</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生活污水经“三级化粪池+隔油隔渣池”处理达到广东省地方标准《水污染物排放限值》（DB44/26-2001）第二时段三级标准以及园区污水处理厂接管水质要求两者较严值后，</w:t>
            </w:r>
            <w:r>
              <w:rPr>
                <w:rFonts w:hint="default" w:ascii="Times New Roman" w:hAnsi="Times New Roman" w:cs="Times New Roman"/>
                <w:color w:val="000000" w:themeColor="text1"/>
                <w:sz w:val="24"/>
                <w:szCs w:val="24"/>
                <w:highlight w:val="none"/>
                <w14:textFill>
                  <w14:solidFill>
                    <w14:schemeClr w14:val="tx1"/>
                  </w14:solidFill>
                </w14:textFill>
              </w:rPr>
              <w:t>排入园区污水处理厂处理</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生产废水经“</w:t>
            </w:r>
            <w:r>
              <w:rPr>
                <w:rFonts w:hint="eastAsia" w:cs="Times New Roman"/>
                <w:color w:val="000000" w:themeColor="text1"/>
                <w:sz w:val="24"/>
                <w:szCs w:val="24"/>
                <w:highlight w:val="none"/>
                <w:lang w:eastAsia="zh-CN"/>
                <w14:textFill>
                  <w14:solidFill>
                    <w14:schemeClr w14:val="tx1"/>
                  </w14:solidFill>
                </w14:textFill>
              </w:rPr>
              <w:t>中和调节+混凝沉淀+气浮+化学除氟</w:t>
            </w:r>
            <w:r>
              <w:rPr>
                <w:rFonts w:hint="default" w:ascii="Times New Roman" w:hAnsi="Times New Roman" w:cs="Times New Roman"/>
                <w:color w:val="000000" w:themeColor="text1"/>
                <w:sz w:val="24"/>
                <w:szCs w:val="24"/>
                <w:highlight w:val="none"/>
                <w14:textFill>
                  <w14:solidFill>
                    <w14:schemeClr w14:val="tx1"/>
                  </w14:solidFill>
                </w14:textFill>
              </w:rPr>
              <w:t>”处理</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达到园区污水处理厂接管水质要求、广东省《水污染物排放限值》（DB44/26-2001）第二时段三级标准以及《电镀水污染物排放标准》（DB44/1597-2015）</w:t>
            </w:r>
            <w:r>
              <w:rPr>
                <w:rFonts w:hint="eastAsia" w:cs="Times New Roman"/>
                <w:color w:val="000000" w:themeColor="text1"/>
                <w:sz w:val="24"/>
                <w:szCs w:val="24"/>
                <w:highlight w:val="none"/>
                <w:lang w:val="en-US" w:eastAsia="zh-CN"/>
                <w14:textFill>
                  <w14:solidFill>
                    <w14:schemeClr w14:val="tx1"/>
                  </w14:solidFill>
                </w14:textFill>
              </w:rPr>
              <w:t>表1现有项目水污染物非珠三角排放限值200%（其中总铝按表2新建项目水污染物排放限值-非珠三角地区执行）</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三者较严值要求，</w:t>
            </w:r>
            <w:r>
              <w:rPr>
                <w:rFonts w:hint="default" w:ascii="Times New Roman" w:hAnsi="Times New Roman" w:cs="Times New Roman"/>
                <w:color w:val="000000" w:themeColor="text1"/>
                <w:sz w:val="24"/>
                <w:szCs w:val="24"/>
                <w:highlight w:val="none"/>
                <w14:textFill>
                  <w14:solidFill>
                    <w14:schemeClr w14:val="tx1"/>
                  </w14:solidFill>
                </w14:textFill>
              </w:rPr>
              <w:t>排入园区污水处理厂处理</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项目设置两个废水排放口，生活污水和生产废水各自处理后接入同一个市政污水井然后排入园区污水处理厂，项目废水排放情况如下表所示。</w:t>
            </w:r>
          </w:p>
          <w:p w14:paraId="14B1E67A">
            <w:pPr>
              <w:keepNext/>
              <w:keepLines/>
              <w:numPr>
                <w:ilvl w:val="0"/>
                <w:numId w:val="0"/>
              </w:numPr>
              <w:suppressLineNumbers w:val="0"/>
              <w:tabs>
                <w:tab w:val="left" w:pos="0"/>
              </w:tabs>
              <w:spacing w:before="0" w:beforeAutospacing="0" w:after="0" w:afterAutospacing="0"/>
              <w:ind w:left="0" w:leftChars="0" w:right="0" w:rightChars="0" w:firstLine="40" w:firstLineChars="0"/>
              <w:jc w:val="center"/>
              <w:outlineLvl w:val="3"/>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表4-2</w:t>
            </w:r>
            <w:r>
              <w:rPr>
                <w:rFonts w:hint="eastAsia" w:cs="Times New Roman"/>
                <w:b/>
                <w:bCs/>
                <w:color w:val="000000" w:themeColor="text1"/>
                <w:kern w:val="2"/>
                <w:sz w:val="21"/>
                <w:szCs w:val="21"/>
                <w:lang w:val="en-US" w:eastAsia="zh-CN" w:bidi="ar-SA"/>
                <w14:textFill>
                  <w14:solidFill>
                    <w14:schemeClr w14:val="tx1"/>
                  </w14:solidFill>
                </w14:textFill>
              </w:rPr>
              <w:t>6</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本项目</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废水污染物排放信息表</w:t>
            </w:r>
          </w:p>
          <w:tbl>
            <w:tblPr>
              <w:tblStyle w:val="44"/>
              <w:tblW w:w="8217"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51"/>
              <w:gridCol w:w="1451"/>
              <w:gridCol w:w="1174"/>
              <w:gridCol w:w="1223"/>
              <w:gridCol w:w="1451"/>
              <w:gridCol w:w="1467"/>
            </w:tblGrid>
            <w:tr w14:paraId="5EF77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857104">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序号</w:t>
                  </w:r>
                </w:p>
              </w:tc>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EE09C">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排放口编号</w:t>
                  </w:r>
                </w:p>
              </w:tc>
              <w:tc>
                <w:tcPr>
                  <w:tcW w:w="11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B87F78">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污染物种类</w:t>
                  </w:r>
                </w:p>
              </w:tc>
              <w:tc>
                <w:tcPr>
                  <w:tcW w:w="12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512466">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排放浓度</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mg/L</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p>
              </w:tc>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7E0CB">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全厂日排放量</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kg/d</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p>
              </w:tc>
              <w:tc>
                <w:tcPr>
                  <w:tcW w:w="1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19904">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全厂年排放量</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t/a</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p>
              </w:tc>
            </w:tr>
            <w:tr w14:paraId="3CD01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2ED0D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1E5689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DW001</w:t>
                  </w:r>
                </w:p>
              </w:tc>
              <w:tc>
                <w:tcPr>
                  <w:tcW w:w="11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236C8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COD</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Cr</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D53F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200</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40B1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1.718 </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A1F0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0.414</w:t>
                  </w:r>
                </w:p>
              </w:tc>
            </w:tr>
            <w:tr w14:paraId="07B29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87C66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E92FFF">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1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AB6E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BOD</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5</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6A55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142.5 </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0B99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1.224 </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718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0.295</w:t>
                  </w:r>
                </w:p>
              </w:tc>
            </w:tr>
            <w:tr w14:paraId="37B21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7C98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4C94F1">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1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8515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SS</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4CCC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104.8 </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49A1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0.900 </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AEBE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0.217</w:t>
                  </w:r>
                </w:p>
              </w:tc>
            </w:tr>
            <w:tr w14:paraId="50413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0AB4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C7BF5C">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1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96C37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NH</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-N</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25E3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30.0 </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5BB7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0.257 </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07BB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0.062</w:t>
                  </w:r>
                </w:p>
              </w:tc>
            </w:tr>
            <w:tr w14:paraId="33CAC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9DB6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56A045">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1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C9F5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总磷</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50B4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3.9 </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93EC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0.033 </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2EA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0.008</w:t>
                  </w:r>
                </w:p>
              </w:tc>
            </w:tr>
            <w:tr w14:paraId="4CF86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637E4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4B782C">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1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73D2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动植物油</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EEBA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19.8 </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9ADF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0.170 </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8B7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0.041</w:t>
                  </w:r>
                </w:p>
              </w:tc>
            </w:tr>
            <w:tr w14:paraId="12303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ABA0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38EF98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DW002</w:t>
                  </w:r>
                </w:p>
              </w:tc>
              <w:tc>
                <w:tcPr>
                  <w:tcW w:w="11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107B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COD</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Cr</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3F5B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126.5 </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A5DF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5.254 </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0ADB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1.266 </w:t>
                  </w:r>
                </w:p>
              </w:tc>
            </w:tr>
            <w:tr w14:paraId="140E7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BF03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64EDF7">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1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CD08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BOD</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5</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16BE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53.2 </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102E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2.210 </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0BF7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0.533 </w:t>
                  </w:r>
                </w:p>
              </w:tc>
            </w:tr>
            <w:tr w14:paraId="2E284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DB37F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BD8CBF">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1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82EB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SS</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BDB2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0.9 </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FD0C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0.038 </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5B8E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0.009 </w:t>
                  </w:r>
                </w:p>
              </w:tc>
            </w:tr>
            <w:tr w14:paraId="690E1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ECC95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1E1958">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1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C731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NH</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-N</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D665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12.5 </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5BA9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0.521 </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0A5E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0.126 </w:t>
                  </w:r>
                </w:p>
              </w:tc>
            </w:tr>
            <w:tr w14:paraId="2C288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786F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3B3315">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1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09BA8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氟化物</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38F8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9.8 </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DD38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0.407 </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81C6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0.098 </w:t>
                  </w:r>
                </w:p>
              </w:tc>
            </w:tr>
            <w:tr w14:paraId="4C902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09E1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2F5F4A">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1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40881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总磷</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6C96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 </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20A9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0.003 </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0508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0.001 </w:t>
                  </w:r>
                </w:p>
              </w:tc>
            </w:tr>
            <w:tr w14:paraId="50DD4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5397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w:t>
                  </w: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D378A5">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4726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TN</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952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37.6 </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D468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1.563 </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0BDB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0.377 </w:t>
                  </w:r>
                </w:p>
              </w:tc>
            </w:tr>
            <w:tr w14:paraId="75CBB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0605C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w:t>
                  </w: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CA133B">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1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169CB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阴离子表面活性剂</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126E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0.2 </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05AC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0.010 </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C746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0.002 </w:t>
                  </w:r>
                </w:p>
              </w:tc>
            </w:tr>
            <w:tr w14:paraId="0821B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43001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w:t>
                  </w: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DD766E">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CA00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总铝</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1609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1.8 </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8B7B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0.077 </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AB5C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0.018 </w:t>
                  </w:r>
                </w:p>
              </w:tc>
            </w:tr>
            <w:tr w14:paraId="1D28D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2298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w:t>
                  </w: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93610C">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1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5AA94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石油类</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3E47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4.1 </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A409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0.170 </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35EC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0.041 </w:t>
                  </w:r>
                </w:p>
              </w:tc>
            </w:tr>
            <w:tr w14:paraId="451C0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02"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1B132C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全厂排放口合计</w:t>
                  </w:r>
                </w:p>
              </w:tc>
              <w:tc>
                <w:tcPr>
                  <w:tcW w:w="384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552F18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COD</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Cr</w:t>
                  </w:r>
                </w:p>
              </w:tc>
              <w:tc>
                <w:tcPr>
                  <w:tcW w:w="1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B1FD0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1.680 </w:t>
                  </w:r>
                </w:p>
              </w:tc>
            </w:tr>
            <w:tr w14:paraId="0A3DC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02"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2B58C3">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84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906284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BOD</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5</w:t>
                  </w:r>
                </w:p>
              </w:tc>
              <w:tc>
                <w:tcPr>
                  <w:tcW w:w="1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57DDC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0.828 </w:t>
                  </w:r>
                </w:p>
              </w:tc>
            </w:tr>
            <w:tr w14:paraId="6FF85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02"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4FF404">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84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DF1311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SS</w:t>
                  </w:r>
                </w:p>
              </w:tc>
              <w:tc>
                <w:tcPr>
                  <w:tcW w:w="1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DCE9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0.226 </w:t>
                  </w:r>
                </w:p>
              </w:tc>
            </w:tr>
            <w:tr w14:paraId="0D197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02"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B0C4EB">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84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F0FDCC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NH</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-N</w:t>
                  </w:r>
                </w:p>
              </w:tc>
              <w:tc>
                <w:tcPr>
                  <w:tcW w:w="1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4546B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0.188 </w:t>
                  </w:r>
                </w:p>
              </w:tc>
            </w:tr>
            <w:tr w14:paraId="5DD2D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02"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C365E1">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84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91CFEA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氟化物</w:t>
                  </w:r>
                </w:p>
              </w:tc>
              <w:tc>
                <w:tcPr>
                  <w:tcW w:w="1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5A59E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0.098 </w:t>
                  </w:r>
                </w:p>
              </w:tc>
            </w:tr>
            <w:tr w14:paraId="5DA32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02"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477E87">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84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1AFBAF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TP</w:t>
                  </w:r>
                </w:p>
              </w:tc>
              <w:tc>
                <w:tcPr>
                  <w:tcW w:w="1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F5E3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0.009 </w:t>
                  </w:r>
                </w:p>
              </w:tc>
            </w:tr>
            <w:tr w14:paraId="51028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02"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ECA0F9">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84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857E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TN</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27AC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0.377 </w:t>
                  </w:r>
                </w:p>
              </w:tc>
            </w:tr>
            <w:tr w14:paraId="7210D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02"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60645E">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84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FBC26D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阴离子表面活性剂</w:t>
                  </w:r>
                </w:p>
              </w:tc>
              <w:tc>
                <w:tcPr>
                  <w:tcW w:w="1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62C4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0.002 </w:t>
                  </w:r>
                </w:p>
              </w:tc>
            </w:tr>
            <w:tr w14:paraId="21C3C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02"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10D20B">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84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C377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总铝</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33E5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w:t>
                  </w:r>
                  <w:r>
                    <w:rPr>
                      <w:rFonts w:hint="eastAsia" w:cs="Times New Roman"/>
                      <w:i w:val="0"/>
                      <w:iCs w:val="0"/>
                      <w:color w:val="000000" w:themeColor="text1"/>
                      <w:kern w:val="0"/>
                      <w:sz w:val="21"/>
                      <w:szCs w:val="21"/>
                      <w:u w:val="none"/>
                      <w:lang w:val="en-US" w:eastAsia="zh-CN" w:bidi="ar"/>
                      <w14:textFill>
                        <w14:solidFill>
                          <w14:schemeClr w14:val="tx1"/>
                        </w14:solidFill>
                      </w14:textFill>
                    </w:rPr>
                    <w:t>18</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r w14:paraId="650D5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02"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9498AA">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84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5E2F46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石油类</w:t>
                  </w:r>
                </w:p>
              </w:tc>
              <w:tc>
                <w:tcPr>
                  <w:tcW w:w="1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8A12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0.041 </w:t>
                  </w:r>
                </w:p>
              </w:tc>
            </w:tr>
            <w:tr w14:paraId="0621D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02"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F3D550">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84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597391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动植物油</w:t>
                  </w:r>
                </w:p>
              </w:tc>
              <w:tc>
                <w:tcPr>
                  <w:tcW w:w="1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F0C8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0.041 </w:t>
                  </w:r>
                </w:p>
              </w:tc>
            </w:tr>
          </w:tbl>
          <w:p w14:paraId="55A8F004">
            <w:pPr>
              <w:keepNext w:val="0"/>
              <w:keepLines w:val="0"/>
              <w:pageBreakBefore w:val="0"/>
              <w:widowControl w:val="0"/>
              <w:kinsoku/>
              <w:wordWrap/>
              <w:overflowPunct/>
              <w:topLinePunct w:val="0"/>
              <w:autoSpaceDE/>
              <w:autoSpaceDN/>
              <w:bidi w:val="0"/>
              <w:adjustRightInd/>
              <w:snapToGrid/>
              <w:spacing w:line="100" w:lineRule="exact"/>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p>
          <w:p w14:paraId="0B131558">
            <w:pPr>
              <w:keepNext/>
              <w:keepLines/>
              <w:suppressLineNumbers w:val="0"/>
              <w:tabs>
                <w:tab w:val="left" w:pos="0"/>
              </w:tabs>
              <w:spacing w:before="0" w:beforeAutospacing="0" w:after="0" w:afterAutospacing="0" w:line="360" w:lineRule="auto"/>
              <w:ind w:left="0" w:right="0" w:firstLine="482" w:firstLineChars="200"/>
              <w:outlineLvl w:val="3"/>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（4）锆、钛离子影响分析</w:t>
            </w:r>
          </w:p>
          <w:p w14:paraId="7EAFB0B1">
            <w:pPr>
              <w:keepNext/>
              <w:keepLines/>
              <w:suppressLineNumbers w:val="0"/>
              <w:tabs>
                <w:tab w:val="left" w:pos="0"/>
              </w:tabs>
              <w:spacing w:before="0" w:beforeAutospacing="0" w:after="0" w:afterAutospacing="0" w:line="360" w:lineRule="auto"/>
              <w:ind w:left="0" w:right="0" w:firstLine="480" w:firstLineChars="200"/>
              <w:outlineLvl w:val="3"/>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由于项目无铬钝化剂中含氟锆酸和氟钛酸，会有少量锆离子和钛离子产生，但目前锆、钛未有相关排放标准要求，且项目钝化剂使用量较少，本项目不将锆和钛作为控制标准，但为进一步考虑环境影响，本项目将锆、钛定量分析，论证本项目废水处理工艺是否能对上述污染物进行有效处理。本项目无铬钝化剂用量为</w:t>
            </w:r>
            <w:r>
              <w:rPr>
                <w:rFonts w:hint="eastAsia" w:cs="Times New Roman"/>
                <w:color w:val="000000" w:themeColor="text1"/>
                <w:sz w:val="24"/>
                <w:szCs w:val="24"/>
                <w:highlight w:val="none"/>
                <w:lang w:val="en-US" w:eastAsia="zh-CN"/>
                <w14:textFill>
                  <w14:solidFill>
                    <w14:schemeClr w14:val="tx1"/>
                  </w14:solidFill>
                </w14:textFill>
              </w:rPr>
              <w:t>3.2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t/a，氟锆酸和氟钛酸含量均为5%～10%，项目按最大占比10%计算，分子式分别为H</w:t>
            </w:r>
            <w:r>
              <w:rPr>
                <w:rFonts w:hint="default" w:ascii="Times New Roman" w:hAnsi="Times New Roman" w:cs="Times New Roman"/>
                <w:color w:val="000000" w:themeColor="text1"/>
                <w:sz w:val="24"/>
                <w:szCs w:val="24"/>
                <w:highlight w:val="none"/>
                <w:vertAlign w:val="subscript"/>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F</w:t>
            </w:r>
            <w:r>
              <w:rPr>
                <w:rFonts w:hint="default" w:ascii="Times New Roman" w:hAnsi="Times New Roman" w:cs="Times New Roman"/>
                <w:color w:val="000000" w:themeColor="text1"/>
                <w:sz w:val="24"/>
                <w:szCs w:val="24"/>
                <w:highlight w:val="none"/>
                <w:vertAlign w:val="subscript"/>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Zr、H</w:t>
            </w:r>
            <w:r>
              <w:rPr>
                <w:rFonts w:hint="default" w:ascii="Times New Roman" w:hAnsi="Times New Roman" w:cs="Times New Roman"/>
                <w:color w:val="000000" w:themeColor="text1"/>
                <w:sz w:val="24"/>
                <w:szCs w:val="24"/>
                <w:highlight w:val="none"/>
                <w:vertAlign w:val="subscript"/>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TiF</w:t>
            </w:r>
            <w:r>
              <w:rPr>
                <w:rFonts w:hint="default" w:ascii="Times New Roman" w:hAnsi="Times New Roman" w:cs="Times New Roman"/>
                <w:color w:val="000000" w:themeColor="text1"/>
                <w:sz w:val="24"/>
                <w:szCs w:val="24"/>
                <w:highlight w:val="none"/>
                <w:vertAlign w:val="subscript"/>
                <w:lang w:val="en-US" w:eastAsia="zh-CN"/>
                <w14:textFill>
                  <w14:solidFill>
                    <w14:schemeClr w14:val="tx1"/>
                  </w14:solidFill>
                </w14:textFill>
              </w:rPr>
              <w:t>6</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，按照原子质量占比</w:t>
            </w:r>
            <w:r>
              <w:rPr>
                <w:rFonts w:hint="eastAsia" w:cs="Times New Roman"/>
                <w:color w:val="000000" w:themeColor="text1"/>
                <w:sz w:val="24"/>
                <w:szCs w:val="24"/>
                <w:highlight w:val="none"/>
                <w:vertAlign w:val="baseline"/>
                <w:lang w:val="en-US" w:eastAsia="zh-CN"/>
                <w14:textFill>
                  <w14:solidFill>
                    <w14:schemeClr w14:val="tx1"/>
                  </w14:solidFill>
                </w14:textFill>
              </w:rPr>
              <w:t>分别为44.02%、29.21%。项目无铬钝化槽槽液不外排，仅定期更换槽液，因此进入废水中的钝化剂仅来自钝化槽工件带出废水。</w:t>
            </w:r>
            <w:r>
              <w:rPr>
                <w:rFonts w:hint="eastAsia"/>
                <w:color w:val="000000" w:themeColor="text1"/>
                <w:sz w:val="24"/>
                <w:szCs w:val="24"/>
                <w:lang w:val="en-US" w:eastAsia="zh-CN"/>
                <w14:textFill>
                  <w14:solidFill>
                    <w14:schemeClr w14:val="tx1"/>
                  </w14:solidFill>
                </w14:textFill>
              </w:rPr>
              <w:t>参考《污染源源强核算技术指南 电镀》（HJ984-2018）中附录 D 不同形状镀件镀液带出量参考值一览表中简单镀件形状的自动线挂镀的镀液带出量＜0.1L/m</w:t>
            </w:r>
            <w:r>
              <w:rPr>
                <w:rFonts w:hint="eastAsia"/>
                <w:color w:val="000000" w:themeColor="text1"/>
                <w:sz w:val="24"/>
                <w:szCs w:val="24"/>
                <w:vertAlign w:val="superscript"/>
                <w:lang w:val="en-US" w:eastAsia="zh-CN"/>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 xml:space="preserve"> ， 取 值 0.1L/m</w:t>
            </w:r>
            <w:r>
              <w:rPr>
                <w:rFonts w:hint="eastAsia"/>
                <w:color w:val="000000" w:themeColor="text1"/>
                <w:sz w:val="24"/>
                <w:szCs w:val="24"/>
                <w:vertAlign w:val="superscript"/>
                <w:lang w:val="en-US" w:eastAsia="zh-CN"/>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 xml:space="preserve"> 。根据建设单位提供数据，钝化工艺浓度为1%，</w:t>
            </w:r>
            <w:r>
              <w:rPr>
                <w:rFonts w:hint="eastAsia"/>
                <w:color w:val="000000" w:themeColor="text1"/>
                <w:sz w:val="24"/>
                <w:szCs w:val="24"/>
                <w:vertAlign w:val="baseline"/>
                <w:lang w:val="en-US" w:eastAsia="zh-CN"/>
                <w14:textFill>
                  <w14:solidFill>
                    <w14:schemeClr w14:val="tx1"/>
                  </w14:solidFill>
                </w14:textFill>
              </w:rPr>
              <w:t>需钝化处理的工件面积为550000m</w:t>
            </w:r>
            <w:r>
              <w:rPr>
                <w:rFonts w:hint="eastAsia"/>
                <w:color w:val="000000" w:themeColor="text1"/>
                <w:sz w:val="24"/>
                <w:szCs w:val="24"/>
                <w:vertAlign w:val="superscript"/>
                <w:lang w:val="en-US" w:eastAsia="zh-CN"/>
                <w14:textFill>
                  <w14:solidFill>
                    <w14:schemeClr w14:val="tx1"/>
                  </w14:solidFill>
                </w14:textFill>
              </w:rPr>
              <w:t>2</w:t>
            </w:r>
            <w:r>
              <w:rPr>
                <w:rFonts w:hint="eastAsia"/>
                <w:color w:val="000000" w:themeColor="text1"/>
                <w:sz w:val="24"/>
                <w:szCs w:val="24"/>
                <w:vertAlign w:val="baseline"/>
                <w:lang w:val="en-US" w:eastAsia="zh-CN"/>
                <w14:textFill>
                  <w14:solidFill>
                    <w14:schemeClr w14:val="tx1"/>
                  </w14:solidFill>
                </w14:textFill>
              </w:rPr>
              <w:t>，则</w:t>
            </w:r>
            <w:r>
              <w:rPr>
                <w:rFonts w:hint="eastAsia"/>
                <w:color w:val="000000" w:themeColor="text1"/>
                <w:sz w:val="24"/>
                <w:szCs w:val="24"/>
                <w:lang w:val="en-US" w:eastAsia="zh-CN"/>
                <w14:textFill>
                  <w14:solidFill>
                    <w14:schemeClr w14:val="tx1"/>
                  </w14:solidFill>
                </w14:textFill>
              </w:rPr>
              <w:t>工件带出无铬钝化剂量为0.1L/m</w:t>
            </w:r>
            <w:r>
              <w:rPr>
                <w:rFonts w:hint="eastAsia"/>
                <w:color w:val="000000" w:themeColor="text1"/>
                <w:sz w:val="24"/>
                <w:szCs w:val="24"/>
                <w:vertAlign w:val="superscript"/>
                <w:lang w:val="en-US" w:eastAsia="zh-CN"/>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 xml:space="preserve"> × 550000m</w:t>
            </w:r>
            <w:r>
              <w:rPr>
                <w:rFonts w:hint="eastAsia"/>
                <w:color w:val="000000" w:themeColor="text1"/>
                <w:sz w:val="24"/>
                <w:szCs w:val="24"/>
                <w:vertAlign w:val="superscript"/>
                <w:lang w:val="en-US" w:eastAsia="zh-CN"/>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 xml:space="preserve"> × 10</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vertAlign w:val="baseline"/>
                <w:lang w:val="en-US" w:eastAsia="zh-CN"/>
                <w14:textFill>
                  <w14:solidFill>
                    <w14:schemeClr w14:val="tx1"/>
                  </w14:solidFill>
                </w14:textFill>
              </w:rPr>
              <w:t>×1%×1.003t/m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 0.551t/a。由此</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计算得</w:t>
            </w:r>
            <w:r>
              <w:rPr>
                <w:rFonts w:hint="eastAsia" w:cs="Times New Roman"/>
                <w:color w:val="000000" w:themeColor="text1"/>
                <w:sz w:val="24"/>
                <w:szCs w:val="24"/>
                <w:highlight w:val="none"/>
                <w:vertAlign w:val="baseline"/>
                <w:lang w:val="en-US" w:eastAsia="zh-CN"/>
                <w14:textFill>
                  <w14:solidFill>
                    <w14:schemeClr w14:val="tx1"/>
                  </w14:solidFill>
                </w14:textFill>
              </w:rPr>
              <w:t>废水中</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Zr产生量为</w:t>
            </w:r>
            <w:r>
              <w:rPr>
                <w:rFonts w:hint="eastAsia" w:cs="Times New Roman"/>
                <w:color w:val="000000" w:themeColor="text1"/>
                <w:sz w:val="24"/>
                <w:szCs w:val="24"/>
                <w:highlight w:val="none"/>
                <w:vertAlign w:val="baseline"/>
                <w:lang w:val="en-US" w:eastAsia="zh-CN"/>
                <w14:textFill>
                  <w14:solidFill>
                    <w14:schemeClr w14:val="tx1"/>
                  </w14:solidFill>
                </w14:textFill>
              </w:rPr>
              <w:t>0.551×10%×44.02%=</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0.</w:t>
            </w:r>
            <w:r>
              <w:rPr>
                <w:rFonts w:hint="eastAsia" w:cs="Times New Roman"/>
                <w:color w:val="000000" w:themeColor="text1"/>
                <w:sz w:val="24"/>
                <w:szCs w:val="24"/>
                <w:highlight w:val="none"/>
                <w:vertAlign w:val="baseline"/>
                <w:lang w:val="en-US" w:eastAsia="zh-CN"/>
                <w14:textFill>
                  <w14:solidFill>
                    <w14:schemeClr w14:val="tx1"/>
                  </w14:solidFill>
                </w14:textFill>
              </w:rPr>
              <w:t>024</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t/a，Ti产生量为</w:t>
            </w:r>
            <w:bookmarkStart w:id="27" w:name="OLE_LINK42"/>
            <w:r>
              <w:rPr>
                <w:rFonts w:hint="eastAsia" w:cs="Times New Roman"/>
                <w:color w:val="000000" w:themeColor="text1"/>
                <w:sz w:val="24"/>
                <w:szCs w:val="24"/>
                <w:highlight w:val="none"/>
                <w:vertAlign w:val="baseline"/>
                <w:lang w:val="en-US" w:eastAsia="zh-CN"/>
                <w14:textFill>
                  <w14:solidFill>
                    <w14:schemeClr w14:val="tx1"/>
                  </w14:solidFill>
                </w14:textFill>
              </w:rPr>
              <w:t>0.551×10%×29.21%=0.</w:t>
            </w:r>
            <w:bookmarkEnd w:id="27"/>
            <w:r>
              <w:rPr>
                <w:rFonts w:hint="eastAsia" w:cs="Times New Roman"/>
                <w:color w:val="000000" w:themeColor="text1"/>
                <w:sz w:val="24"/>
                <w:szCs w:val="24"/>
                <w:highlight w:val="none"/>
                <w:vertAlign w:val="baseline"/>
                <w:lang w:val="en-US" w:eastAsia="zh-CN"/>
                <w14:textFill>
                  <w14:solidFill>
                    <w14:schemeClr w14:val="tx1"/>
                  </w14:solidFill>
                </w14:textFill>
              </w:rPr>
              <w:t>016</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t/a，本项目</w:t>
            </w:r>
            <w:r>
              <w:rPr>
                <w:rFonts w:hint="eastAsia" w:cs="Times New Roman"/>
                <w:color w:val="000000" w:themeColor="text1"/>
                <w:sz w:val="24"/>
                <w:szCs w:val="24"/>
                <w:highlight w:val="none"/>
                <w:vertAlign w:val="baseline"/>
                <w:lang w:val="en-US" w:eastAsia="zh-CN"/>
                <w14:textFill>
                  <w14:solidFill>
                    <w14:schemeClr w14:val="tx1"/>
                  </w14:solidFill>
                </w14:textFill>
              </w:rPr>
              <w:t>前处理</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废水产生量为</w:t>
            </w:r>
            <w:r>
              <w:rPr>
                <w:rFonts w:hint="eastAsia" w:cs="Times New Roman"/>
                <w:color w:val="000000" w:themeColor="text1"/>
                <w:sz w:val="24"/>
                <w:szCs w:val="24"/>
                <w:highlight w:val="none"/>
                <w:vertAlign w:val="baseline"/>
                <w:lang w:val="en-US" w:eastAsia="zh-CN"/>
                <w14:textFill>
                  <w14:solidFill>
                    <w14:schemeClr w14:val="tx1"/>
                  </w14:solidFill>
                </w14:textFill>
              </w:rPr>
              <w:t>10010.08</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t/a，</w:t>
            </w:r>
            <w:r>
              <w:rPr>
                <w:rFonts w:hint="eastAsia" w:cs="Times New Roman"/>
                <w:color w:val="000000" w:themeColor="text1"/>
                <w:sz w:val="24"/>
                <w:szCs w:val="24"/>
                <w:highlight w:val="none"/>
                <w:vertAlign w:val="baseline"/>
                <w:lang w:val="en-US" w:eastAsia="zh-CN"/>
                <w14:textFill>
                  <w14:solidFill>
                    <w14:schemeClr w14:val="tx1"/>
                  </w14:solidFill>
                </w14:textFill>
              </w:rPr>
              <w:t>得</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出Zr和Ti产生浓度分别为</w:t>
            </w:r>
            <w:r>
              <w:rPr>
                <w:rFonts w:hint="eastAsia" w:cs="Times New Roman"/>
                <w:color w:val="000000" w:themeColor="text1"/>
                <w:sz w:val="24"/>
                <w:szCs w:val="24"/>
                <w:highlight w:val="none"/>
                <w:vertAlign w:val="baseline"/>
                <w:lang w:val="en-US" w:eastAsia="zh-CN"/>
                <w14:textFill>
                  <w14:solidFill>
                    <w14:schemeClr w14:val="tx1"/>
                  </w14:solidFill>
                </w14:textFill>
              </w:rPr>
              <w:t>2.42</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mg/L和</w:t>
            </w:r>
            <w:r>
              <w:rPr>
                <w:rFonts w:hint="eastAsia" w:cs="Times New Roman"/>
                <w:color w:val="000000" w:themeColor="text1"/>
                <w:sz w:val="24"/>
                <w:szCs w:val="24"/>
                <w:highlight w:val="none"/>
                <w:vertAlign w:val="baseline"/>
                <w:lang w:val="en-US" w:eastAsia="zh-CN"/>
                <w14:textFill>
                  <w14:solidFill>
                    <w14:schemeClr w14:val="tx1"/>
                  </w14:solidFill>
                </w14:textFill>
              </w:rPr>
              <w:t>1.60</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mg/L。</w:t>
            </w:r>
          </w:p>
          <w:p w14:paraId="52EDED3B">
            <w:pPr>
              <w:keepNext/>
              <w:keepLines/>
              <w:suppressLineNumbers w:val="0"/>
              <w:tabs>
                <w:tab w:val="left" w:pos="0"/>
              </w:tabs>
              <w:spacing w:before="0" w:beforeAutospacing="0" w:after="0" w:afterAutospacing="0" w:line="360" w:lineRule="auto"/>
              <w:ind w:left="0" w:right="0" w:firstLine="480" w:firstLineChars="200"/>
              <w:outlineLvl w:val="3"/>
              <w:rPr>
                <w:rFonts w:hint="default" w:ascii="Times New Roman" w:hAnsi="Times New Roman" w:eastAsia="宋体" w:cs="Times New Roman"/>
                <w:b w:val="0"/>
                <w:bCs w:val="0"/>
                <w:color w:val="000000" w:themeColor="text1"/>
                <w:sz w:val="24"/>
                <w:szCs w:val="24"/>
                <w:highlight w:val="none"/>
                <w:vertAlign w:val="baseline"/>
                <w:lang w:val="en-US"/>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vertAlign w:val="baseline"/>
                <w:lang w:val="en-US"/>
                <w14:textFill>
                  <w14:solidFill>
                    <w14:schemeClr w14:val="tx1"/>
                  </w14:solidFill>
                </w14:textFill>
              </w:rPr>
              <w:t>“</w:t>
            </w:r>
            <w:r>
              <w:rPr>
                <w:rFonts w:hint="eastAsia" w:cs="Times New Roman"/>
                <w:b w:val="0"/>
                <w:bCs w:val="0"/>
                <w:color w:val="000000" w:themeColor="text1"/>
                <w:sz w:val="24"/>
                <w:szCs w:val="24"/>
                <w:highlight w:val="none"/>
                <w:vertAlign w:val="baseline"/>
                <w:lang w:val="en-US" w:eastAsia="zh-CN"/>
                <w14:textFill>
                  <w14:solidFill>
                    <w14:schemeClr w14:val="tx1"/>
                  </w14:solidFill>
                </w14:textFill>
              </w:rPr>
              <w:t>中和调节+混凝沉淀+气浮+化学除氟</w:t>
            </w:r>
            <w:r>
              <w:rPr>
                <w:rFonts w:hint="default" w:ascii="Times New Roman" w:hAnsi="Times New Roman" w:eastAsia="宋体" w:cs="Times New Roman"/>
                <w:b w:val="0"/>
                <w:bCs w:val="0"/>
                <w:color w:val="000000" w:themeColor="text1"/>
                <w:sz w:val="24"/>
                <w:szCs w:val="24"/>
                <w:highlight w:val="none"/>
                <w:vertAlign w:val="baseline"/>
                <w:lang w:val="en-US"/>
                <w14:textFill>
                  <w14:solidFill>
                    <w14:schemeClr w14:val="tx1"/>
                  </w14:solidFill>
                </w14:textFill>
              </w:rPr>
              <w:t>”组合工艺对锆（Zr）和钛（Ti）的处理效率预计可达85%</w:t>
            </w:r>
            <w:r>
              <w:rPr>
                <w:rFonts w:hint="default" w:ascii="Times New Roman" w:hAnsi="Times New Roman" w:eastAsia="宋体" w:cs="Times New Roman"/>
                <w:b w:val="0"/>
                <w:bCs w:val="0"/>
                <w:color w:val="000000" w:themeColor="text1"/>
                <w:sz w:val="24"/>
                <w:szCs w:val="24"/>
                <w:highlight w:val="none"/>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vertAlign w:val="baseline"/>
                <w:lang w:val="en-US"/>
                <w14:textFill>
                  <w14:solidFill>
                    <w14:schemeClr w14:val="tx1"/>
                  </w14:solidFill>
                </w14:textFill>
              </w:rPr>
              <w:t>95%。中和调节通过精准控制pH（Zr:8~10，Ti:6~8），促使Zr⁴⁺和Ti⁴⁺形成难溶氢氧化物沉淀（如Zr(OH)₄、Ti(OH)₄），初步去除率约50%</w:t>
            </w:r>
            <w:r>
              <w:rPr>
                <w:rFonts w:hint="default" w:ascii="Times New Roman" w:hAnsi="Times New Roman" w:eastAsia="宋体" w:cs="Times New Roman"/>
                <w:b w:val="0"/>
                <w:bCs w:val="0"/>
                <w:color w:val="000000" w:themeColor="text1"/>
                <w:sz w:val="24"/>
                <w:szCs w:val="24"/>
                <w:highlight w:val="none"/>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vertAlign w:val="baseline"/>
                <w:lang w:val="en-US"/>
                <w14:textFill>
                  <w14:solidFill>
                    <w14:schemeClr w14:val="tx1"/>
                  </w14:solidFill>
                </w14:textFill>
              </w:rPr>
              <w:t>80%，类比氟化钙沉淀的pH依赖性（pH6.5~7.0时氟去除率&gt;90%）；混凝沉淀中铝盐（PAC）或铁盐（聚合硫酸铁）水解生成Al(OH)₃/Fe(OH)₃胶体，通过电荷中和与共沉淀吸附残留金属离子，提升效率10%</w:t>
            </w:r>
            <w:r>
              <w:rPr>
                <w:rFonts w:hint="default" w:ascii="Times New Roman" w:hAnsi="Times New Roman" w:eastAsia="宋体" w:cs="Times New Roman"/>
                <w:b w:val="0"/>
                <w:bCs w:val="0"/>
                <w:color w:val="000000" w:themeColor="text1"/>
                <w:sz w:val="24"/>
                <w:szCs w:val="24"/>
                <w:highlight w:val="none"/>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vertAlign w:val="baseline"/>
                <w:lang w:val="en-US"/>
                <w14:textFill>
                  <w14:solidFill>
                    <w14:schemeClr w14:val="tx1"/>
                  </w14:solidFill>
                </w14:textFill>
              </w:rPr>
              <w:t>30%（参考铁盐对氟的去除率&gt;96%）；气浮利用微小气泡（如电凝聚产生的H₂/O₂）强化絮体分离，减少悬浮物残留（国家科技支撑项目验证其分离优化效果），提升总去除率5%</w:t>
            </w:r>
            <w:r>
              <w:rPr>
                <w:rFonts w:hint="default" w:ascii="Times New Roman" w:hAnsi="Times New Roman" w:eastAsia="宋体" w:cs="Times New Roman"/>
                <w:b w:val="0"/>
                <w:bCs w:val="0"/>
                <w:color w:val="000000" w:themeColor="text1"/>
                <w:sz w:val="24"/>
                <w:szCs w:val="24"/>
                <w:highlight w:val="none"/>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vertAlign w:val="baseline"/>
                <w:lang w:val="en-US"/>
                <w14:textFill>
                  <w14:solidFill>
                    <w14:schemeClr w14:val="tx1"/>
                  </w14:solidFill>
                </w14:textFill>
              </w:rPr>
              <w:t>15%。</w:t>
            </w:r>
          </w:p>
          <w:p w14:paraId="3E14858C">
            <w:pPr>
              <w:keepNext/>
              <w:keepLines/>
              <w:suppressLineNumbers w:val="0"/>
              <w:tabs>
                <w:tab w:val="left" w:pos="0"/>
              </w:tabs>
              <w:spacing w:before="0" w:beforeAutospacing="0" w:after="0" w:afterAutospacing="0" w:line="360" w:lineRule="auto"/>
              <w:ind w:left="0" w:right="0" w:firstLine="480" w:firstLineChars="200"/>
              <w:outlineLvl w:val="3"/>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pPr>
            <w:r>
              <w:rPr>
                <w:rFonts w:hint="eastAsia" w:ascii="Times New Roman" w:hAnsi="Times New Roman" w:cs="Times New Roman"/>
                <w:b w:val="0"/>
                <w:bCs w:val="0"/>
                <w:color w:val="000000" w:themeColor="text1"/>
                <w:sz w:val="24"/>
                <w:szCs w:val="24"/>
                <w:highlight w:val="none"/>
                <w:vertAlign w:val="baseline"/>
                <w:lang w:val="en-US" w:eastAsia="zh-CN"/>
                <w14:textFill>
                  <w14:solidFill>
                    <w14:schemeClr w14:val="tx1"/>
                  </w14:solidFill>
                </w14:textFill>
              </w:rPr>
              <w:t>①</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pH控制与氢氧化物生成及溶解度特性</w:t>
            </w:r>
          </w:p>
          <w:p w14:paraId="4F2074F4">
            <w:pPr>
              <w:keepNext/>
              <w:keepLines/>
              <w:suppressLineNumbers w:val="0"/>
              <w:tabs>
                <w:tab w:val="left" w:pos="0"/>
              </w:tabs>
              <w:spacing w:before="0" w:beforeAutospacing="0" w:after="0" w:afterAutospacing="0" w:line="360" w:lineRule="auto"/>
              <w:ind w:left="0" w:right="0" w:firstLine="480" w:firstLineChars="200"/>
              <w:outlineLvl w:val="3"/>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pP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中和调节单元通过精准控制pH（Zr控制8~10、Ti控制6~8），促使废水中Zr</w:t>
            </w:r>
            <w:r>
              <w:rPr>
                <w:rFonts w:hint="default" w:ascii="Times New Roman" w:hAnsi="Times New Roman" w:cs="Times New Roman"/>
                <w:b w:val="0"/>
                <w:bCs w:val="0"/>
                <w:color w:val="000000" w:themeColor="text1"/>
                <w:sz w:val="24"/>
                <w:szCs w:val="24"/>
                <w:highlight w:val="none"/>
                <w:vertAlign w:val="superscript"/>
                <w:lang w:val="en-US"/>
                <w14:textFill>
                  <w14:solidFill>
                    <w14:schemeClr w14:val="tx1"/>
                  </w14:solidFill>
                </w14:textFill>
              </w:rPr>
              <w:t>4+</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、Ti</w:t>
            </w:r>
            <w:r>
              <w:rPr>
                <w:rFonts w:hint="default" w:ascii="Times New Roman" w:hAnsi="Times New Roman" w:cs="Times New Roman"/>
                <w:b w:val="0"/>
                <w:bCs w:val="0"/>
                <w:color w:val="000000" w:themeColor="text1"/>
                <w:sz w:val="24"/>
                <w:szCs w:val="24"/>
                <w:highlight w:val="none"/>
                <w:vertAlign w:val="superscript"/>
                <w:lang w:val="en-US"/>
                <w14:textFill>
                  <w14:solidFill>
                    <w14:schemeClr w14:val="tx1"/>
                  </w14:solidFill>
                </w14:textFill>
              </w:rPr>
              <w:t>4+</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水解生成难溶氢氧化物Zr(OH)</w:t>
            </w:r>
            <w:r>
              <w:rPr>
                <w:rFonts w:hint="default" w:ascii="Times New Roman" w:hAnsi="Times New Roman" w:cs="Times New Roman"/>
                <w:b w:val="0"/>
                <w:bCs w:val="0"/>
                <w:color w:val="000000" w:themeColor="text1"/>
                <w:sz w:val="24"/>
                <w:szCs w:val="24"/>
                <w:highlight w:val="none"/>
                <w:vertAlign w:val="subscript"/>
                <w:lang w:val="en-US"/>
                <w14:textFill>
                  <w14:solidFill>
                    <w14:schemeClr w14:val="tx1"/>
                  </w14:solidFill>
                </w14:textFill>
              </w:rPr>
              <w:t>4</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、Ti(OH)</w:t>
            </w:r>
            <w:r>
              <w:rPr>
                <w:rFonts w:hint="default" w:ascii="Times New Roman" w:hAnsi="Times New Roman" w:cs="Times New Roman"/>
                <w:b w:val="0"/>
                <w:bCs w:val="0"/>
                <w:color w:val="000000" w:themeColor="text1"/>
                <w:sz w:val="24"/>
                <w:szCs w:val="24"/>
                <w:highlight w:val="none"/>
                <w:vertAlign w:val="subscript"/>
                <w:lang w:val="en-US"/>
                <w14:textFill>
                  <w14:solidFill>
                    <w14:schemeClr w14:val="tx1"/>
                  </w14:solidFill>
                </w14:textFill>
              </w:rPr>
              <w:t>4</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w:t>
            </w:r>
          </w:p>
          <w:p w14:paraId="6DC24557">
            <w:pPr>
              <w:keepNext/>
              <w:keepLines/>
              <w:suppressLineNumbers w:val="0"/>
              <w:tabs>
                <w:tab w:val="left" w:pos="0"/>
              </w:tabs>
              <w:spacing w:before="0" w:beforeAutospacing="0" w:after="0" w:afterAutospacing="0" w:line="360" w:lineRule="auto"/>
              <w:ind w:left="0" w:right="0" w:firstLine="480" w:firstLineChars="200"/>
              <w:outlineLvl w:val="3"/>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pP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溶解度关键参数：</w:t>
            </w:r>
          </w:p>
          <w:p w14:paraId="4B5D6491">
            <w:pPr>
              <w:keepNext/>
              <w:keepLines/>
              <w:suppressLineNumbers w:val="0"/>
              <w:tabs>
                <w:tab w:val="left" w:pos="0"/>
              </w:tabs>
              <w:spacing w:before="0" w:beforeAutospacing="0" w:after="0" w:afterAutospacing="0" w:line="360" w:lineRule="auto"/>
              <w:ind w:left="0" w:right="0" w:firstLine="480" w:firstLineChars="200"/>
              <w:outlineLvl w:val="3"/>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pP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Zr(OH)</w:t>
            </w:r>
            <w:r>
              <w:rPr>
                <w:rFonts w:hint="default" w:ascii="Times New Roman" w:hAnsi="Times New Roman" w:cs="Times New Roman"/>
                <w:b w:val="0"/>
                <w:bCs w:val="0"/>
                <w:color w:val="000000" w:themeColor="text1"/>
                <w:sz w:val="24"/>
                <w:szCs w:val="24"/>
                <w:highlight w:val="none"/>
                <w:vertAlign w:val="subscript"/>
                <w:lang w:val="en-US"/>
                <w14:textFill>
                  <w14:solidFill>
                    <w14:schemeClr w14:val="tx1"/>
                  </w14:solidFill>
                </w14:textFill>
              </w:rPr>
              <w:t>4</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溶度积K</w:t>
            </w:r>
            <w:r>
              <w:rPr>
                <w:rFonts w:hint="default" w:ascii="Times New Roman" w:hAnsi="Times New Roman" w:cs="Times New Roman"/>
                <w:b w:val="0"/>
                <w:bCs w:val="0"/>
                <w:color w:val="000000" w:themeColor="text1"/>
                <w:sz w:val="24"/>
                <w:szCs w:val="24"/>
                <w:highlight w:val="none"/>
                <w:vertAlign w:val="subscript"/>
                <w:lang w:val="en-US"/>
                <w14:textFill>
                  <w14:solidFill>
                    <w14:schemeClr w14:val="tx1"/>
                  </w14:solidFill>
                </w14:textFill>
              </w:rPr>
              <w:t>sp</w:t>
            </w:r>
            <w:r>
              <w:rPr>
                <w:rFonts w:hint="eastAsia" w:ascii="Times New Roman" w:hAnsi="Times New Roman" w:cs="Times New Roman"/>
                <w:b w:val="0"/>
                <w:bCs w:val="0"/>
                <w:color w:val="000000" w:themeColor="text1"/>
                <w:sz w:val="24"/>
                <w:szCs w:val="24"/>
                <w:highlight w:val="none"/>
                <w:vertAlign w:val="baseline"/>
                <w:lang w:val="en-US" w:eastAsia="zh-CN"/>
                <w14:textFill>
                  <w14:solidFill>
                    <w14:schemeClr w14:val="tx1"/>
                  </w14:solidFill>
                </w14:textFill>
              </w:rPr>
              <w:t>≈</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10</w:t>
            </w:r>
            <w:r>
              <w:rPr>
                <w:rFonts w:hint="default" w:ascii="Times New Roman" w:hAnsi="Times New Roman" w:cs="Times New Roman"/>
                <w:b w:val="0"/>
                <w:bCs w:val="0"/>
                <w:color w:val="000000" w:themeColor="text1"/>
                <w:sz w:val="24"/>
                <w:szCs w:val="24"/>
                <w:highlight w:val="none"/>
                <w:vertAlign w:val="superscript"/>
                <w:lang w:val="en-US"/>
                <w14:textFill>
                  <w14:solidFill>
                    <w14:schemeClr w14:val="tx1"/>
                  </w14:solidFill>
                </w14:textFill>
              </w:rPr>
              <w:t>-54</w:t>
            </w:r>
            <w:r>
              <w:rPr>
                <w:rFonts w:hint="eastAsia" w:ascii="Times New Roman" w:hAnsi="Times New Roman" w:cs="Times New Roman"/>
                <w:b w:val="0"/>
                <w:bCs w:val="0"/>
                <w:color w:val="000000" w:themeColor="text1"/>
                <w:sz w:val="24"/>
                <w:szCs w:val="24"/>
                <w:highlight w:val="none"/>
                <w:vertAlign w:val="baseline"/>
                <w:lang w:val="en-US" w:eastAsia="zh-CN"/>
                <w14:textFill>
                  <w14:solidFill>
                    <w14:schemeClr w14:val="tx1"/>
                  </w14:solidFill>
                </w14:textFill>
              </w:rPr>
              <w:t>~</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10</w:t>
            </w:r>
            <w:r>
              <w:rPr>
                <w:rFonts w:hint="default" w:ascii="Times New Roman" w:hAnsi="Times New Roman" w:cs="Times New Roman"/>
                <w:b w:val="0"/>
                <w:bCs w:val="0"/>
                <w:color w:val="000000" w:themeColor="text1"/>
                <w:sz w:val="24"/>
                <w:szCs w:val="24"/>
                <w:highlight w:val="none"/>
                <w:vertAlign w:val="superscript"/>
                <w:lang w:val="en-US"/>
                <w14:textFill>
                  <w14:solidFill>
                    <w14:schemeClr w14:val="tx1"/>
                  </w14:solidFill>
                </w14:textFill>
              </w:rPr>
              <w:t>-56</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，中性至弱碱性条件下溶解度极低，饱和残留浓度＜0.1 mg/L；</w:t>
            </w:r>
          </w:p>
          <w:p w14:paraId="6B9BAEE7">
            <w:pPr>
              <w:keepNext/>
              <w:keepLines/>
              <w:suppressLineNumbers w:val="0"/>
              <w:tabs>
                <w:tab w:val="left" w:pos="0"/>
              </w:tabs>
              <w:spacing w:before="0" w:beforeAutospacing="0" w:after="0" w:afterAutospacing="0" w:line="360" w:lineRule="auto"/>
              <w:ind w:left="0" w:right="0" w:firstLine="480" w:firstLineChars="200"/>
              <w:outlineLvl w:val="3"/>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pP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Ti(OH)</w:t>
            </w:r>
            <w:r>
              <w:rPr>
                <w:rFonts w:hint="default" w:ascii="Times New Roman" w:hAnsi="Times New Roman" w:cs="Times New Roman"/>
                <w:b w:val="0"/>
                <w:bCs w:val="0"/>
                <w:color w:val="000000" w:themeColor="text1"/>
                <w:sz w:val="24"/>
                <w:szCs w:val="24"/>
                <w:highlight w:val="none"/>
                <w:vertAlign w:val="subscript"/>
                <w:lang w:val="en-US"/>
                <w14:textFill>
                  <w14:solidFill>
                    <w14:schemeClr w14:val="tx1"/>
                  </w14:solidFill>
                </w14:textFill>
              </w:rPr>
              <w:t>4</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溶度积K</w:t>
            </w:r>
            <w:r>
              <w:rPr>
                <w:rFonts w:hint="default" w:ascii="Times New Roman" w:hAnsi="Times New Roman" w:cs="Times New Roman"/>
                <w:b w:val="0"/>
                <w:bCs w:val="0"/>
                <w:color w:val="000000" w:themeColor="text1"/>
                <w:sz w:val="24"/>
                <w:szCs w:val="24"/>
                <w:highlight w:val="none"/>
                <w:vertAlign w:val="subscript"/>
                <w:lang w:val="en-US"/>
                <w14:textFill>
                  <w14:solidFill>
                    <w14:schemeClr w14:val="tx1"/>
                  </w14:solidFill>
                </w14:textFill>
              </w:rPr>
              <w:t>sp</w:t>
            </w:r>
            <w:r>
              <w:rPr>
                <w:rFonts w:hint="eastAsia" w:ascii="Times New Roman" w:hAnsi="Times New Roman" w:cs="Times New Roman"/>
                <w:b w:val="0"/>
                <w:bCs w:val="0"/>
                <w:color w:val="000000" w:themeColor="text1"/>
                <w:sz w:val="24"/>
                <w:szCs w:val="24"/>
                <w:highlight w:val="none"/>
                <w:vertAlign w:val="baseline"/>
                <w:lang w:val="en-US" w:eastAsia="zh-CN"/>
                <w14:textFill>
                  <w14:solidFill>
                    <w14:schemeClr w14:val="tx1"/>
                  </w14:solidFill>
                </w14:textFill>
              </w:rPr>
              <w:t>≈</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10</w:t>
            </w:r>
            <w:r>
              <w:rPr>
                <w:rFonts w:hint="default" w:ascii="Times New Roman" w:hAnsi="Times New Roman" w:cs="Times New Roman"/>
                <w:b w:val="0"/>
                <w:bCs w:val="0"/>
                <w:color w:val="000000" w:themeColor="text1"/>
                <w:sz w:val="24"/>
                <w:szCs w:val="24"/>
                <w:highlight w:val="none"/>
                <w:vertAlign w:val="superscript"/>
                <w:lang w:val="en-US"/>
                <w14:textFill>
                  <w14:solidFill>
                    <w14:schemeClr w14:val="tx1"/>
                  </w14:solidFill>
                </w14:textFill>
              </w:rPr>
              <w:t>-5</w:t>
            </w:r>
            <w:r>
              <w:rPr>
                <w:rFonts w:hint="eastAsia" w:ascii="Times New Roman" w:hAnsi="Times New Roman" w:cs="Times New Roman"/>
                <w:b w:val="0"/>
                <w:bCs w:val="0"/>
                <w:color w:val="000000" w:themeColor="text1"/>
                <w:sz w:val="24"/>
                <w:szCs w:val="24"/>
                <w:highlight w:val="none"/>
                <w:vertAlign w:val="superscript"/>
                <w:lang w:val="en-US" w:eastAsia="zh-CN"/>
                <w14:textFill>
                  <w14:solidFill>
                    <w14:schemeClr w14:val="tx1"/>
                  </w14:solidFill>
                </w14:textFill>
              </w:rPr>
              <w:t>0</w:t>
            </w:r>
            <w:r>
              <w:rPr>
                <w:rFonts w:hint="eastAsia" w:ascii="Times New Roman" w:hAnsi="Times New Roman" w:cs="Times New Roman"/>
                <w:b w:val="0"/>
                <w:bCs w:val="0"/>
                <w:color w:val="000000" w:themeColor="text1"/>
                <w:sz w:val="24"/>
                <w:szCs w:val="24"/>
                <w:highlight w:val="none"/>
                <w:vertAlign w:val="baseline"/>
                <w:lang w:val="en-US" w:eastAsia="zh-CN"/>
                <w14:textFill>
                  <w14:solidFill>
                    <w14:schemeClr w14:val="tx1"/>
                  </w14:solidFill>
                </w14:textFill>
              </w:rPr>
              <w:t>~</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10</w:t>
            </w:r>
            <w:r>
              <w:rPr>
                <w:rFonts w:hint="default" w:ascii="Times New Roman" w:hAnsi="Times New Roman" w:cs="Times New Roman"/>
                <w:b w:val="0"/>
                <w:bCs w:val="0"/>
                <w:color w:val="000000" w:themeColor="text1"/>
                <w:sz w:val="24"/>
                <w:szCs w:val="24"/>
                <w:highlight w:val="none"/>
                <w:vertAlign w:val="superscript"/>
                <w:lang w:val="en-US"/>
                <w14:textFill>
                  <w14:solidFill>
                    <w14:schemeClr w14:val="tx1"/>
                  </w14:solidFill>
                </w14:textFill>
              </w:rPr>
              <w:t>-5</w:t>
            </w:r>
            <w:r>
              <w:rPr>
                <w:rFonts w:hint="eastAsia" w:ascii="Times New Roman" w:hAnsi="Times New Roman" w:cs="Times New Roman"/>
                <w:b w:val="0"/>
                <w:bCs w:val="0"/>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，在pH 6~8范围内几乎完全以固相沉淀形式存在，水溶性可忽略。</w:t>
            </w:r>
          </w:p>
          <w:p w14:paraId="45F133FF">
            <w:pPr>
              <w:keepNext/>
              <w:keepLines/>
              <w:suppressLineNumbers w:val="0"/>
              <w:tabs>
                <w:tab w:val="left" w:pos="0"/>
              </w:tabs>
              <w:spacing w:before="0" w:beforeAutospacing="0" w:after="0" w:afterAutospacing="0" w:line="360" w:lineRule="auto"/>
              <w:ind w:left="0" w:right="0" w:firstLine="480" w:firstLineChars="200"/>
              <w:outlineLvl w:val="3"/>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pP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二者均属于高难溶金属氢氧化物，pH调控达标后具备自发沉淀分离的物化基础，该单元对Zr、Ti初步去除率约50%～80%，可类比氟化钙沉淀pH依赖性（pH6.5~7.0时氟去除率＞90%）。</w:t>
            </w:r>
          </w:p>
          <w:p w14:paraId="3E39BA23">
            <w:pPr>
              <w:keepNext/>
              <w:keepLines/>
              <w:suppressLineNumbers w:val="0"/>
              <w:tabs>
                <w:tab w:val="left" w:pos="0"/>
              </w:tabs>
              <w:spacing w:before="0" w:beforeAutospacing="0" w:after="0" w:afterAutospacing="0" w:line="360" w:lineRule="auto"/>
              <w:ind w:left="0" w:right="0" w:firstLine="480" w:firstLineChars="200"/>
              <w:outlineLvl w:val="3"/>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pP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 xml:space="preserve"> </w:t>
            </w:r>
            <w:r>
              <w:rPr>
                <w:rFonts w:hint="eastAsia" w:ascii="Times New Roman" w:hAnsi="Times New Roman" w:cs="Times New Roman"/>
                <w:b w:val="0"/>
                <w:bCs w:val="0"/>
                <w:color w:val="000000" w:themeColor="text1"/>
                <w:sz w:val="24"/>
                <w:szCs w:val="24"/>
                <w:highlight w:val="none"/>
                <w:vertAlign w:val="baseline"/>
                <w:lang w:val="en-US" w:eastAsia="zh-CN"/>
                <w14:textFill>
                  <w14:solidFill>
                    <w14:schemeClr w14:val="tx1"/>
                  </w14:solidFill>
                </w14:textFill>
              </w:rPr>
              <w:t>②</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结合水力停留时间，明确氢氧化物沉淀时长匹配性</w:t>
            </w:r>
          </w:p>
          <w:p w14:paraId="06A00564">
            <w:pPr>
              <w:keepNext/>
              <w:keepLines/>
              <w:suppressLineNumbers w:val="0"/>
              <w:tabs>
                <w:tab w:val="left" w:pos="0"/>
              </w:tabs>
              <w:spacing w:before="0" w:beforeAutospacing="0" w:after="0" w:afterAutospacing="0" w:line="360" w:lineRule="auto"/>
              <w:ind w:left="0" w:right="0" w:firstLine="480" w:firstLineChars="200"/>
              <w:outlineLvl w:val="3"/>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pP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 xml:space="preserve"> 整套工艺各单元水力停留时间（HRT） 按沉淀分离需求优化配置，保障氢氧化物絮体充分沉降： </w:t>
            </w:r>
          </w:p>
          <w:p w14:paraId="7D84B741">
            <w:pPr>
              <w:keepNext/>
              <w:keepLines/>
              <w:suppressLineNumbers w:val="0"/>
              <w:tabs>
                <w:tab w:val="left" w:pos="0"/>
              </w:tabs>
              <w:spacing w:before="0" w:beforeAutospacing="0" w:after="0" w:afterAutospacing="0" w:line="360" w:lineRule="auto"/>
              <w:ind w:left="0" w:right="0" w:firstLine="480" w:firstLineChars="200"/>
              <w:outlineLvl w:val="3"/>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pPr>
            <w:r>
              <w:rPr>
                <w:rFonts w:hint="eastAsia" w:ascii="Times New Roman" w:hAnsi="Times New Roman" w:cs="Times New Roman"/>
                <w:b w:val="0"/>
                <w:bCs w:val="0"/>
                <w:color w:val="000000" w:themeColor="text1"/>
                <w:sz w:val="24"/>
                <w:szCs w:val="24"/>
                <w:highlight w:val="none"/>
                <w:vertAlign w:val="baseline"/>
                <w:lang w:val="en-US" w:eastAsia="zh-CN"/>
                <w14:textFill>
                  <w14:solidFill>
                    <w14:schemeClr w14:val="tx1"/>
                  </w14:solidFill>
                </w14:textFill>
              </w:rPr>
              <w:t>a</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.中和调节池HRT：设置30～40 min，满足Zr⁴⁺、Ti⁴⁺充分水解络合、生成微细氢氧化物晶核及初生絮体的反应时间；</w:t>
            </w:r>
          </w:p>
          <w:p w14:paraId="514590EB">
            <w:pPr>
              <w:keepNext/>
              <w:keepLines/>
              <w:suppressLineNumbers w:val="0"/>
              <w:tabs>
                <w:tab w:val="left" w:pos="0"/>
              </w:tabs>
              <w:spacing w:before="0" w:beforeAutospacing="0" w:after="0" w:afterAutospacing="0" w:line="360" w:lineRule="auto"/>
              <w:ind w:left="0" w:right="0" w:firstLine="480" w:firstLineChars="200"/>
              <w:outlineLvl w:val="3"/>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pPr>
            <w:r>
              <w:rPr>
                <w:rFonts w:hint="eastAsia" w:ascii="Times New Roman" w:hAnsi="Times New Roman" w:cs="Times New Roman"/>
                <w:b w:val="0"/>
                <w:bCs w:val="0"/>
                <w:color w:val="000000" w:themeColor="text1"/>
                <w:sz w:val="24"/>
                <w:szCs w:val="24"/>
                <w:highlight w:val="none"/>
                <w:vertAlign w:val="baseline"/>
                <w:lang w:val="en-US" w:eastAsia="zh-CN"/>
                <w14:textFill>
                  <w14:solidFill>
                    <w14:schemeClr w14:val="tx1"/>
                  </w14:solidFill>
                </w14:textFill>
              </w:rPr>
              <w:t>b</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.混凝沉淀池HRT：总停留时间60～90 min，其中絮凝反应段15～20 min、斜管沉淀段静置沉降45～70 min，给Zr(OH)</w:t>
            </w:r>
            <w:r>
              <w:rPr>
                <w:rFonts w:hint="default" w:ascii="Times New Roman" w:hAnsi="Times New Roman" w:cs="Times New Roman"/>
                <w:b w:val="0"/>
                <w:bCs w:val="0"/>
                <w:color w:val="000000" w:themeColor="text1"/>
                <w:sz w:val="24"/>
                <w:szCs w:val="24"/>
                <w:highlight w:val="none"/>
                <w:vertAlign w:val="subscript"/>
                <w:lang w:val="en-US"/>
                <w14:textFill>
                  <w14:solidFill>
                    <w14:schemeClr w14:val="tx1"/>
                  </w14:solidFill>
                </w14:textFill>
              </w:rPr>
              <w:t>4</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、Ti(OH)</w:t>
            </w:r>
            <w:r>
              <w:rPr>
                <w:rFonts w:hint="default" w:ascii="Times New Roman" w:hAnsi="Times New Roman" w:cs="Times New Roman"/>
                <w:b w:val="0"/>
                <w:bCs w:val="0"/>
                <w:color w:val="000000" w:themeColor="text1"/>
                <w:sz w:val="24"/>
                <w:szCs w:val="24"/>
                <w:highlight w:val="none"/>
                <w:vertAlign w:val="subscript"/>
                <w:lang w:val="en-US"/>
                <w14:textFill>
                  <w14:solidFill>
                    <w14:schemeClr w14:val="tx1"/>
                  </w14:solidFill>
                </w14:textFill>
              </w:rPr>
              <w:t>4</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微细絮体提供充足的重力沉降时长，避免因停留时间不足导致细微颗粒随出水流失；</w:t>
            </w:r>
          </w:p>
          <w:p w14:paraId="2D009844">
            <w:pPr>
              <w:keepNext/>
              <w:keepLines/>
              <w:suppressLineNumbers w:val="0"/>
              <w:tabs>
                <w:tab w:val="left" w:pos="0"/>
              </w:tabs>
              <w:spacing w:before="0" w:beforeAutospacing="0" w:after="0" w:afterAutospacing="0" w:line="360" w:lineRule="auto"/>
              <w:ind w:left="0" w:right="0" w:firstLine="480" w:firstLineChars="200"/>
              <w:outlineLvl w:val="3"/>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pPr>
            <w:r>
              <w:rPr>
                <w:rFonts w:hint="eastAsia" w:ascii="Times New Roman" w:hAnsi="Times New Roman" w:cs="Times New Roman"/>
                <w:b w:val="0"/>
                <w:bCs w:val="0"/>
                <w:color w:val="000000" w:themeColor="text1"/>
                <w:sz w:val="24"/>
                <w:szCs w:val="24"/>
                <w:highlight w:val="none"/>
                <w:vertAlign w:val="baseline"/>
                <w:lang w:val="en-US" w:eastAsia="zh-CN"/>
                <w14:textFill>
                  <w14:solidFill>
                    <w14:schemeClr w14:val="tx1"/>
                  </w14:solidFill>
                </w14:textFill>
              </w:rPr>
              <w:t>c</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.后续气浮单元HRT 20～30 min，针对未完全沉降的超细氢氧化物絮体进行气泡粘附上浮分离，作为沉淀工序的补充保障。</w:t>
            </w:r>
          </w:p>
          <w:p w14:paraId="64FDAAF1">
            <w:pPr>
              <w:keepNext/>
              <w:keepLines/>
              <w:suppressLineNumbers w:val="0"/>
              <w:tabs>
                <w:tab w:val="left" w:pos="0"/>
              </w:tabs>
              <w:spacing w:before="0" w:beforeAutospacing="0" w:after="0" w:afterAutospacing="0" w:line="360" w:lineRule="auto"/>
              <w:ind w:left="0" w:right="0" w:firstLine="480" w:firstLineChars="200"/>
              <w:outlineLvl w:val="3"/>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pP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整体工艺HRT配置可完全匹配Zr(OH)₄、Ti(OH)₄的沉降动力学要求，不存在生成氢氧化物后因停留时间不足无法有效沉淀的问题。</w:t>
            </w:r>
          </w:p>
          <w:p w14:paraId="06CCD6A5">
            <w:pPr>
              <w:keepNext/>
              <w:keepLines/>
              <w:suppressLineNumbers w:val="0"/>
              <w:tabs>
                <w:tab w:val="left" w:pos="0"/>
              </w:tabs>
              <w:spacing w:before="0" w:beforeAutospacing="0" w:after="0" w:afterAutospacing="0" w:line="360" w:lineRule="auto"/>
              <w:ind w:left="0" w:right="0" w:firstLine="480" w:firstLineChars="200"/>
              <w:outlineLvl w:val="3"/>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pPr>
            <w:r>
              <w:rPr>
                <w:rFonts w:hint="eastAsia" w:ascii="Times New Roman" w:hAnsi="Times New Roman" w:cs="Times New Roman"/>
                <w:b w:val="0"/>
                <w:bCs w:val="0"/>
                <w:color w:val="000000" w:themeColor="text1"/>
                <w:sz w:val="24"/>
                <w:szCs w:val="24"/>
                <w:highlight w:val="none"/>
                <w:vertAlign w:val="baseline"/>
                <w:lang w:val="en-US" w:eastAsia="zh-CN"/>
                <w14:textFill>
                  <w14:solidFill>
                    <w14:schemeClr w14:val="tx1"/>
                  </w14:solidFill>
                </w14:textFill>
              </w:rPr>
              <w:t>③</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后续工段协同去除机理</w:t>
            </w:r>
          </w:p>
          <w:p w14:paraId="447ED8C9">
            <w:pPr>
              <w:keepNext/>
              <w:keepLines/>
              <w:suppressLineNumbers w:val="0"/>
              <w:tabs>
                <w:tab w:val="left" w:pos="0"/>
              </w:tabs>
              <w:spacing w:before="0" w:beforeAutospacing="0" w:after="0" w:afterAutospacing="0" w:line="360" w:lineRule="auto"/>
              <w:ind w:left="0" w:right="0" w:firstLine="480" w:firstLineChars="200"/>
              <w:outlineLvl w:val="3"/>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pP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混凝沉淀中投加铝盐（PAC）或铁盐（聚合硫酸铁），水解生成Al(OH)</w:t>
            </w:r>
            <w:r>
              <w:rPr>
                <w:rFonts w:hint="default" w:ascii="Times New Roman" w:hAnsi="Times New Roman" w:cs="Times New Roman"/>
                <w:b w:val="0"/>
                <w:bCs w:val="0"/>
                <w:color w:val="000000" w:themeColor="text1"/>
                <w:sz w:val="24"/>
                <w:szCs w:val="24"/>
                <w:highlight w:val="none"/>
                <w:vertAlign w:val="subscript"/>
                <w:lang w:val="en-US"/>
                <w14:textFill>
                  <w14:solidFill>
                    <w14:schemeClr w14:val="tx1"/>
                  </w14:solidFill>
                </w14:textFill>
              </w:rPr>
              <w:t>3</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、Fe(OH)</w:t>
            </w:r>
            <w:r>
              <w:rPr>
                <w:rFonts w:hint="default" w:ascii="Times New Roman" w:hAnsi="Times New Roman" w:cs="Times New Roman"/>
                <w:b w:val="0"/>
                <w:bCs w:val="0"/>
                <w:color w:val="000000" w:themeColor="text1"/>
                <w:sz w:val="24"/>
                <w:szCs w:val="24"/>
                <w:highlight w:val="none"/>
                <w:vertAlign w:val="subscript"/>
                <w:lang w:val="en-US"/>
                <w14:textFill>
                  <w14:solidFill>
                    <w14:schemeClr w14:val="tx1"/>
                  </w14:solidFill>
                </w14:textFill>
              </w:rPr>
              <w:t>3</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无机高分子胶体，通过电荷中和、网捕卷扫及共沉淀作用，吸附水体中残留微量Zr、Ti离子及未沉降微细氢氧化物颗粒，进一步提升去除效率10%～30%（参考铁盐对氟的去除率＞96%）；</w:t>
            </w:r>
          </w:p>
          <w:p w14:paraId="5F18B922">
            <w:pPr>
              <w:keepNext/>
              <w:keepLines/>
              <w:suppressLineNumbers w:val="0"/>
              <w:tabs>
                <w:tab w:val="left" w:pos="0"/>
              </w:tabs>
              <w:spacing w:before="0" w:beforeAutospacing="0" w:after="0" w:afterAutospacing="0" w:line="360" w:lineRule="auto"/>
              <w:ind w:left="0" w:right="0" w:firstLine="480" w:firstLineChars="200"/>
              <w:outlineLvl w:val="3"/>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pP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气浮单元利用电凝聚产生H</w:t>
            </w:r>
            <w:r>
              <w:rPr>
                <w:rFonts w:hint="default" w:ascii="Times New Roman" w:hAnsi="Times New Roman" w:cs="Times New Roman"/>
                <w:b w:val="0"/>
                <w:bCs w:val="0"/>
                <w:color w:val="000000" w:themeColor="text1"/>
                <w:sz w:val="24"/>
                <w:szCs w:val="24"/>
                <w:highlight w:val="none"/>
                <w:vertAlign w:val="subscript"/>
                <w:lang w:val="en-US"/>
                <w14:textFill>
                  <w14:solidFill>
                    <w14:schemeClr w14:val="tx1"/>
                  </w14:solidFill>
                </w14:textFill>
              </w:rPr>
              <w:t>2</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O</w:t>
            </w:r>
            <w:r>
              <w:rPr>
                <w:rFonts w:hint="default" w:ascii="Times New Roman" w:hAnsi="Times New Roman" w:cs="Times New Roman"/>
                <w:b w:val="0"/>
                <w:bCs w:val="0"/>
                <w:color w:val="000000" w:themeColor="text1"/>
                <w:sz w:val="24"/>
                <w:szCs w:val="24"/>
                <w:highlight w:val="none"/>
                <w:vertAlign w:val="subscript"/>
                <w:lang w:val="en-US"/>
                <w14:textFill>
                  <w14:solidFill>
                    <w14:schemeClr w14:val="tx1"/>
                  </w14:solidFill>
                </w14:textFill>
              </w:rPr>
              <w:t>2</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微小气泡，粘附轻质超细金属氢氧化物絮体强化固液分离，大幅减少出水悬浮物与残留金属含量（国家科技支撑项目已验证其对微细絮体的分离优化效果），提升总去除率5%～15%；</w:t>
            </w:r>
          </w:p>
          <w:p w14:paraId="386CDC3B">
            <w:pPr>
              <w:keepNext/>
              <w:keepLines/>
              <w:suppressLineNumbers w:val="0"/>
              <w:tabs>
                <w:tab w:val="left" w:pos="0"/>
              </w:tabs>
              <w:spacing w:before="0" w:beforeAutospacing="0" w:after="0" w:afterAutospacing="0" w:line="360" w:lineRule="auto"/>
              <w:ind w:left="0" w:right="0" w:firstLine="480" w:firstLineChars="200"/>
              <w:outlineLvl w:val="3"/>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pP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化学除氟单元投加钙盐（CaO、CaCl₂），解离释放Ca</w:t>
            </w:r>
            <w:r>
              <w:rPr>
                <w:rFonts w:hint="default" w:ascii="Times New Roman" w:hAnsi="Times New Roman" w:cs="Times New Roman"/>
                <w:b w:val="0"/>
                <w:bCs w:val="0"/>
                <w:color w:val="000000" w:themeColor="text1"/>
                <w:sz w:val="24"/>
                <w:szCs w:val="24"/>
                <w:highlight w:val="none"/>
                <w:vertAlign w:val="superscript"/>
                <w:lang w:val="en-US"/>
                <w14:textFill>
                  <w14:solidFill>
                    <w14:schemeClr w14:val="tx1"/>
                  </w14:solidFill>
                </w14:textFill>
              </w:rPr>
              <w:t>2+</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与F</w:t>
            </w:r>
            <w:r>
              <w:rPr>
                <w:rFonts w:hint="default" w:ascii="Times New Roman" w:hAnsi="Times New Roman" w:cs="Times New Roman"/>
                <w:b w:val="0"/>
                <w:bCs w:val="0"/>
                <w:color w:val="000000" w:themeColor="text1"/>
                <w:sz w:val="24"/>
                <w:szCs w:val="24"/>
                <w:highlight w:val="none"/>
                <w:vertAlign w:val="superscript"/>
                <w:lang w:val="en-US"/>
                <w14:textFill>
                  <w14:solidFill>
                    <w14:schemeClr w14:val="tx1"/>
                  </w14:solidFill>
                </w14:textFill>
              </w:rPr>
              <w:t>-</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生成CaF</w:t>
            </w:r>
            <w:r>
              <w:rPr>
                <w:rFonts w:hint="default" w:ascii="Times New Roman" w:hAnsi="Times New Roman" w:cs="Times New Roman"/>
                <w:b w:val="0"/>
                <w:bCs w:val="0"/>
                <w:color w:val="000000" w:themeColor="text1"/>
                <w:sz w:val="24"/>
                <w:szCs w:val="24"/>
                <w:highlight w:val="none"/>
                <w:vertAlign w:val="subscript"/>
                <w:lang w:val="en-US"/>
                <w14:textFill>
                  <w14:solidFill>
                    <w14:schemeClr w14:val="tx1"/>
                  </w14:solidFill>
                </w14:textFill>
              </w:rPr>
              <w:t>2</w:t>
            </w:r>
            <w:r>
              <w:rPr>
                <w:rFonts w:hint="default" w:ascii="Times New Roman" w:hAnsi="Times New Roman" w:cs="Times New Roman"/>
                <w:b w:val="0"/>
                <w:bCs w:val="0"/>
                <w:color w:val="000000" w:themeColor="text1"/>
                <w:sz w:val="24"/>
                <w:szCs w:val="24"/>
                <w:highlight w:val="none"/>
                <w:vertAlign w:val="baseline"/>
                <w:lang w:val="en-US"/>
                <w14:textFill>
                  <w14:solidFill>
                    <w14:schemeClr w14:val="tx1"/>
                  </w14:solidFill>
                </w14:textFill>
              </w:rPr>
              <w:t>沉淀，同时体系维持弱碱性环境，进一步稳定剩余微量Zr、Ti氢氧化物沉淀形态，深度削减污染物浓度5%～10%，依托钙盐体系对氟及重金属氢氧化物的同步稳定去除能力，保障整体出水稳定达标。</w:t>
            </w:r>
          </w:p>
          <w:p w14:paraId="016B3A7E">
            <w:pPr>
              <w:keepNext/>
              <w:keepLines/>
              <w:suppressLineNumbers w:val="0"/>
              <w:tabs>
                <w:tab w:val="left" w:pos="0"/>
              </w:tabs>
              <w:spacing w:before="0" w:beforeAutospacing="0" w:after="0" w:afterAutospacing="0" w:line="360" w:lineRule="auto"/>
              <w:ind w:left="0" w:right="0" w:firstLine="480" w:firstLineChars="200"/>
              <w:outlineLvl w:val="3"/>
              <w:rPr>
                <w:rFonts w:hint="default" w:ascii="Times New Roman" w:hAnsi="Times New Roman" w:eastAsia="宋体" w:cs="Times New Roman"/>
                <w:b w:val="0"/>
                <w:bCs w:val="0"/>
                <w:color w:val="000000" w:themeColor="text1"/>
                <w:sz w:val="24"/>
                <w:szCs w:val="24"/>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vertAlign w:val="baseline"/>
                <w:lang w:val="en-US" w:eastAsia="zh-CN"/>
                <w14:textFill>
                  <w14:solidFill>
                    <w14:schemeClr w14:val="tx1"/>
                  </w14:solidFill>
                </w14:textFill>
              </w:rPr>
              <w:t>本项目</w:t>
            </w:r>
            <w:r>
              <w:rPr>
                <w:rFonts w:hint="default" w:ascii="Times New Roman" w:hAnsi="Times New Roman" w:eastAsia="宋体" w:cs="Times New Roman"/>
                <w:b w:val="0"/>
                <w:bCs w:val="0"/>
                <w:color w:val="000000" w:themeColor="text1"/>
                <w:sz w:val="24"/>
                <w:szCs w:val="24"/>
                <w:highlight w:val="none"/>
                <w:vertAlign w:val="baseline"/>
                <w:lang w:val="en-US"/>
                <w14:textFill>
                  <w14:solidFill>
                    <w14:schemeClr w14:val="tx1"/>
                  </w14:solidFill>
                </w14:textFill>
              </w:rPr>
              <w:t>“</w:t>
            </w:r>
            <w:r>
              <w:rPr>
                <w:rFonts w:hint="eastAsia" w:cs="Times New Roman"/>
                <w:b w:val="0"/>
                <w:bCs w:val="0"/>
                <w:color w:val="000000" w:themeColor="text1"/>
                <w:sz w:val="24"/>
                <w:szCs w:val="24"/>
                <w:highlight w:val="none"/>
                <w:vertAlign w:val="baseline"/>
                <w:lang w:val="en-US" w:eastAsia="zh-CN"/>
                <w14:textFill>
                  <w14:solidFill>
                    <w14:schemeClr w14:val="tx1"/>
                  </w14:solidFill>
                </w14:textFill>
              </w:rPr>
              <w:t>中和调节+混凝沉淀+气浮+化学除氟</w:t>
            </w:r>
            <w:r>
              <w:rPr>
                <w:rFonts w:hint="default" w:ascii="Times New Roman" w:hAnsi="Times New Roman" w:eastAsia="宋体" w:cs="Times New Roman"/>
                <w:b w:val="0"/>
                <w:bCs w:val="0"/>
                <w:color w:val="000000" w:themeColor="text1"/>
                <w:sz w:val="24"/>
                <w:szCs w:val="24"/>
                <w:highlight w:val="none"/>
                <w:vertAlign w:val="baseline"/>
                <w:lang w:val="en-US"/>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vertAlign w:val="baseline"/>
                <w:lang w:val="en-US" w:eastAsia="zh-CN"/>
                <w14:textFill>
                  <w14:solidFill>
                    <w14:schemeClr w14:val="tx1"/>
                  </w14:solidFill>
                </w14:textFill>
              </w:rPr>
              <w:t>对Zr和Ti保守按80%处理效率计算。计算得出Zr和Ti排放浓度分别为</w:t>
            </w:r>
            <w:r>
              <w:rPr>
                <w:rFonts w:hint="eastAsia" w:cs="Times New Roman"/>
                <w:b w:val="0"/>
                <w:bCs w:val="0"/>
                <w:color w:val="000000" w:themeColor="text1"/>
                <w:sz w:val="24"/>
                <w:szCs w:val="24"/>
                <w:highlight w:val="none"/>
                <w:vertAlign w:val="baseline"/>
                <w:lang w:val="en-US" w:eastAsia="zh-CN"/>
                <w14:textFill>
                  <w14:solidFill>
                    <w14:schemeClr w14:val="tx1"/>
                  </w14:solidFill>
                </w14:textFill>
              </w:rPr>
              <w:t>0.48</w:t>
            </w:r>
            <w:r>
              <w:rPr>
                <w:rFonts w:hint="default" w:ascii="Times New Roman" w:hAnsi="Times New Roman" w:eastAsia="宋体" w:cs="Times New Roman"/>
                <w:b w:val="0"/>
                <w:bCs w:val="0"/>
                <w:color w:val="000000" w:themeColor="text1"/>
                <w:sz w:val="24"/>
                <w:szCs w:val="24"/>
                <w:highlight w:val="none"/>
                <w:vertAlign w:val="baseline"/>
                <w:lang w:val="en-US" w:eastAsia="zh-CN"/>
                <w14:textFill>
                  <w14:solidFill>
                    <w14:schemeClr w14:val="tx1"/>
                  </w14:solidFill>
                </w14:textFill>
              </w:rPr>
              <w:t>mg/L和</w:t>
            </w:r>
            <w:r>
              <w:rPr>
                <w:rFonts w:hint="eastAsia" w:cs="Times New Roman"/>
                <w:b w:val="0"/>
                <w:bCs w:val="0"/>
                <w:color w:val="000000" w:themeColor="text1"/>
                <w:sz w:val="24"/>
                <w:szCs w:val="24"/>
                <w:highlight w:val="none"/>
                <w:vertAlign w:val="baseline"/>
                <w:lang w:val="en-US" w:eastAsia="zh-CN"/>
                <w14:textFill>
                  <w14:solidFill>
                    <w14:schemeClr w14:val="tx1"/>
                  </w14:solidFill>
                </w14:textFill>
              </w:rPr>
              <w:t>0.32</w:t>
            </w:r>
            <w:r>
              <w:rPr>
                <w:rFonts w:hint="default" w:ascii="Times New Roman" w:hAnsi="Times New Roman" w:eastAsia="宋体" w:cs="Times New Roman"/>
                <w:b w:val="0"/>
                <w:bCs w:val="0"/>
                <w:color w:val="000000" w:themeColor="text1"/>
                <w:sz w:val="24"/>
                <w:szCs w:val="24"/>
                <w:highlight w:val="none"/>
                <w:vertAlign w:val="baseline"/>
                <w:lang w:val="en-US" w:eastAsia="zh-CN"/>
                <w14:textFill>
                  <w14:solidFill>
                    <w14:schemeClr w14:val="tx1"/>
                  </w14:solidFill>
                </w14:textFill>
              </w:rPr>
              <w:t>mg/L，此排放浓度较低，经过与其他废水混合稀释后排入园区污水处理厂再进一步处理，对外环境影响很小。</w:t>
            </w:r>
          </w:p>
          <w:p w14:paraId="2CCFAE1F">
            <w:pPr>
              <w:keepNext/>
              <w:keepLines/>
              <w:suppressLineNumbers w:val="0"/>
              <w:tabs>
                <w:tab w:val="left" w:pos="0"/>
              </w:tabs>
              <w:spacing w:before="0" w:beforeAutospacing="0" w:after="0" w:afterAutospacing="0" w:line="360" w:lineRule="auto"/>
              <w:ind w:left="0" w:right="0" w:firstLine="480" w:firstLineChars="200"/>
              <w:outlineLvl w:val="3"/>
              <w:rPr>
                <w:rFonts w:hint="default"/>
                <w:color w:val="000000" w:themeColor="text1"/>
                <w:sz w:val="24"/>
                <w:szCs w:val="32"/>
                <w:lang w:val="en-US" w:eastAsia="zh-CN"/>
                <w14:textFill>
                  <w14:solidFill>
                    <w14:schemeClr w14:val="tx1"/>
                  </w14:solidFill>
                </w14:textFill>
              </w:rPr>
            </w:pPr>
            <w:r>
              <w:rPr>
                <w:rFonts w:hint="default"/>
                <w:color w:val="000000" w:themeColor="text1"/>
                <w:sz w:val="24"/>
                <w:szCs w:val="32"/>
                <w:lang w:val="en-US" w:eastAsia="zh-CN"/>
                <w14:textFill>
                  <w14:solidFill>
                    <w14:schemeClr w14:val="tx1"/>
                  </w14:solidFill>
                </w14:textFill>
              </w:rPr>
              <w:t>为确保环境安全，并满足园区环保管理要求，建设单位应：</w:t>
            </w:r>
          </w:p>
          <w:p w14:paraId="54B1B76D">
            <w:pPr>
              <w:keepNext/>
              <w:keepLines/>
              <w:suppressLineNumbers w:val="0"/>
              <w:tabs>
                <w:tab w:val="left" w:pos="0"/>
              </w:tabs>
              <w:spacing w:before="0" w:beforeAutospacing="0" w:after="0" w:afterAutospacing="0" w:line="360" w:lineRule="auto"/>
              <w:ind w:left="0" w:right="0" w:firstLine="480" w:firstLineChars="200"/>
              <w:outlineLvl w:val="3"/>
              <w:rPr>
                <w:rFonts w:hint="default"/>
                <w:color w:val="000000" w:themeColor="text1"/>
                <w:sz w:val="24"/>
                <w:szCs w:val="32"/>
                <w:lang w:val="en-US" w:eastAsia="zh-CN"/>
                <w14:textFill>
                  <w14:solidFill>
                    <w14:schemeClr w14:val="tx1"/>
                  </w14:solidFill>
                </w14:textFill>
              </w:rPr>
            </w:pPr>
            <w:r>
              <w:rPr>
                <w:rFonts w:hint="default"/>
                <w:color w:val="000000" w:themeColor="text1"/>
                <w:sz w:val="24"/>
                <w:szCs w:val="32"/>
                <w:lang w:val="en-US" w:eastAsia="zh-CN"/>
                <w14:textFill>
                  <w14:solidFill>
                    <w14:schemeClr w14:val="tx1"/>
                  </w14:solidFill>
                </w14:textFill>
              </w:rPr>
              <w:t xml:space="preserve"> 1.  加强自建污水处理站运行管理，确保“</w:t>
            </w:r>
            <w:r>
              <w:rPr>
                <w:rFonts w:hint="eastAsia"/>
                <w:color w:val="000000" w:themeColor="text1"/>
                <w:sz w:val="24"/>
                <w:szCs w:val="32"/>
                <w:lang w:val="en-US" w:eastAsia="zh-CN"/>
                <w14:textFill>
                  <w14:solidFill>
                    <w14:schemeClr w14:val="tx1"/>
                  </w14:solidFill>
                </w14:textFill>
              </w:rPr>
              <w:t>中和调节+混凝沉淀+气浮+化学除氟</w:t>
            </w:r>
            <w:r>
              <w:rPr>
                <w:rFonts w:hint="default"/>
                <w:color w:val="000000" w:themeColor="text1"/>
                <w:sz w:val="24"/>
                <w:szCs w:val="32"/>
                <w:lang w:val="en-US" w:eastAsia="zh-CN"/>
                <w14:textFill>
                  <w14:solidFill>
                    <w14:schemeClr w14:val="tx1"/>
                  </w14:solidFill>
                </w14:textFill>
              </w:rPr>
              <w:t>”工艺对重金属的去除效率稳定在80%以上。</w:t>
            </w:r>
          </w:p>
          <w:p w14:paraId="724C0736">
            <w:pPr>
              <w:keepNext/>
              <w:keepLines/>
              <w:suppressLineNumbers w:val="0"/>
              <w:tabs>
                <w:tab w:val="left" w:pos="0"/>
              </w:tabs>
              <w:spacing w:before="0" w:beforeAutospacing="0" w:after="0" w:afterAutospacing="0" w:line="360" w:lineRule="auto"/>
              <w:ind w:left="0" w:right="0" w:firstLine="480" w:firstLineChars="200"/>
              <w:outlineLvl w:val="3"/>
              <w:rPr>
                <w:rFonts w:hint="default"/>
                <w:color w:val="000000" w:themeColor="text1"/>
                <w:sz w:val="24"/>
                <w:szCs w:val="32"/>
                <w:lang w:val="en-US" w:eastAsia="zh-CN"/>
                <w14:textFill>
                  <w14:solidFill>
                    <w14:schemeClr w14:val="tx1"/>
                  </w14:solidFill>
                </w14:textFill>
              </w:rPr>
            </w:pPr>
            <w:r>
              <w:rPr>
                <w:rFonts w:hint="default"/>
                <w:color w:val="000000" w:themeColor="text1"/>
                <w:sz w:val="24"/>
                <w:szCs w:val="32"/>
                <w:lang w:val="en-US" w:eastAsia="zh-CN"/>
                <w14:textFill>
                  <w14:solidFill>
                    <w14:schemeClr w14:val="tx1"/>
                  </w14:solidFill>
                </w14:textFill>
              </w:rPr>
              <w:t xml:space="preserve"> 2.  定期委托有资质的单位对废水排放口进行Zr、Ti的检测，并建立相关数据台账，以备日后环保检查或标准更新时追溯。</w:t>
            </w:r>
          </w:p>
          <w:p w14:paraId="3CC9E411">
            <w:pPr>
              <w:keepNext/>
              <w:keepLines/>
              <w:suppressLineNumbers w:val="0"/>
              <w:tabs>
                <w:tab w:val="left" w:pos="0"/>
              </w:tabs>
              <w:spacing w:before="0" w:beforeAutospacing="0" w:after="0" w:afterAutospacing="0" w:line="360" w:lineRule="auto"/>
              <w:ind w:left="0" w:right="0" w:firstLine="480" w:firstLineChars="200"/>
              <w:outlineLvl w:val="3"/>
              <w:rPr>
                <w:rFonts w:hint="default"/>
                <w:color w:val="000000" w:themeColor="text1"/>
                <w:lang w:val="en-US" w:eastAsia="zh-CN"/>
                <w14:textFill>
                  <w14:solidFill>
                    <w14:schemeClr w14:val="tx1"/>
                  </w14:solidFill>
                </w14:textFill>
              </w:rPr>
            </w:pPr>
            <w:r>
              <w:rPr>
                <w:rFonts w:hint="default"/>
                <w:color w:val="000000" w:themeColor="text1"/>
                <w:sz w:val="24"/>
                <w:szCs w:val="32"/>
                <w:lang w:val="en-US" w:eastAsia="zh-CN"/>
                <w14:textFill>
                  <w14:solidFill>
                    <w14:schemeClr w14:val="tx1"/>
                  </w14:solidFill>
                </w14:textFill>
              </w:rPr>
              <w:t xml:space="preserve"> 3.  将Zr、Ti纳入企业应急预案和日常环境风险管理范畴，关注其在土壤和地下水中的潜在累积风险</w:t>
            </w:r>
            <w:r>
              <w:rPr>
                <w:rFonts w:hint="default"/>
                <w:color w:val="000000" w:themeColor="text1"/>
                <w:lang w:val="en-US" w:eastAsia="zh-CN"/>
                <w14:textFill>
                  <w14:solidFill>
                    <w14:schemeClr w14:val="tx1"/>
                  </w14:solidFill>
                </w14:textFill>
              </w:rPr>
              <w:t>。</w:t>
            </w:r>
          </w:p>
          <w:p w14:paraId="46C98467">
            <w:pPr>
              <w:keepNext/>
              <w:keepLines/>
              <w:suppressLineNumbers w:val="0"/>
              <w:tabs>
                <w:tab w:val="left" w:pos="0"/>
              </w:tabs>
              <w:spacing w:before="0" w:beforeAutospacing="0" w:after="0" w:afterAutospacing="0" w:line="360" w:lineRule="auto"/>
              <w:ind w:left="0" w:right="0" w:firstLine="482" w:firstLineChars="200"/>
              <w:outlineLvl w:val="3"/>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2.2</w:t>
            </w:r>
            <w:r>
              <w:rPr>
                <w:rFonts w:hint="default" w:ascii="Times New Roman" w:hAnsi="Times New Roman" w:cs="Times New Roman"/>
                <w:b/>
                <w:bCs/>
                <w:color w:val="000000" w:themeColor="text1"/>
                <w:sz w:val="24"/>
                <w:szCs w:val="24"/>
                <w:highlight w:val="none"/>
                <w14:textFill>
                  <w14:solidFill>
                    <w14:schemeClr w14:val="tx1"/>
                  </w14:solidFill>
                </w14:textFill>
              </w:rPr>
              <w:t>废水收集处理情况</w:t>
            </w:r>
          </w:p>
          <w:p w14:paraId="58261276">
            <w:pPr>
              <w:pStyle w:val="2"/>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项目</w:t>
            </w:r>
            <w:r>
              <w:rPr>
                <w:rFonts w:hint="default" w:ascii="Times New Roman" w:hAnsi="Times New Roman" w:cs="Times New Roman"/>
                <w:color w:val="000000" w:themeColor="text1"/>
                <w:highlight w:val="none"/>
                <w:lang w:val="en-US" w:eastAsia="zh-CN"/>
                <w14:textFill>
                  <w14:solidFill>
                    <w14:schemeClr w14:val="tx1"/>
                  </w14:solidFill>
                </w14:textFill>
              </w:rPr>
              <w:t>生活污水经“三级化粪池、隔油隔渣池”处理</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达到广东省地方标准《水污染物排放限值》（DB44/26-2001）第二时段三级标准以及园区污水处理厂接管水质要求两者较严值后，</w:t>
            </w:r>
            <w:r>
              <w:rPr>
                <w:rFonts w:hint="default" w:ascii="Times New Roman" w:hAnsi="Times New Roman" w:cs="Times New Roman"/>
                <w:color w:val="000000" w:themeColor="text1"/>
                <w:sz w:val="24"/>
                <w:szCs w:val="24"/>
                <w:highlight w:val="none"/>
                <w14:textFill>
                  <w14:solidFill>
                    <w14:schemeClr w14:val="tx1"/>
                  </w14:solidFill>
                </w14:textFill>
              </w:rPr>
              <w:t>排入园区污水处理厂处理</w:t>
            </w:r>
            <w:r>
              <w:rPr>
                <w:rFonts w:hint="default" w:ascii="Times New Roman" w:hAnsi="Times New Roman" w:eastAsia="宋体" w:cs="Times New Roman"/>
                <w:snapToGrid w:val="0"/>
                <w:color w:val="000000" w:themeColor="text1"/>
                <w:kern w:val="0"/>
                <w:sz w:val="24"/>
                <w:szCs w:val="21"/>
                <w:highlight w:val="none"/>
                <w:lang w:val="en-US" w:eastAsia="zh-CN" w:bidi="ar-SA"/>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生产废水经“</w:t>
            </w:r>
            <w:r>
              <w:rPr>
                <w:rFonts w:hint="eastAsia" w:ascii="Times New Roman" w:cs="Times New Roman"/>
                <w:color w:val="000000" w:themeColor="text1"/>
                <w:highlight w:val="none"/>
                <w:lang w:eastAsia="zh-CN"/>
                <w14:textFill>
                  <w14:solidFill>
                    <w14:schemeClr w14:val="tx1"/>
                  </w14:solidFill>
                </w14:textFill>
              </w:rPr>
              <w:t>中和调节+混凝沉淀+气浮+化学除氟</w:t>
            </w:r>
            <w:r>
              <w:rPr>
                <w:rFonts w:hint="default" w:ascii="Times New Roman" w:hAnsi="Times New Roman" w:cs="Times New Roman"/>
                <w:color w:val="000000" w:themeColor="text1"/>
                <w:highlight w:val="none"/>
                <w14:textFill>
                  <w14:solidFill>
                    <w14:schemeClr w14:val="tx1"/>
                  </w14:solidFill>
                </w14:textFill>
              </w:rPr>
              <w:t>”处理</w:t>
            </w:r>
            <w:r>
              <w:rPr>
                <w:rFonts w:hint="default" w:ascii="Times New Roman" w:hAnsi="Times New Roman" w:cs="Times New Roman"/>
                <w:color w:val="000000" w:themeColor="text1"/>
                <w:highlight w:val="none"/>
                <w:lang w:val="en-US" w:eastAsia="zh-CN"/>
                <w14:textFill>
                  <w14:solidFill>
                    <w14:schemeClr w14:val="tx1"/>
                  </w14:solidFill>
                </w14:textFill>
              </w:rPr>
              <w:t>达到园区污水处理厂接管水质要求、广东省《水污染物排放限值》（DB44/26-2001）第二时段三级标准以及《电镀水污染物排放标准》（DB44/1597-2015）</w:t>
            </w:r>
            <w:r>
              <w:rPr>
                <w:rFonts w:hint="eastAsia" w:ascii="Times New Roman" w:cs="Times New Roman"/>
                <w:color w:val="000000" w:themeColor="text1"/>
                <w:highlight w:val="none"/>
                <w:lang w:val="en-US" w:eastAsia="zh-CN"/>
                <w14:textFill>
                  <w14:solidFill>
                    <w14:schemeClr w14:val="tx1"/>
                  </w14:solidFill>
                </w14:textFill>
              </w:rPr>
              <w:t>表1现有项目水污染物非珠三角排放限值200%</w:t>
            </w:r>
            <w:r>
              <w:rPr>
                <w:rFonts w:hint="default" w:ascii="Times New Roman" w:hAnsi="Times New Roman" w:cs="Times New Roman"/>
                <w:color w:val="000000" w:themeColor="text1"/>
                <w:highlight w:val="none"/>
                <w:lang w:val="en-US" w:eastAsia="zh-CN"/>
                <w14:textFill>
                  <w14:solidFill>
                    <w14:schemeClr w14:val="tx1"/>
                  </w14:solidFill>
                </w14:textFill>
              </w:rPr>
              <w:t>三者（其中总铝按表2新建项目水污染物排放限值-非珠三角地区执行）较严值要求，</w:t>
            </w:r>
            <w:r>
              <w:rPr>
                <w:rFonts w:hint="default" w:ascii="Times New Roman" w:hAnsi="Times New Roman" w:cs="Times New Roman"/>
                <w:color w:val="000000" w:themeColor="text1"/>
                <w:highlight w:val="none"/>
                <w14:textFill>
                  <w14:solidFill>
                    <w14:schemeClr w14:val="tx1"/>
                  </w14:solidFill>
                </w14:textFill>
              </w:rPr>
              <w:t>排入园区污水处理厂处理</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废水经</w:t>
            </w:r>
            <w:r>
              <w:rPr>
                <w:rFonts w:hint="default" w:ascii="Times New Roman" w:hAnsi="Times New Roman" w:cs="Times New Roman"/>
                <w:color w:val="000000" w:themeColor="text1"/>
                <w:highlight w:val="none"/>
                <w14:textFill>
                  <w14:solidFill>
                    <w14:schemeClr w14:val="tx1"/>
                  </w14:solidFill>
                </w14:textFill>
              </w:rPr>
              <w:t>园区污水处理厂处理后达到广东省《</w:t>
            </w:r>
            <w:r>
              <w:rPr>
                <w:rFonts w:hint="default" w:ascii="Times New Roman" w:hAnsi="Times New Roman" w:cs="Times New Roman"/>
                <w:color w:val="000000" w:themeColor="text1"/>
                <w:highlight w:val="none"/>
                <w:lang w:eastAsia="zh-CN"/>
                <w14:textFill>
                  <w14:solidFill>
                    <w14:schemeClr w14:val="tx1"/>
                  </w14:solidFill>
                </w14:textFill>
              </w:rPr>
              <w:t>水污染物排放限值</w:t>
            </w:r>
            <w:r>
              <w:rPr>
                <w:rFonts w:hint="default" w:ascii="Times New Roman" w:hAnsi="Times New Roman" w:cs="Times New Roman"/>
                <w:color w:val="000000" w:themeColor="text1"/>
                <w:highlight w:val="none"/>
                <w14:textFill>
                  <w14:solidFill>
                    <w14:schemeClr w14:val="tx1"/>
                  </w14:solidFill>
                </w14:textFill>
              </w:rPr>
              <w:t>》（DB44/26-2001）第二时段一级标准和《城镇污水处理厂污染物排放标准》（</w:t>
            </w:r>
            <w:r>
              <w:rPr>
                <w:rFonts w:hint="eastAsia" w:ascii="Times New Roman" w:cs="Times New Roman"/>
                <w:color w:val="000000" w:themeColor="text1"/>
                <w:highlight w:val="none"/>
                <w:lang w:eastAsia="zh-CN"/>
                <w14:textFill>
                  <w14:solidFill>
                    <w14:schemeClr w14:val="tx1"/>
                  </w14:solidFill>
                </w14:textFill>
              </w:rPr>
              <w:t>GB18918-2002</w:t>
            </w:r>
            <w:r>
              <w:rPr>
                <w:rFonts w:hint="default" w:ascii="Times New Roman" w:hAnsi="Times New Roman" w:cs="Times New Roman"/>
                <w:color w:val="000000" w:themeColor="text1"/>
                <w:highlight w:val="none"/>
                <w14:textFill>
                  <w14:solidFill>
                    <w14:schemeClr w14:val="tx1"/>
                  </w14:solidFill>
                </w14:textFill>
              </w:rPr>
              <w:t>）一级B标准中严者后</w:t>
            </w:r>
            <w:r>
              <w:rPr>
                <w:rFonts w:hint="default" w:ascii="Times New Roman" w:hAnsi="Times New Roman" w:cs="Times New Roman"/>
                <w:color w:val="000000" w:themeColor="text1"/>
                <w:highlight w:val="none"/>
                <w:lang w:eastAsia="zh-CN"/>
                <w14:textFill>
                  <w14:solidFill>
                    <w14:schemeClr w14:val="tx1"/>
                  </w14:solidFill>
                </w14:textFill>
              </w:rPr>
              <w:t>排</w:t>
            </w:r>
            <w:r>
              <w:rPr>
                <w:rFonts w:hint="default" w:ascii="Times New Roman" w:hAnsi="Times New Roman" w:cs="Times New Roman"/>
                <w:color w:val="000000" w:themeColor="text1"/>
                <w:highlight w:val="none"/>
                <w14:textFill>
                  <w14:solidFill>
                    <w14:schemeClr w14:val="tx1"/>
                  </w14:solidFill>
                </w14:textFill>
              </w:rPr>
              <w:t>入武江。</w:t>
            </w:r>
          </w:p>
          <w:p w14:paraId="4D3D8F43">
            <w:pPr>
              <w:pStyle w:val="2"/>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生产废水处理工艺流程如下图所示：</w:t>
            </w:r>
          </w:p>
          <w:p w14:paraId="7E841026">
            <w:pPr>
              <w:pStyle w:val="2"/>
              <w:keepNext w:val="0"/>
              <w:keepLines w:val="0"/>
              <w:pageBreakBefore w:val="0"/>
              <w:widowControl w:val="0"/>
              <w:suppressLineNumbers w:val="0"/>
              <w:kinsoku/>
              <w:wordWrap/>
              <w:overflowPunct/>
              <w:topLinePunct w:val="0"/>
              <w:bidi w:val="0"/>
              <w:snapToGrid w:val="0"/>
              <w:spacing w:before="0" w:beforeAutospacing="0" w:after="0" w:afterAutospacing="0"/>
              <w:ind w:left="0" w:right="0"/>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object>
                <v:shape id="_x0000_i1029" o:spt="75" type="#_x0000_t75" style="height:77.05pt;width:420.1pt;" o:ole="t" filled="f" o:preferrelative="t" stroked="f" coordsize="21600,21600">
                  <v:path/>
                  <v:fill on="f" focussize="0,0"/>
                  <v:stroke on="f"/>
                  <v:imagedata r:id="rId31" o:title=""/>
                  <o:lock v:ext="edit" aspectratio="f"/>
                  <w10:wrap type="none"/>
                  <w10:anchorlock/>
                </v:shape>
                <o:OLEObject Type="Embed" ProgID="Visio.Drawing.15" ShapeID="_x0000_i1029" DrawAspect="Content" ObjectID="_1468075729" r:id="rId30">
                  <o:LockedField>false</o:LockedField>
                </o:OLEObject>
              </w:object>
            </w:r>
          </w:p>
          <w:p w14:paraId="0287B256">
            <w:pPr>
              <w:keepNext/>
              <w:keepLines/>
              <w:pageBreakBefore w:val="0"/>
              <w:widowControl w:val="0"/>
              <w:numPr>
                <w:ilvl w:val="0"/>
                <w:numId w:val="0"/>
              </w:numPr>
              <w:suppressLineNumbers w:val="0"/>
              <w:tabs>
                <w:tab w:val="left" w:pos="0"/>
              </w:tabs>
              <w:kinsoku/>
              <w:wordWrap/>
              <w:overflowPunct/>
              <w:topLinePunct w:val="0"/>
              <w:bidi w:val="0"/>
              <w:snapToGrid w:val="0"/>
              <w:spacing w:before="0" w:beforeAutospacing="0" w:after="0" w:afterAutospacing="0"/>
              <w:ind w:left="0" w:leftChars="0" w:right="0" w:rightChars="0" w:firstLine="0" w:firstLineChars="0"/>
              <w:jc w:val="center"/>
              <w:textAlignment w:val="auto"/>
              <w:outlineLvl w:val="3"/>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图4-</w:t>
            </w:r>
            <w:r>
              <w:rPr>
                <w:rFonts w:hint="eastAsia" w:cs="Times New Roman"/>
                <w:b/>
                <w:bCs/>
                <w:color w:val="000000" w:themeColor="text1"/>
                <w:kern w:val="2"/>
                <w:sz w:val="21"/>
                <w:szCs w:val="21"/>
                <w:lang w:val="en-US" w:eastAsia="zh-CN" w:bidi="ar-SA"/>
                <w14:textFill>
                  <w14:solidFill>
                    <w14:schemeClr w14:val="tx1"/>
                  </w14:solidFill>
                </w14:textFill>
              </w:rPr>
              <w:t xml:space="preserve">3 </w:t>
            </w:r>
            <w:r>
              <w:rPr>
                <w:rFonts w:hint="default" w:ascii="Times New Roman" w:hAnsi="Times New Roman" w:cs="Times New Roman"/>
                <w:b/>
                <w:bCs/>
                <w:color w:val="000000" w:themeColor="text1"/>
                <w:sz w:val="21"/>
                <w:szCs w:val="21"/>
                <w:highlight w:val="none"/>
                <w14:textFill>
                  <w14:solidFill>
                    <w14:schemeClr w14:val="tx1"/>
                  </w14:solidFill>
                </w14:textFill>
              </w:rPr>
              <w:t>项目生产废水处理</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工艺</w:t>
            </w:r>
            <w:r>
              <w:rPr>
                <w:rFonts w:hint="default" w:ascii="Times New Roman" w:hAnsi="Times New Roman" w:cs="Times New Roman"/>
                <w:b/>
                <w:bCs/>
                <w:color w:val="000000" w:themeColor="text1"/>
                <w:sz w:val="21"/>
                <w:szCs w:val="21"/>
                <w:highlight w:val="none"/>
                <w14:textFill>
                  <w14:solidFill>
                    <w14:schemeClr w14:val="tx1"/>
                  </w14:solidFill>
                </w14:textFill>
              </w:rPr>
              <w:t>流程图</w:t>
            </w:r>
          </w:p>
          <w:p w14:paraId="140D5326">
            <w:pPr>
              <w:keepNext/>
              <w:keepLines/>
              <w:suppressLineNumbers w:val="0"/>
              <w:tabs>
                <w:tab w:val="left" w:pos="0"/>
              </w:tabs>
              <w:spacing w:before="0" w:beforeAutospacing="0" w:after="0" w:afterAutospacing="0" w:line="360" w:lineRule="auto"/>
              <w:ind w:left="0" w:right="0" w:firstLine="482" w:firstLineChars="200"/>
              <w:outlineLvl w:val="3"/>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default" w:ascii="Times New Roman" w:hAnsi="Times New Roman" w:cs="Times New Roman"/>
                <w:b/>
                <w:bCs/>
                <w:color w:val="000000" w:themeColor="text1"/>
                <w:sz w:val="24"/>
                <w:szCs w:val="24"/>
                <w:highlight w:val="none"/>
                <w14:textFill>
                  <w14:solidFill>
                    <w14:schemeClr w14:val="tx1"/>
                  </w14:solidFill>
                </w14:textFill>
              </w:rPr>
              <w:t>工艺说明：</w:t>
            </w:r>
          </w:p>
          <w:p w14:paraId="38294239">
            <w:pPr>
              <w:keepNext w:val="0"/>
              <w:keepLines w:val="0"/>
              <w:widowControl/>
              <w:suppressLineNumbers w:val="0"/>
              <w:spacing w:before="0" w:beforeAutospacing="0" w:after="0" w:afterAutospacing="0" w:line="360" w:lineRule="auto"/>
              <w:ind w:left="0" w:right="0" w:firstLine="482" w:firstLineChars="200"/>
              <w:jc w:val="left"/>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①中和调节池</w:t>
            </w:r>
          </w:p>
          <w:p w14:paraId="442AF820">
            <w:pPr>
              <w:keepNext/>
              <w:keepLines/>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outlineLvl w:val="3"/>
              <w:rPr>
                <w:rFonts w:hint="default" w:ascii="Times New Roman" w:hAnsi="Times New Roman" w:eastAsia="宋体" w:cs="Times New Roman"/>
                <w:i w:val="0"/>
                <w:iCs w:val="0"/>
                <w:caps w:val="0"/>
                <w:color w:val="000000" w:themeColor="text1"/>
                <w:spacing w:val="0"/>
                <w:sz w:val="24"/>
                <w:szCs w:val="24"/>
                <w:highlight w:val="none"/>
                <w:shd w:val="clear" w:color="auto" w:fill="FFFFFF"/>
                <w:lang w:val="en-US" w:eastAsia="zh-CN"/>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4"/>
                <w:szCs w:val="24"/>
                <w:highlight w:val="none"/>
                <w:shd w:val="clear" w:color="auto" w:fill="FFFFFF"/>
                <w14:textFill>
                  <w14:solidFill>
                    <w14:schemeClr w14:val="tx1"/>
                  </w14:solidFill>
                </w14:textFill>
              </w:rPr>
              <w:t>生产废水进入中和调节池，通过8-12小时水力停留实现水质水量均衡。池内配备机械搅拌装置和pH在线监测系统，自动投加H₂SO₄或NaOH调节pH至6-9范围，液位控制器联动提升泵稳定输送均质废水至后续单元。</w:t>
            </w:r>
            <w:r>
              <w:rPr>
                <w:rFonts w:hint="default" w:ascii="Times New Roman" w:hAnsi="Times New Roman" w:eastAsia="宋体" w:cs="Times New Roman"/>
                <w:i w:val="0"/>
                <w:iCs w:val="0"/>
                <w:caps w:val="0"/>
                <w:color w:val="000000" w:themeColor="text1"/>
                <w:spacing w:val="0"/>
                <w:sz w:val="24"/>
                <w:szCs w:val="24"/>
                <w:highlight w:val="none"/>
                <w:shd w:val="clear" w:color="auto" w:fill="FFFFFF"/>
                <w:lang w:val="en-US" w:eastAsia="zh-CN"/>
                <w14:textFill>
                  <w14:solidFill>
                    <w14:schemeClr w14:val="tx1"/>
                  </w14:solidFill>
                </w14:textFill>
              </w:rPr>
              <w:t>本项目前处理废水主要来自预脱脂、脱脂池排出的槽液以及水洗池排出的水洗废水，其中预脱脂、脱脂池排出的槽液为高浓度的酸性废水，</w:t>
            </w:r>
            <w:r>
              <w:rPr>
                <w:rFonts w:hint="default" w:ascii="Times New Roman" w:hAnsi="Times New Roman" w:eastAsia="Segoe UI" w:cs="Times New Roman"/>
                <w:i w:val="0"/>
                <w:iCs w:val="0"/>
                <w:caps w:val="0"/>
                <w:color w:val="000000" w:themeColor="text1"/>
                <w:spacing w:val="0"/>
                <w:sz w:val="24"/>
                <w:szCs w:val="24"/>
                <w:highlight w:val="none"/>
                <w:shd w:val="clear" w:color="auto" w:fill="FFFFFF"/>
                <w:lang w:val="en-US" w:eastAsia="zh-CN"/>
                <w14:textFill>
                  <w14:solidFill>
                    <w14:schemeClr w14:val="tx1"/>
                  </w14:solidFill>
                </w14:textFill>
              </w:rPr>
              <w:t>参考</w:t>
            </w:r>
            <w:r>
              <w:rPr>
                <w:rFonts w:hint="default" w:ascii="Times New Roman" w:hAnsi="Times New Roman" w:eastAsia="Segoe UI" w:cs="Times New Roman"/>
                <w:i w:val="0"/>
                <w:iCs w:val="0"/>
                <w:caps w:val="0"/>
                <w:color w:val="000000" w:themeColor="text1"/>
                <w:spacing w:val="0"/>
                <w:sz w:val="24"/>
                <w:szCs w:val="24"/>
                <w:highlight w:val="none"/>
                <w:shd w:val="clear" w:color="auto" w:fill="FFFFFF"/>
                <w14:textFill>
                  <w14:solidFill>
                    <w14:schemeClr w14:val="tx1"/>
                  </w14:solidFill>
                </w14:textFill>
              </w:rPr>
              <w:t>《电镀废水处理技术规范》</w:t>
            </w:r>
            <w:r>
              <w:rPr>
                <w:rFonts w:hint="default" w:ascii="Times New Roman" w:hAnsi="Times New Roman" w:eastAsia="宋体" w:cs="Times New Roman"/>
                <w:i w:val="0"/>
                <w:iCs w:val="0"/>
                <w:caps w:val="0"/>
                <w:color w:val="000000" w:themeColor="text1"/>
                <w:spacing w:val="0"/>
                <w:sz w:val="24"/>
                <w:szCs w:val="24"/>
                <w:highlight w:val="none"/>
                <w:shd w:val="clear" w:color="auto" w:fill="FFFFFF"/>
                <w:lang w:eastAsia="zh-CN"/>
                <w14:textFill>
                  <w14:solidFill>
                    <w14:schemeClr w14:val="tx1"/>
                  </w14:solidFill>
                </w14:textFill>
              </w:rPr>
              <w:t>（</w:t>
            </w:r>
            <w:r>
              <w:rPr>
                <w:rFonts w:hint="default" w:ascii="Times New Roman" w:hAnsi="Times New Roman" w:eastAsia="Segoe UI" w:cs="Times New Roman"/>
                <w:i w:val="0"/>
                <w:iCs w:val="0"/>
                <w:caps w:val="0"/>
                <w:color w:val="000000" w:themeColor="text1"/>
                <w:spacing w:val="0"/>
                <w:sz w:val="24"/>
                <w:szCs w:val="24"/>
                <w:highlight w:val="none"/>
                <w:shd w:val="clear" w:color="auto" w:fill="FFFFFF"/>
                <w14:textFill>
                  <w14:solidFill>
                    <w14:schemeClr w14:val="tx1"/>
                  </w14:solidFill>
                </w14:textFill>
              </w:rPr>
              <w:t>HJ 2002-2010</w:t>
            </w:r>
            <w:r>
              <w:rPr>
                <w:rFonts w:hint="default" w:ascii="Times New Roman" w:hAnsi="Times New Roman" w:eastAsia="宋体" w:cs="Times New Roman"/>
                <w:i w:val="0"/>
                <w:iCs w:val="0"/>
                <w:caps w:val="0"/>
                <w:color w:val="000000" w:themeColor="text1"/>
                <w:spacing w:val="0"/>
                <w:sz w:val="24"/>
                <w:szCs w:val="24"/>
                <w:highlight w:val="none"/>
                <w:shd w:val="clear" w:color="auto" w:fill="FFFFFF"/>
                <w:lang w:eastAsia="zh-CN"/>
                <w14:textFill>
                  <w14:solidFill>
                    <w14:schemeClr w14:val="tx1"/>
                  </w14:solidFill>
                </w14:textFill>
              </w:rPr>
              <w:t>）</w:t>
            </w:r>
            <w:r>
              <w:rPr>
                <w:rFonts w:hint="default" w:ascii="Times New Roman" w:hAnsi="Times New Roman" w:eastAsia="Segoe UI" w:cs="Times New Roman"/>
                <w:i w:val="0"/>
                <w:iCs w:val="0"/>
                <w:caps w:val="0"/>
                <w:color w:val="000000" w:themeColor="text1"/>
                <w:spacing w:val="0"/>
                <w:sz w:val="24"/>
                <w:szCs w:val="24"/>
                <w:highlight w:val="none"/>
                <w:shd w:val="clear" w:color="auto" w:fill="FFFFFF"/>
                <w14:textFill>
                  <w14:solidFill>
                    <w14:schemeClr w14:val="tx1"/>
                  </w14:solidFill>
                </w14:textFill>
              </w:rPr>
              <w:t>附录案例</w:t>
            </w:r>
            <w:r>
              <w:rPr>
                <w:rFonts w:hint="default" w:ascii="Times New Roman" w:hAnsi="Times New Roman" w:eastAsia="宋体" w:cs="Times New Roman"/>
                <w:i w:val="0"/>
                <w:iCs w:val="0"/>
                <w:caps w:val="0"/>
                <w:color w:val="000000" w:themeColor="text1"/>
                <w:spacing w:val="0"/>
                <w:sz w:val="24"/>
                <w:szCs w:val="24"/>
                <w:highlight w:val="none"/>
                <w:shd w:val="clear" w:color="auto" w:fill="FFFFFF"/>
                <w:lang w:eastAsia="zh-CN"/>
                <w14:textFill>
                  <w14:solidFill>
                    <w14:schemeClr w14:val="tx1"/>
                  </w14:solidFill>
                </w14:textFill>
              </w:rPr>
              <w:t>，</w:t>
            </w:r>
            <w:r>
              <w:rPr>
                <w:rFonts w:hint="default" w:ascii="Times New Roman" w:hAnsi="Times New Roman" w:eastAsia="Segoe UI" w:cs="Times New Roman"/>
                <w:i w:val="0"/>
                <w:iCs w:val="0"/>
                <w:caps w:val="0"/>
                <w:color w:val="000000" w:themeColor="text1"/>
                <w:spacing w:val="0"/>
                <w:sz w:val="24"/>
                <w:szCs w:val="24"/>
                <w:highlight w:val="none"/>
                <w:shd w:val="clear" w:color="auto" w:fill="FFFFFF"/>
                <w14:textFill>
                  <w14:solidFill>
                    <w14:schemeClr w14:val="tx1"/>
                  </w14:solidFill>
                </w14:textFill>
              </w:rPr>
              <w:t>中和</w:t>
            </w:r>
            <w:r>
              <w:rPr>
                <w:rFonts w:hint="default" w:ascii="Times New Roman" w:hAnsi="Times New Roman" w:eastAsia="宋体" w:cs="Times New Roman"/>
                <w:i w:val="0"/>
                <w:iCs w:val="0"/>
                <w:caps w:val="0"/>
                <w:color w:val="000000" w:themeColor="text1"/>
                <w:spacing w:val="0"/>
                <w:sz w:val="24"/>
                <w:szCs w:val="24"/>
                <w:highlight w:val="none"/>
                <w:shd w:val="clear" w:color="auto" w:fill="FFFFFF"/>
                <w:lang w:val="en-US" w:eastAsia="zh-CN"/>
                <w14:textFill>
                  <w14:solidFill>
                    <w14:schemeClr w14:val="tx1"/>
                  </w14:solidFill>
                </w14:textFill>
              </w:rPr>
              <w:t>调节</w:t>
            </w:r>
            <w:r>
              <w:rPr>
                <w:rFonts w:hint="default" w:ascii="Times New Roman" w:hAnsi="Times New Roman" w:eastAsia="Segoe UI" w:cs="Times New Roman"/>
                <w:i w:val="0"/>
                <w:iCs w:val="0"/>
                <w:caps w:val="0"/>
                <w:color w:val="000000" w:themeColor="text1"/>
                <w:spacing w:val="0"/>
                <w:sz w:val="24"/>
                <w:szCs w:val="24"/>
                <w:highlight w:val="none"/>
                <w:shd w:val="clear" w:color="auto" w:fill="FFFFFF"/>
                <w14:textFill>
                  <w14:solidFill>
                    <w14:schemeClr w14:val="tx1"/>
                  </w14:solidFill>
                </w14:textFill>
              </w:rPr>
              <w:t>后COD去除率约12%～18%</w:t>
            </w:r>
            <w:r>
              <w:rPr>
                <w:rFonts w:hint="default" w:ascii="Times New Roman" w:hAnsi="Times New Roman" w:eastAsia="宋体" w:cs="Times New Roman"/>
                <w:i w:val="0"/>
                <w:iCs w:val="0"/>
                <w:caps w:val="0"/>
                <w:color w:val="000000" w:themeColor="text1"/>
                <w:spacing w:val="0"/>
                <w:sz w:val="24"/>
                <w:szCs w:val="24"/>
                <w:highlight w:val="none"/>
                <w:shd w:val="clear" w:color="auto" w:fill="FFFFFF"/>
                <w:lang w:val="en-US" w:eastAsia="zh-CN"/>
                <w14:textFill>
                  <w14:solidFill>
                    <w14:schemeClr w14:val="tx1"/>
                  </w14:solidFill>
                </w14:textFill>
              </w:rPr>
              <w:t>。</w:t>
            </w:r>
          </w:p>
          <w:p w14:paraId="237083A7">
            <w:pPr>
              <w:keepNext w:val="0"/>
              <w:keepLines w:val="0"/>
              <w:widowControl/>
              <w:suppressLineNumbers w:val="0"/>
              <w:spacing w:before="0" w:beforeAutospacing="0" w:after="0" w:afterAutospacing="0" w:line="360" w:lineRule="auto"/>
              <w:ind w:left="0" w:right="0" w:firstLine="482" w:firstLineChars="200"/>
              <w:jc w:val="left"/>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②混凝沉淀</w:t>
            </w:r>
          </w:p>
          <w:p w14:paraId="443C63A8">
            <w:pPr>
              <w:keepNext/>
              <w:keepLines/>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outlineLvl w:val="3"/>
              <w:rPr>
                <w:rFonts w:hint="default" w:ascii="Times New Roman" w:hAnsi="Times New Roman" w:cs="Times New Roman"/>
                <w:color w:val="000000" w:themeColor="text1"/>
                <w:sz w:val="24"/>
                <w:szCs w:val="24"/>
                <w:highlight w:val="none"/>
                <w:lang w:val="en-US"/>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4"/>
                <w:szCs w:val="24"/>
                <w:highlight w:val="none"/>
                <w:shd w:val="clear" w:color="auto" w:fill="FFFFFF"/>
                <w14:textFill>
                  <w14:solidFill>
                    <w14:schemeClr w14:val="tx1"/>
                  </w14:solidFill>
                </w14:textFill>
              </w:rPr>
              <w:t>均质废水经提升泵进入混凝反应池，依次投加PAC和PAM，快混阶段实现胶体脱稳，慢混阶段形成毫米级矾花。混合液进入斜板沉淀池，污泥沉降至泥斗定期排放</w:t>
            </w:r>
            <w:r>
              <w:rPr>
                <w:rFonts w:hint="default" w:ascii="Times New Roman" w:hAnsi="Times New Roman" w:eastAsia="宋体" w:cs="Times New Roman"/>
                <w:i w:val="0"/>
                <w:iCs w:val="0"/>
                <w:caps w:val="0"/>
                <w:color w:val="000000" w:themeColor="text1"/>
                <w:spacing w:val="0"/>
                <w:sz w:val="24"/>
                <w:szCs w:val="24"/>
                <w:highlight w:val="none"/>
                <w:shd w:val="clear" w:color="auto" w:fill="FFFFFF"/>
                <w:lang w:eastAsia="zh-CN"/>
                <w14:textFill>
                  <w14:solidFill>
                    <w14:schemeClr w14:val="tx1"/>
                  </w14:solidFill>
                </w14:textFill>
              </w:rPr>
              <w:t>。</w:t>
            </w:r>
            <w:r>
              <w:rPr>
                <w:rFonts w:hint="default" w:ascii="Times New Roman" w:hAnsi="Times New Roman" w:eastAsia="宋体" w:cs="Times New Roman"/>
                <w:i w:val="0"/>
                <w:iCs w:val="0"/>
                <w:caps w:val="0"/>
                <w:color w:val="000000" w:themeColor="text1"/>
                <w:spacing w:val="0"/>
                <w:sz w:val="24"/>
                <w:szCs w:val="24"/>
                <w:highlight w:val="none"/>
                <w:shd w:val="clear" w:color="auto" w:fill="FFFFFF"/>
                <w:lang w:val="en-US" w:eastAsia="zh-CN"/>
                <w14:textFill>
                  <w14:solidFill>
                    <w14:schemeClr w14:val="tx1"/>
                  </w14:solidFill>
                </w14:textFill>
              </w:rPr>
              <w:t>根据《污水处理工程技术规范》（HJ 2008-2010）中“5.3.2 混凝沉淀工艺的设计参数及处理效率”提到污染物去除效率分别为SS：70%、COD</w:t>
            </w:r>
            <w:r>
              <w:rPr>
                <w:rFonts w:hint="default" w:ascii="Times New Roman" w:hAnsi="Times New Roman" w:eastAsia="宋体" w:cs="Times New Roman"/>
                <w:i w:val="0"/>
                <w:iCs w:val="0"/>
                <w:caps w:val="0"/>
                <w:color w:val="000000" w:themeColor="text1"/>
                <w:spacing w:val="0"/>
                <w:sz w:val="24"/>
                <w:szCs w:val="24"/>
                <w:highlight w:val="none"/>
                <w:shd w:val="clear" w:color="auto" w:fill="FFFFFF"/>
                <w:vertAlign w:val="subscript"/>
                <w:lang w:val="en-US" w:eastAsia="zh-CN"/>
                <w14:textFill>
                  <w14:solidFill>
                    <w14:schemeClr w14:val="tx1"/>
                  </w14:solidFill>
                </w14:textFill>
              </w:rPr>
              <w:t>Cr</w:t>
            </w:r>
            <w:r>
              <w:rPr>
                <w:rFonts w:hint="default" w:ascii="Times New Roman" w:hAnsi="Times New Roman" w:eastAsia="宋体" w:cs="Times New Roman"/>
                <w:i w:val="0"/>
                <w:iCs w:val="0"/>
                <w:caps w:val="0"/>
                <w:color w:val="000000" w:themeColor="text1"/>
                <w:spacing w:val="0"/>
                <w:sz w:val="24"/>
                <w:szCs w:val="24"/>
                <w:highlight w:val="none"/>
                <w:shd w:val="clear" w:color="auto" w:fill="FFFFFF"/>
                <w:lang w:val="en-US" w:eastAsia="zh-CN"/>
                <w14:textFill>
                  <w14:solidFill>
                    <w14:schemeClr w14:val="tx1"/>
                  </w14:solidFill>
                </w14:textFill>
              </w:rPr>
              <w:t>：40%。</w:t>
            </w:r>
          </w:p>
          <w:p w14:paraId="4651CDA4">
            <w:pPr>
              <w:keepNext w:val="0"/>
              <w:keepLines w:val="0"/>
              <w:widowControl/>
              <w:suppressLineNumbers w:val="0"/>
              <w:spacing w:before="0" w:beforeAutospacing="0" w:after="0" w:afterAutospacing="0" w:line="360" w:lineRule="auto"/>
              <w:ind w:left="0" w:right="0" w:firstLine="482" w:firstLineChars="200"/>
              <w:jc w:val="left"/>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③气浮单元</w:t>
            </w:r>
          </w:p>
          <w:p w14:paraId="4522243C">
            <w:pPr>
              <w:keepNext/>
              <w:keepLines/>
              <w:suppressLineNumbers w:val="0"/>
              <w:tabs>
                <w:tab w:val="left" w:pos="0"/>
              </w:tabs>
              <w:spacing w:before="0" w:beforeAutospacing="0" w:after="0" w:afterAutospacing="0" w:line="360" w:lineRule="auto"/>
              <w:ind w:left="0" w:right="0" w:firstLine="480" w:firstLineChars="200"/>
              <w:outlineLvl w:val="3"/>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混凝出水进入溶气气浮系统（DAF），溶气水压力0.3-0.5MPa，回流比30%-50%，释放30-50μm微气泡吸附石油类及LAS。浮渣由刮渣机清除。根据《气浮设备技术条件》（JB/T 11645-2013）：石油类去除率60%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80%，本项目取60%，气浮工艺对悬浮物（SS）的去除效率通常为50%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70%，本项目取80%；《污水气浮处理工程技术规范》（T/CECS 548-2018）：LAS去除率20%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30%。</w:t>
            </w:r>
          </w:p>
          <w:p w14:paraId="09B314F5">
            <w:pPr>
              <w:keepNext w:val="0"/>
              <w:keepLines w:val="0"/>
              <w:widowControl/>
              <w:suppressLineNumbers w:val="0"/>
              <w:spacing w:before="0" w:beforeAutospacing="0" w:after="0" w:afterAutospacing="0" w:line="360" w:lineRule="auto"/>
              <w:ind w:left="0" w:right="0" w:firstLine="482" w:firstLineChars="200"/>
              <w:jc w:val="left"/>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④污泥处理系统</w:t>
            </w:r>
          </w:p>
          <w:p w14:paraId="07CAD543">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各单元污泥（SS污泥、浮渣、含氟污泥）汇集至浓缩池，投加0.1%-0.3%PAM改性后通过板框压滤脱水</w:t>
            </w:r>
            <w:r>
              <w:rPr>
                <w:rFonts w:hint="default" w:ascii="Times New Roman" w:hAnsi="Times New Roman" w:cs="Times New Roman"/>
                <w:b w:val="0"/>
                <w:bCs w:val="0"/>
                <w:color w:val="000000" w:themeColor="text1"/>
                <w:kern w:val="0"/>
                <w:sz w:val="24"/>
                <w:szCs w:val="24"/>
                <w:highlight w:val="none"/>
                <w:lang w:val="en-US" w:eastAsia="zh-CN" w:bidi="ar"/>
                <w14:textFill>
                  <w14:solidFill>
                    <w14:schemeClr w14:val="tx1"/>
                  </w14:solidFill>
                </w14:textFill>
              </w:rPr>
              <w:t>，脱水后污泥含水率按60%计算，污泥按作危险废物交由有处理资质的单位处理。</w:t>
            </w:r>
          </w:p>
          <w:p w14:paraId="4A76B854">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根据建设单位提供的废水处理方案，本项目废水处理设施处理能力为</w:t>
            </w:r>
            <w:r>
              <w:rPr>
                <w:rFonts w:hint="eastAsia" w:cs="Times New Roman"/>
                <w:b w:val="0"/>
                <w:bCs w:val="0"/>
                <w:color w:val="000000" w:themeColor="text1"/>
                <w:kern w:val="0"/>
                <w:sz w:val="24"/>
                <w:szCs w:val="24"/>
                <w:highlight w:val="none"/>
                <w:lang w:val="en-US" w:eastAsia="zh-CN" w:bidi="ar"/>
                <w14:textFill>
                  <w14:solidFill>
                    <w14:schemeClr w14:val="tx1"/>
                  </w14:solidFill>
                </w14:textFill>
              </w:rPr>
              <w:t>50</w:t>
            </w:r>
            <w:r>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m</w:t>
            </w:r>
            <w:r>
              <w:rPr>
                <w:rFonts w:hint="default" w:ascii="Times New Roman" w:hAnsi="Times New Roman" w:eastAsia="宋体" w:cs="Times New Roman"/>
                <w:b w:val="0"/>
                <w:bCs w:val="0"/>
                <w:color w:val="000000" w:themeColor="text1"/>
                <w:kern w:val="0"/>
                <w:sz w:val="24"/>
                <w:szCs w:val="24"/>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/d，项目废水处理设施主要构筑物参数：</w:t>
            </w:r>
          </w:p>
          <w:p w14:paraId="75FEA409">
            <w:pPr>
              <w:keepNext/>
              <w:keepLines/>
              <w:numPr>
                <w:ilvl w:val="0"/>
                <w:numId w:val="0"/>
              </w:numPr>
              <w:suppressLineNumbers w:val="0"/>
              <w:tabs>
                <w:tab w:val="left" w:pos="0"/>
              </w:tabs>
              <w:spacing w:before="0" w:beforeAutospacing="0" w:after="0" w:afterAutospacing="0"/>
              <w:ind w:left="0" w:leftChars="0" w:right="0" w:rightChars="0" w:firstLine="40" w:firstLineChars="0"/>
              <w:jc w:val="center"/>
              <w:outlineLvl w:val="3"/>
              <w:rPr>
                <w:rFonts w:hint="eastAsia"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表4-2</w:t>
            </w:r>
            <w:r>
              <w:rPr>
                <w:rFonts w:hint="eastAsia" w:cs="Times New Roman"/>
                <w:b/>
                <w:bCs/>
                <w:color w:val="000000" w:themeColor="text1"/>
                <w:kern w:val="2"/>
                <w:sz w:val="21"/>
                <w:szCs w:val="21"/>
                <w:lang w:val="en-US" w:eastAsia="zh-CN" w:bidi="ar-SA"/>
                <w14:textFill>
                  <w14:solidFill>
                    <w14:schemeClr w14:val="tx1"/>
                  </w14:solidFill>
                </w14:textFill>
              </w:rPr>
              <w:t xml:space="preserve">7 </w:t>
            </w:r>
            <w:r>
              <w:rPr>
                <w:rFonts w:hint="default" w:ascii="Times New Roman" w:hAnsi="Times New Roman" w:cs="Times New Roman"/>
                <w:b/>
                <w:bCs/>
                <w:color w:val="000000" w:themeColor="text1"/>
                <w:sz w:val="21"/>
                <w:szCs w:val="21"/>
                <w:highlight w:val="none"/>
                <w14:textFill>
                  <w14:solidFill>
                    <w14:schemeClr w14:val="tx1"/>
                  </w14:solidFill>
                </w14:textFill>
              </w:rPr>
              <w:t>项目污水处理站废水处理</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单元</w:t>
            </w:r>
            <w:r>
              <w:rPr>
                <w:rFonts w:hint="eastAsia" w:cs="Times New Roman"/>
                <w:b/>
                <w:bCs/>
                <w:color w:val="000000" w:themeColor="text1"/>
                <w:sz w:val="21"/>
                <w:szCs w:val="21"/>
                <w:highlight w:val="none"/>
                <w:lang w:val="en-US" w:eastAsia="zh-CN"/>
                <w14:textFill>
                  <w14:solidFill>
                    <w14:schemeClr w14:val="tx1"/>
                  </w14:solidFill>
                </w14:textFill>
              </w:rPr>
              <w:t>去除效率</w:t>
            </w:r>
          </w:p>
          <w:tbl>
            <w:tblPr>
              <w:tblStyle w:val="44"/>
              <w:tblW w:w="1414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8"/>
              <w:gridCol w:w="1081"/>
              <w:gridCol w:w="719"/>
              <w:gridCol w:w="666"/>
              <w:gridCol w:w="734"/>
              <w:gridCol w:w="869"/>
              <w:gridCol w:w="719"/>
              <w:gridCol w:w="651"/>
              <w:gridCol w:w="779"/>
              <w:gridCol w:w="651"/>
              <w:gridCol w:w="651"/>
              <w:gridCol w:w="666"/>
            </w:tblGrid>
            <w:tr w14:paraId="17634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7694E">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各级处理效果各项指标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49C62">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CODCr</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D9FD">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BOD5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9F370">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SS</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4A52E">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氨氮</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B9242">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氟化物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84978">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TP</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7A738">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TN</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27D65">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LAS</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976B">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总铝</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75637">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石油类</w:t>
                  </w:r>
                </w:p>
              </w:tc>
            </w:tr>
            <w:tr w14:paraId="44C13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5298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生产废水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20FA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进水（</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mg/L</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7C59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372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3A34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129</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5860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67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B777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15.4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C165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109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1FFE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0.85</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F8DC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46.2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B603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007B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42.6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06B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32.1</w:t>
                  </w:r>
                </w:p>
              </w:tc>
            </w:tr>
            <w:tr w14:paraId="2BD62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AF1A2">
                  <w:pPr>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E33E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中和调节池去除效率</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2F67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8%</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68A9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6%</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051A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10%</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D98F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707F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8203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10%</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7945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F266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64A5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C179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w:t>
                  </w:r>
                </w:p>
              </w:tc>
            </w:tr>
            <w:tr w14:paraId="66026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9EA6E">
                  <w:pPr>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FF49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处理后浓度（</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mg/L</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D65C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342.2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C066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121.3 </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7395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60.3 </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1590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14.6 </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7E23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105.7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D4FA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0.8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F020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43.9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5ED7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1.0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88F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38.3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5270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31.1 </w:t>
                  </w:r>
                </w:p>
              </w:tc>
            </w:tr>
            <w:tr w14:paraId="35A27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F1507">
                  <w:pPr>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3A4E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气浮去除效率</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2FA6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40%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A277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35%</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CA11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85%</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021D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5EB6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18B6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40%</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9920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0A53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C09C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45%</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236A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85%</w:t>
                  </w:r>
                </w:p>
              </w:tc>
            </w:tr>
            <w:tr w14:paraId="065F6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F84F0">
                  <w:pPr>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7D4C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处理后浓度（</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mg/L</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E2BB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205.3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7018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78.8 </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48D2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9.0 </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E950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13.9 </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4AAA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100.4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5215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0.5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6AA0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41.7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AFCB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0.4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61D7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21.1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CC4C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4.7 </w:t>
                  </w:r>
                </w:p>
              </w:tc>
            </w:tr>
            <w:tr w14:paraId="54824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9EE03">
                  <w:pPr>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80FD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化学除氟去除效率</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5F02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12%</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CBEE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10%</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3C45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60%</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71B3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69CF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85%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FCBB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70%</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A5A8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8031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8011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65%</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4FA9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8%</w:t>
                  </w:r>
                </w:p>
              </w:tc>
            </w:tr>
            <w:tr w14:paraId="02980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AE5A8">
                  <w:pPr>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9F71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处理后浓度（</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mg/L</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68E2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180.7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958D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70.9 </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1C4C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3.6 </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AF9E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13.2 </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22AC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15.1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457C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0.1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1AB2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39.6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4097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0.3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AB71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7.4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E54A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4.3 </w:t>
                  </w:r>
                </w:p>
              </w:tc>
            </w:tr>
            <w:tr w14:paraId="4152A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C4140">
                  <w:pPr>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180C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混凝沉淀去除效率</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FB59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58A8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25%</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64B3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75%</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E336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F785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5ECA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50%</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FFCE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0E64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BE55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75%</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9B46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w:t>
                  </w:r>
                </w:p>
              </w:tc>
            </w:tr>
            <w:tr w14:paraId="5F0F4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3242F">
                  <w:pPr>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38D4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处理后浓度（</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mg/L</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7788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126.5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4A8C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53.2 </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66DF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0.9 </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08B3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12.5 </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703B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9.8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D233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0.1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0940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37.6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4607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0.2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A9CF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1.8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B7D0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4.1 </w:t>
                  </w:r>
                </w:p>
              </w:tc>
            </w:tr>
            <w:tr w14:paraId="68598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6132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综合治理效率</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7425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66%</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1726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59%</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1861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99%</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DCC1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19%</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045D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91%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28B8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92%</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27EC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19%</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B050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75%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06C6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96%</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C961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87%</w:t>
                  </w:r>
                </w:p>
              </w:tc>
            </w:tr>
            <w:tr w14:paraId="60990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671A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执行标准排放限值（</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mg/L</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BAA3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≤160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B397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≤150</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597E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≤100</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A1C0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42FF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F783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≤2.0</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3541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≤40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D06E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6A7C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E564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≤6.0</w:t>
                  </w:r>
                </w:p>
              </w:tc>
            </w:tr>
          </w:tbl>
          <w:p w14:paraId="176A81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100" w:lineRule="exact"/>
              <w:ind w:left="0" w:right="0" w:firstLine="480" w:firstLineChars="20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5EB79C25">
            <w:pPr>
              <w:keepNext/>
              <w:keepLines/>
              <w:suppressLineNumbers w:val="0"/>
              <w:tabs>
                <w:tab w:val="left" w:pos="0"/>
              </w:tabs>
              <w:spacing w:before="0" w:beforeAutospacing="0" w:after="0" w:afterAutospacing="0" w:line="360" w:lineRule="auto"/>
              <w:ind w:left="0" w:right="0" w:firstLine="480" w:firstLineChars="200"/>
              <w:outlineLvl w:val="3"/>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根据上表计算，本项目生产废水经</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eastAsia="zh-CN"/>
                <w14:textFill>
                  <w14:solidFill>
                    <w14:schemeClr w14:val="tx1"/>
                  </w14:solidFill>
                </w14:textFill>
              </w:rPr>
              <w:t>中和调节+混凝沉淀+气浮+化学除氟</w:t>
            </w:r>
            <w:r>
              <w:rPr>
                <w:rFonts w:hint="default" w:ascii="Times New Roman" w:hAnsi="Times New Roman" w:cs="Times New Roman"/>
                <w:color w:val="000000" w:themeColor="text1"/>
                <w:sz w:val="24"/>
                <w:szCs w:val="24"/>
                <w:highlight w:val="none"/>
                <w14:textFill>
                  <w14:solidFill>
                    <w14:schemeClr w14:val="tx1"/>
                  </w14:solidFill>
                </w14:textFill>
              </w:rPr>
              <w:t>”处理</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后达到园区污水处理厂接管水质要求、广东省《水污染物排放限值》（DB44/26-2001）第二时段三级标准以及《电镀水污染物排放标准》（DB44/1597-2015）</w:t>
            </w:r>
            <w:r>
              <w:rPr>
                <w:rFonts w:hint="eastAsia" w:cs="Times New Roman"/>
                <w:color w:val="000000" w:themeColor="text1"/>
                <w:sz w:val="24"/>
                <w:szCs w:val="24"/>
                <w:highlight w:val="none"/>
                <w:lang w:val="en-US" w:eastAsia="zh-CN"/>
                <w14:textFill>
                  <w14:solidFill>
                    <w14:schemeClr w14:val="tx1"/>
                  </w14:solidFill>
                </w14:textFill>
              </w:rPr>
              <w:t>表1现有项目水污染物非珠三角排放限值200%（其中总铝按表2新建项目水污染物排放限值-非珠三角地区执行）</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三者较严值要求，满足进入园区污水处理厂的要求。</w:t>
            </w:r>
          </w:p>
          <w:p w14:paraId="0771B96A">
            <w:pPr>
              <w:keepNext/>
              <w:keepLines/>
              <w:suppressLineNumbers w:val="0"/>
              <w:tabs>
                <w:tab w:val="left" w:pos="0"/>
              </w:tabs>
              <w:spacing w:before="0" w:beforeAutospacing="0" w:after="0" w:afterAutospacing="0" w:line="360" w:lineRule="auto"/>
              <w:ind w:left="0" w:right="0" w:firstLine="482" w:firstLineChars="200"/>
              <w:outlineLvl w:val="3"/>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2.3项目水污染物排放信息</w:t>
            </w:r>
          </w:p>
          <w:p w14:paraId="42CEEBF4">
            <w:pPr>
              <w:keepNext/>
              <w:keepLines/>
              <w:numPr>
                <w:ilvl w:val="0"/>
                <w:numId w:val="0"/>
              </w:numPr>
              <w:suppressLineNumbers w:val="0"/>
              <w:tabs>
                <w:tab w:val="left" w:pos="0"/>
              </w:tabs>
              <w:spacing w:before="0" w:beforeAutospacing="0" w:after="0" w:afterAutospacing="0"/>
              <w:ind w:left="0" w:leftChars="0" w:right="0" w:rightChars="0" w:firstLine="40" w:firstLineChars="0"/>
              <w:jc w:val="center"/>
              <w:outlineLvl w:val="3"/>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表4-2</w:t>
            </w:r>
            <w:r>
              <w:rPr>
                <w:rFonts w:hint="eastAsia" w:cs="Times New Roman"/>
                <w:b/>
                <w:bCs/>
                <w:color w:val="000000" w:themeColor="text1"/>
                <w:kern w:val="2"/>
                <w:sz w:val="21"/>
                <w:szCs w:val="21"/>
                <w:lang w:val="en-US" w:eastAsia="zh-CN" w:bidi="ar-SA"/>
                <w14:textFill>
                  <w14:solidFill>
                    <w14:schemeClr w14:val="tx1"/>
                  </w14:solidFill>
                </w14:textFill>
              </w:rPr>
              <w:t>8</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废水类别、污染物及污染治理设施信息表</w:t>
            </w:r>
          </w:p>
          <w:tbl>
            <w:tblPr>
              <w:tblStyle w:val="44"/>
              <w:tblW w:w="4998"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564"/>
              <w:gridCol w:w="1151"/>
              <w:gridCol w:w="543"/>
              <w:gridCol w:w="944"/>
              <w:gridCol w:w="710"/>
              <w:gridCol w:w="833"/>
              <w:gridCol w:w="794"/>
              <w:gridCol w:w="556"/>
              <w:gridCol w:w="821"/>
              <w:gridCol w:w="1475"/>
            </w:tblGrid>
            <w:tr w14:paraId="3F6D86B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336" w:type="pct"/>
                  <w:vMerge w:val="restart"/>
                  <w:noWrap w:val="0"/>
                  <w:vAlign w:val="center"/>
                </w:tcPr>
                <w:p w14:paraId="7361959D">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废水类别</w:t>
                  </w:r>
                </w:p>
              </w:tc>
              <w:tc>
                <w:tcPr>
                  <w:tcW w:w="685" w:type="pct"/>
                  <w:vMerge w:val="restart"/>
                  <w:noWrap w:val="0"/>
                  <w:vAlign w:val="center"/>
                </w:tcPr>
                <w:p w14:paraId="0D8BB789">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污染物种类</w:t>
                  </w:r>
                </w:p>
              </w:tc>
              <w:tc>
                <w:tcPr>
                  <w:tcW w:w="323" w:type="pct"/>
                  <w:vMerge w:val="restart"/>
                  <w:noWrap w:val="0"/>
                  <w:vAlign w:val="center"/>
                </w:tcPr>
                <w:p w14:paraId="1DD7AC5F">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排放去向</w:t>
                  </w:r>
                </w:p>
              </w:tc>
              <w:tc>
                <w:tcPr>
                  <w:tcW w:w="562" w:type="pct"/>
                  <w:vMerge w:val="restart"/>
                  <w:noWrap w:val="0"/>
                  <w:vAlign w:val="center"/>
                </w:tcPr>
                <w:p w14:paraId="5A4A0002">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排放规律</w:t>
                  </w:r>
                </w:p>
              </w:tc>
              <w:tc>
                <w:tcPr>
                  <w:tcW w:w="1392" w:type="pct"/>
                  <w:gridSpan w:val="3"/>
                  <w:noWrap w:val="0"/>
                  <w:vAlign w:val="center"/>
                </w:tcPr>
                <w:p w14:paraId="17AA1EFD">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污染治理设施</w:t>
                  </w:r>
                </w:p>
              </w:tc>
              <w:tc>
                <w:tcPr>
                  <w:tcW w:w="331" w:type="pct"/>
                  <w:vMerge w:val="restart"/>
                  <w:noWrap w:val="0"/>
                  <w:vAlign w:val="center"/>
                </w:tcPr>
                <w:p w14:paraId="5150D359">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排放口编号</w:t>
                  </w:r>
                </w:p>
              </w:tc>
              <w:tc>
                <w:tcPr>
                  <w:tcW w:w="489" w:type="pct"/>
                  <w:vMerge w:val="restart"/>
                  <w:noWrap w:val="0"/>
                  <w:vAlign w:val="center"/>
                </w:tcPr>
                <w:p w14:paraId="6E13199E">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排放口设置是否符合要求</w:t>
                  </w:r>
                </w:p>
              </w:tc>
              <w:tc>
                <w:tcPr>
                  <w:tcW w:w="878" w:type="pct"/>
                  <w:vMerge w:val="restart"/>
                  <w:noWrap w:val="0"/>
                  <w:vAlign w:val="center"/>
                </w:tcPr>
                <w:p w14:paraId="031891A9">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排放口类型</w:t>
                  </w:r>
                </w:p>
              </w:tc>
            </w:tr>
            <w:tr w14:paraId="5EEF7AC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36" w:type="pct"/>
                  <w:vMerge w:val="continue"/>
                  <w:noWrap w:val="0"/>
                  <w:vAlign w:val="center"/>
                </w:tcPr>
                <w:p w14:paraId="47B305D7">
                  <w:pPr>
                    <w:keepNext/>
                    <w:keepLines/>
                    <w:pageBreakBefore w:val="0"/>
                    <w:widowControl w:val="0"/>
                    <w:suppressLineNumbers w:val="0"/>
                    <w:kinsoku/>
                    <w:overflowPunct/>
                    <w:topLinePunct w:val="0"/>
                    <w:bidi w:val="0"/>
                    <w:adjustRightInd w:val="0"/>
                    <w:snapToGrid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685" w:type="pct"/>
                  <w:vMerge w:val="continue"/>
                  <w:noWrap w:val="0"/>
                  <w:vAlign w:val="center"/>
                </w:tcPr>
                <w:p w14:paraId="34B00446">
                  <w:pPr>
                    <w:keepNext/>
                    <w:keepLines/>
                    <w:pageBreakBefore w:val="0"/>
                    <w:widowControl w:val="0"/>
                    <w:suppressLineNumbers w:val="0"/>
                    <w:kinsoku/>
                    <w:overflowPunct/>
                    <w:topLinePunct w:val="0"/>
                    <w:bidi w:val="0"/>
                    <w:adjustRightInd w:val="0"/>
                    <w:snapToGrid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323" w:type="pct"/>
                  <w:vMerge w:val="continue"/>
                  <w:noWrap w:val="0"/>
                  <w:vAlign w:val="center"/>
                </w:tcPr>
                <w:p w14:paraId="18DF28D1">
                  <w:pPr>
                    <w:keepNext/>
                    <w:keepLines/>
                    <w:pageBreakBefore w:val="0"/>
                    <w:widowControl w:val="0"/>
                    <w:suppressLineNumbers w:val="0"/>
                    <w:kinsoku/>
                    <w:overflowPunct/>
                    <w:topLinePunct w:val="0"/>
                    <w:bidi w:val="0"/>
                    <w:adjustRightInd w:val="0"/>
                    <w:snapToGrid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562" w:type="pct"/>
                  <w:vMerge w:val="continue"/>
                  <w:noWrap w:val="0"/>
                  <w:vAlign w:val="center"/>
                </w:tcPr>
                <w:p w14:paraId="1FA80599">
                  <w:pPr>
                    <w:keepNext/>
                    <w:keepLines/>
                    <w:pageBreakBefore w:val="0"/>
                    <w:widowControl w:val="0"/>
                    <w:suppressLineNumbers w:val="0"/>
                    <w:kinsoku/>
                    <w:overflowPunct/>
                    <w:topLinePunct w:val="0"/>
                    <w:bidi w:val="0"/>
                    <w:adjustRightInd w:val="0"/>
                    <w:snapToGrid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423" w:type="pct"/>
                  <w:noWrap w:val="0"/>
                  <w:vAlign w:val="center"/>
                </w:tcPr>
                <w:p w14:paraId="7A34D9A4">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污染治理设施编号</w:t>
                  </w:r>
                </w:p>
              </w:tc>
              <w:tc>
                <w:tcPr>
                  <w:tcW w:w="496" w:type="pct"/>
                  <w:noWrap w:val="0"/>
                  <w:vAlign w:val="center"/>
                </w:tcPr>
                <w:p w14:paraId="1806237D">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污染治理设施名称</w:t>
                  </w:r>
                </w:p>
              </w:tc>
              <w:tc>
                <w:tcPr>
                  <w:tcW w:w="473" w:type="pct"/>
                  <w:noWrap w:val="0"/>
                  <w:vAlign w:val="center"/>
                </w:tcPr>
                <w:p w14:paraId="16BC7EEC">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污染治理设施工艺</w:t>
                  </w:r>
                </w:p>
              </w:tc>
              <w:tc>
                <w:tcPr>
                  <w:tcW w:w="331" w:type="pct"/>
                  <w:vMerge w:val="continue"/>
                  <w:noWrap w:val="0"/>
                  <w:vAlign w:val="center"/>
                </w:tcPr>
                <w:p w14:paraId="0CC9D02F">
                  <w:pPr>
                    <w:keepNext/>
                    <w:keepLines/>
                    <w:pageBreakBefore w:val="0"/>
                    <w:widowControl w:val="0"/>
                    <w:suppressLineNumbers w:val="0"/>
                    <w:kinsoku/>
                    <w:overflowPunct/>
                    <w:topLinePunct w:val="0"/>
                    <w:bidi w:val="0"/>
                    <w:adjustRightInd w:val="0"/>
                    <w:snapToGrid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489" w:type="pct"/>
                  <w:vMerge w:val="continue"/>
                  <w:noWrap w:val="0"/>
                  <w:vAlign w:val="center"/>
                </w:tcPr>
                <w:p w14:paraId="21B9814E">
                  <w:pPr>
                    <w:keepNext/>
                    <w:keepLines/>
                    <w:pageBreakBefore w:val="0"/>
                    <w:widowControl w:val="0"/>
                    <w:suppressLineNumbers w:val="0"/>
                    <w:kinsoku/>
                    <w:overflowPunct/>
                    <w:topLinePunct w:val="0"/>
                    <w:bidi w:val="0"/>
                    <w:adjustRightInd w:val="0"/>
                    <w:snapToGrid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878" w:type="pct"/>
                  <w:vMerge w:val="continue"/>
                  <w:noWrap w:val="0"/>
                  <w:vAlign w:val="center"/>
                </w:tcPr>
                <w:p w14:paraId="11986A8E">
                  <w:pPr>
                    <w:keepNext/>
                    <w:keepLines/>
                    <w:pageBreakBefore w:val="0"/>
                    <w:widowControl w:val="0"/>
                    <w:suppressLineNumbers w:val="0"/>
                    <w:kinsoku/>
                    <w:overflowPunct/>
                    <w:topLinePunct w:val="0"/>
                    <w:bidi w:val="0"/>
                    <w:adjustRightInd w:val="0"/>
                    <w:snapToGrid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p>
              </w:tc>
            </w:tr>
            <w:tr w14:paraId="1996CD4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36" w:type="pct"/>
                  <w:noWrap w:val="0"/>
                  <w:vAlign w:val="center"/>
                </w:tcPr>
                <w:p w14:paraId="4E4E683C">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生活污水</w:t>
                  </w:r>
                </w:p>
              </w:tc>
              <w:tc>
                <w:tcPr>
                  <w:tcW w:w="685" w:type="pct"/>
                  <w:noWrap w:val="0"/>
                  <w:vAlign w:val="center"/>
                </w:tcPr>
                <w:p w14:paraId="106953CD">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pH、COD</w:t>
                  </w:r>
                  <w:r>
                    <w:rPr>
                      <w:rFonts w:hint="default" w:ascii="Times New Roman" w:hAnsi="Times New Roman" w:cs="Times New Roman"/>
                      <w:color w:val="000000" w:themeColor="text1"/>
                      <w:kern w:val="2"/>
                      <w:sz w:val="21"/>
                      <w:szCs w:val="21"/>
                      <w:highlight w:val="none"/>
                      <w:vertAlign w:val="subscript"/>
                      <w14:textFill>
                        <w14:solidFill>
                          <w14:schemeClr w14:val="tx1"/>
                        </w14:solidFill>
                      </w14:textFill>
                    </w:rPr>
                    <w:t>Cr</w:t>
                  </w:r>
                  <w:r>
                    <w:rPr>
                      <w:rFonts w:hint="default" w:ascii="Times New Roman" w:hAnsi="Times New Roman" w:cs="Times New Roman"/>
                      <w:color w:val="000000" w:themeColor="text1"/>
                      <w:kern w:val="2"/>
                      <w:sz w:val="21"/>
                      <w:szCs w:val="21"/>
                      <w:highlight w:val="none"/>
                      <w14:textFill>
                        <w14:solidFill>
                          <w14:schemeClr w14:val="tx1"/>
                        </w14:solidFill>
                      </w14:textFill>
                    </w:rPr>
                    <w:t>、BOD</w:t>
                  </w:r>
                  <w:r>
                    <w:rPr>
                      <w:rFonts w:hint="default" w:ascii="Times New Roman" w:hAnsi="Times New Roman" w:cs="Times New Roman"/>
                      <w:color w:val="000000" w:themeColor="text1"/>
                      <w:kern w:val="2"/>
                      <w:sz w:val="21"/>
                      <w:szCs w:val="21"/>
                      <w:highlight w:val="none"/>
                      <w:vertAlign w:val="subscript"/>
                      <w14:textFill>
                        <w14:solidFill>
                          <w14:schemeClr w14:val="tx1"/>
                        </w14:solidFill>
                      </w14:textFill>
                    </w:rPr>
                    <w:t>5</w:t>
                  </w:r>
                  <w:r>
                    <w:rPr>
                      <w:rFonts w:hint="default" w:ascii="Times New Roman" w:hAnsi="Times New Roman" w:cs="Times New Roman"/>
                      <w:color w:val="000000" w:themeColor="text1"/>
                      <w:kern w:val="2"/>
                      <w:sz w:val="21"/>
                      <w:szCs w:val="21"/>
                      <w:highlight w:val="none"/>
                      <w14:textFill>
                        <w14:solidFill>
                          <w14:schemeClr w14:val="tx1"/>
                        </w14:solidFill>
                      </w14:textFill>
                    </w:rPr>
                    <w:t>、SS、氨氮</w:t>
                  </w:r>
                  <w:r>
                    <w:rPr>
                      <w:rFonts w:hint="default" w:ascii="Times New Roman" w:hAnsi="Times New Roman" w:cs="Times New Roman"/>
                      <w:color w:val="000000" w:themeColor="text1"/>
                      <w:kern w:val="2"/>
                      <w:sz w:val="21"/>
                      <w:szCs w:val="21"/>
                      <w:highlight w:val="none"/>
                      <w:lang w:eastAsia="zh-CN"/>
                      <w14:textFill>
                        <w14:solidFill>
                          <w14:schemeClr w14:val="tx1"/>
                        </w14:solidFill>
                      </w14:textFill>
                    </w:rPr>
                    <w:t>、</w:t>
                  </w: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总磷、动植物油</w:t>
                  </w:r>
                </w:p>
              </w:tc>
              <w:tc>
                <w:tcPr>
                  <w:tcW w:w="323" w:type="pct"/>
                  <w:vMerge w:val="restart"/>
                  <w:noWrap w:val="0"/>
                  <w:vAlign w:val="center"/>
                </w:tcPr>
                <w:p w14:paraId="019A2EE0">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进入</w:t>
                  </w: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城镇</w:t>
                  </w:r>
                  <w:r>
                    <w:rPr>
                      <w:rFonts w:hint="default" w:ascii="Times New Roman" w:hAnsi="Times New Roman" w:cs="Times New Roman"/>
                      <w:color w:val="000000" w:themeColor="text1"/>
                      <w:kern w:val="2"/>
                      <w:sz w:val="21"/>
                      <w:szCs w:val="21"/>
                      <w:highlight w:val="none"/>
                      <w14:textFill>
                        <w14:solidFill>
                          <w14:schemeClr w14:val="tx1"/>
                        </w14:solidFill>
                      </w14:textFill>
                    </w:rPr>
                    <w:t>污水处理厂</w:t>
                  </w:r>
                </w:p>
              </w:tc>
              <w:tc>
                <w:tcPr>
                  <w:tcW w:w="562" w:type="pct"/>
                  <w:vMerge w:val="restart"/>
                  <w:noWrap w:val="0"/>
                  <w:vAlign w:val="center"/>
                </w:tcPr>
                <w:p w14:paraId="2915A113">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间歇排放，流量不稳定，但不属于冲击型排放</w:t>
                  </w:r>
                </w:p>
              </w:tc>
              <w:tc>
                <w:tcPr>
                  <w:tcW w:w="423" w:type="pct"/>
                  <w:noWrap w:val="0"/>
                  <w:vAlign w:val="center"/>
                </w:tcPr>
                <w:p w14:paraId="1029C36C">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TW001</w:t>
                  </w:r>
                </w:p>
              </w:tc>
              <w:tc>
                <w:tcPr>
                  <w:tcW w:w="496" w:type="pct"/>
                  <w:noWrap w:val="0"/>
                  <w:vAlign w:val="center"/>
                </w:tcPr>
                <w:p w14:paraId="2F22DE83">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三级化粪池</w:t>
                  </w: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+隔油隔渣池</w:t>
                  </w:r>
                </w:p>
              </w:tc>
              <w:tc>
                <w:tcPr>
                  <w:tcW w:w="473" w:type="pct"/>
                  <w:noWrap w:val="0"/>
                  <w:vAlign w:val="center"/>
                </w:tcPr>
                <w:p w14:paraId="398CAA17">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化粪池</w:t>
                  </w:r>
                </w:p>
              </w:tc>
              <w:tc>
                <w:tcPr>
                  <w:tcW w:w="331" w:type="pct"/>
                  <w:noWrap w:val="0"/>
                  <w:vAlign w:val="center"/>
                </w:tcPr>
                <w:p w14:paraId="31B16849">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DW001</w:t>
                  </w:r>
                </w:p>
              </w:tc>
              <w:tc>
                <w:tcPr>
                  <w:tcW w:w="489" w:type="pct"/>
                  <w:noWrap w:val="0"/>
                  <w:vAlign w:val="center"/>
                </w:tcPr>
                <w:p w14:paraId="3170A6FA">
                  <w:pPr>
                    <w:keepNext/>
                    <w:keepLines/>
                    <w:pageBreakBefore w:val="0"/>
                    <w:widowControl w:val="0"/>
                    <w:suppressLineNumbers w:val="0"/>
                    <w:kinsoku/>
                    <w:overflowPunct/>
                    <w:topLinePunct w:val="0"/>
                    <w:bidi w:val="0"/>
                    <w:adjustRightInd w:val="0"/>
                    <w:snapToGrid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sym w:font="Wingdings 2" w:char="0052"/>
                  </w:r>
                  <w:r>
                    <w:rPr>
                      <w:rFonts w:hint="default" w:ascii="Times New Roman" w:hAnsi="Times New Roman" w:cs="Times New Roman"/>
                      <w:color w:val="000000" w:themeColor="text1"/>
                      <w:sz w:val="21"/>
                      <w:szCs w:val="21"/>
                      <w:highlight w:val="none"/>
                      <w14:textFill>
                        <w14:solidFill>
                          <w14:schemeClr w14:val="tx1"/>
                        </w14:solidFill>
                      </w14:textFill>
                    </w:rPr>
                    <w:t>是</w:t>
                  </w:r>
                </w:p>
                <w:p w14:paraId="72C9F0BA">
                  <w:pPr>
                    <w:keepNext/>
                    <w:keepLines/>
                    <w:pageBreakBefore w:val="0"/>
                    <w:widowControl w:val="0"/>
                    <w:suppressLineNumbers w:val="0"/>
                    <w:kinsoku/>
                    <w:overflowPunct/>
                    <w:topLinePunct w:val="0"/>
                    <w:bidi w:val="0"/>
                    <w:adjustRightInd w:val="0"/>
                    <w:snapToGrid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sym w:font="Wingdings 2" w:char="00A3"/>
                  </w:r>
                  <w:r>
                    <w:rPr>
                      <w:rFonts w:hint="default" w:ascii="Times New Roman" w:hAnsi="Times New Roman" w:cs="Times New Roman"/>
                      <w:color w:val="000000" w:themeColor="text1"/>
                      <w:sz w:val="21"/>
                      <w:szCs w:val="21"/>
                      <w:highlight w:val="none"/>
                      <w14:textFill>
                        <w14:solidFill>
                          <w14:schemeClr w14:val="tx1"/>
                        </w14:solidFill>
                      </w14:textFill>
                    </w:rPr>
                    <w:t>否</w:t>
                  </w:r>
                </w:p>
              </w:tc>
              <w:tc>
                <w:tcPr>
                  <w:tcW w:w="878" w:type="pct"/>
                  <w:noWrap w:val="0"/>
                  <w:vAlign w:val="center"/>
                </w:tcPr>
                <w:p w14:paraId="674C26E4">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sym w:font="Wingdings 2" w:char="0052"/>
                  </w:r>
                  <w:r>
                    <w:rPr>
                      <w:rFonts w:hint="default" w:ascii="Times New Roman" w:hAnsi="Times New Roman" w:cs="Times New Roman"/>
                      <w:color w:val="000000" w:themeColor="text1"/>
                      <w:sz w:val="21"/>
                      <w:szCs w:val="21"/>
                      <w:highlight w:val="none"/>
                      <w14:textFill>
                        <w14:solidFill>
                          <w14:schemeClr w14:val="tx1"/>
                        </w14:solidFill>
                      </w14:textFill>
                    </w:rPr>
                    <w:t>企业总排</w:t>
                  </w:r>
                </w:p>
                <w:p w14:paraId="669A4099">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sym w:font="Wingdings 2" w:char="00A3"/>
                  </w:r>
                  <w:r>
                    <w:rPr>
                      <w:rFonts w:hint="default" w:ascii="Times New Roman" w:hAnsi="Times New Roman" w:cs="Times New Roman"/>
                      <w:color w:val="000000" w:themeColor="text1"/>
                      <w:sz w:val="21"/>
                      <w:szCs w:val="21"/>
                      <w:highlight w:val="none"/>
                      <w14:textFill>
                        <w14:solidFill>
                          <w14:schemeClr w14:val="tx1"/>
                        </w14:solidFill>
                      </w14:textFill>
                    </w:rPr>
                    <w:t>雨水排放</w:t>
                  </w:r>
                </w:p>
                <w:p w14:paraId="097FC8F0">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sym w:font="Wingdings 2" w:char="00A3"/>
                  </w:r>
                  <w:r>
                    <w:rPr>
                      <w:rFonts w:hint="default" w:ascii="Times New Roman" w:hAnsi="Times New Roman" w:cs="Times New Roman"/>
                      <w:color w:val="000000" w:themeColor="text1"/>
                      <w:sz w:val="21"/>
                      <w:szCs w:val="21"/>
                      <w:highlight w:val="none"/>
                      <w14:textFill>
                        <w14:solidFill>
                          <w14:schemeClr w14:val="tx1"/>
                        </w14:solidFill>
                      </w14:textFill>
                    </w:rPr>
                    <w:t>清净下水排放</w:t>
                  </w:r>
                </w:p>
                <w:p w14:paraId="77C68917">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sym w:font="Wingdings 2" w:char="00A3"/>
                  </w:r>
                  <w:r>
                    <w:rPr>
                      <w:rFonts w:hint="default" w:ascii="Times New Roman" w:hAnsi="Times New Roman" w:cs="Times New Roman"/>
                      <w:color w:val="000000" w:themeColor="text1"/>
                      <w:sz w:val="21"/>
                      <w:szCs w:val="21"/>
                      <w:highlight w:val="none"/>
                      <w14:textFill>
                        <w14:solidFill>
                          <w14:schemeClr w14:val="tx1"/>
                        </w14:solidFill>
                      </w14:textFill>
                    </w:rPr>
                    <w:t>温排水排放</w:t>
                  </w:r>
                </w:p>
                <w:p w14:paraId="7B45540F">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sym w:font="Wingdings 2" w:char="00A3"/>
                  </w:r>
                  <w:r>
                    <w:rPr>
                      <w:rFonts w:hint="default" w:ascii="Times New Roman" w:hAnsi="Times New Roman" w:cs="Times New Roman"/>
                      <w:color w:val="000000" w:themeColor="text1"/>
                      <w:sz w:val="21"/>
                      <w:szCs w:val="21"/>
                      <w:highlight w:val="none"/>
                      <w14:textFill>
                        <w14:solidFill>
                          <w14:schemeClr w14:val="tx1"/>
                        </w14:solidFill>
                      </w14:textFill>
                    </w:rPr>
                    <w:t>车间或车间处理设施排放口</w:t>
                  </w:r>
                </w:p>
              </w:tc>
            </w:tr>
            <w:tr w14:paraId="3BCEC6D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36" w:type="pct"/>
                  <w:tcBorders>
                    <w:bottom w:val="single" w:color="auto" w:sz="4" w:space="0"/>
                  </w:tcBorders>
                  <w:noWrap w:val="0"/>
                  <w:vAlign w:val="center"/>
                </w:tcPr>
                <w:p w14:paraId="189E0DF0">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生产废水</w:t>
                  </w:r>
                </w:p>
              </w:tc>
              <w:tc>
                <w:tcPr>
                  <w:tcW w:w="685" w:type="pct"/>
                  <w:tcBorders>
                    <w:bottom w:val="single" w:color="auto" w:sz="4" w:space="0"/>
                  </w:tcBorders>
                  <w:noWrap w:val="0"/>
                  <w:vAlign w:val="center"/>
                </w:tcPr>
                <w:p w14:paraId="11CE2D58">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leftChars="0" w:right="0" w:rightChars="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pH、COD</w:t>
                  </w:r>
                  <w:r>
                    <w:rPr>
                      <w:rFonts w:hint="default" w:ascii="Times New Roman" w:hAnsi="Times New Roman" w:cs="Times New Roman"/>
                      <w:color w:val="000000" w:themeColor="text1"/>
                      <w:kern w:val="2"/>
                      <w:sz w:val="21"/>
                      <w:szCs w:val="21"/>
                      <w:highlight w:val="none"/>
                      <w:vertAlign w:val="subscript"/>
                      <w14:textFill>
                        <w14:solidFill>
                          <w14:schemeClr w14:val="tx1"/>
                        </w14:solidFill>
                      </w14:textFill>
                    </w:rPr>
                    <w:t>Cr</w:t>
                  </w:r>
                  <w:r>
                    <w:rPr>
                      <w:rFonts w:hint="default" w:ascii="Times New Roman" w:hAnsi="Times New Roman" w:cs="Times New Roman"/>
                      <w:color w:val="000000" w:themeColor="text1"/>
                      <w:kern w:val="2"/>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BOD</w:t>
                  </w:r>
                  <w:r>
                    <w:rPr>
                      <w:rFonts w:hint="default" w:ascii="Times New Roman" w:hAnsi="Times New Roman" w:cs="Times New Roman"/>
                      <w:color w:val="000000" w:themeColor="text1"/>
                      <w:sz w:val="21"/>
                      <w:szCs w:val="21"/>
                      <w:highlight w:val="none"/>
                      <w:vertAlign w:val="subscript"/>
                      <w:lang w:val="en-US" w:eastAsia="zh-CN"/>
                      <w14:textFill>
                        <w14:solidFill>
                          <w14:schemeClr w14:val="tx1"/>
                        </w14:solidFill>
                      </w14:textFill>
                    </w:rPr>
                    <w:t>5</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、NH</w:t>
                  </w:r>
                  <w:r>
                    <w:rPr>
                      <w:rFonts w:hint="default" w:ascii="Times New Roman" w:hAnsi="Times New Roman" w:cs="Times New Roman"/>
                      <w:color w:val="000000" w:themeColor="text1"/>
                      <w:sz w:val="21"/>
                      <w:szCs w:val="21"/>
                      <w:highlight w:val="none"/>
                      <w:vertAlign w:val="subscript"/>
                      <w:lang w:val="en-US" w:eastAsia="zh-CN"/>
                      <w14:textFill>
                        <w14:solidFill>
                          <w14:schemeClr w14:val="tx1"/>
                        </w14:solidFill>
                      </w14:textFill>
                    </w:rPr>
                    <w:t>3</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-N、</w:t>
                  </w:r>
                  <w:r>
                    <w:rPr>
                      <w:rFonts w:hint="default" w:ascii="Times New Roman" w:hAnsi="Times New Roman" w:cs="Times New Roman"/>
                      <w:color w:val="000000" w:themeColor="text1"/>
                      <w:kern w:val="2"/>
                      <w:sz w:val="21"/>
                      <w:szCs w:val="21"/>
                      <w:highlight w:val="none"/>
                      <w14:textFill>
                        <w14:solidFill>
                          <w14:schemeClr w14:val="tx1"/>
                        </w14:solidFill>
                      </w14:textFill>
                    </w:rPr>
                    <w:t>SS、阴离子表面活性剂、氟化物、石油类</w:t>
                  </w:r>
                </w:p>
              </w:tc>
              <w:tc>
                <w:tcPr>
                  <w:tcW w:w="323" w:type="pct"/>
                  <w:vMerge w:val="continue"/>
                  <w:tcBorders>
                    <w:bottom w:val="single" w:color="auto" w:sz="4" w:space="0"/>
                  </w:tcBorders>
                  <w:noWrap w:val="0"/>
                  <w:vAlign w:val="center"/>
                </w:tcPr>
                <w:p w14:paraId="4713FE64">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leftChars="0" w:right="0" w:rightChars="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562" w:type="pct"/>
                  <w:vMerge w:val="continue"/>
                  <w:tcBorders>
                    <w:bottom w:val="single" w:color="auto" w:sz="4" w:space="0"/>
                  </w:tcBorders>
                  <w:noWrap w:val="0"/>
                  <w:vAlign w:val="center"/>
                </w:tcPr>
                <w:p w14:paraId="6EAB5130">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leftChars="0" w:right="0" w:rightChars="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423" w:type="pct"/>
                  <w:tcBorders>
                    <w:bottom w:val="single" w:color="auto" w:sz="4" w:space="0"/>
                  </w:tcBorders>
                  <w:noWrap w:val="0"/>
                  <w:vAlign w:val="center"/>
                </w:tcPr>
                <w:p w14:paraId="4DD074C6">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TW002</w:t>
                  </w:r>
                </w:p>
              </w:tc>
              <w:tc>
                <w:tcPr>
                  <w:tcW w:w="496" w:type="pct"/>
                  <w:tcBorders>
                    <w:bottom w:val="single" w:color="auto" w:sz="4" w:space="0"/>
                  </w:tcBorders>
                  <w:noWrap w:val="0"/>
                  <w:vAlign w:val="center"/>
                </w:tcPr>
                <w:p w14:paraId="71A22464">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废水处理站</w:t>
                  </w:r>
                </w:p>
              </w:tc>
              <w:tc>
                <w:tcPr>
                  <w:tcW w:w="473" w:type="pct"/>
                  <w:tcBorders>
                    <w:bottom w:val="single" w:color="auto" w:sz="4" w:space="0"/>
                  </w:tcBorders>
                  <w:noWrap w:val="0"/>
                  <w:vAlign w:val="center"/>
                </w:tcPr>
                <w:p w14:paraId="27B9F554">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right="0"/>
                    <w:rPr>
                      <w:rFonts w:hint="eastAsia" w:ascii="Times New Roman" w:hAnsi="Times New Roman" w:eastAsia="宋体" w:cs="Times New Roman"/>
                      <w:color w:val="000000" w:themeColor="text1"/>
                      <w:kern w:val="2"/>
                      <w:sz w:val="21"/>
                      <w:szCs w:val="21"/>
                      <w:highlight w:val="none"/>
                      <w:lang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中和调节+混凝沉淀+气浮+化学除氟</w:t>
                  </w:r>
                </w:p>
              </w:tc>
              <w:tc>
                <w:tcPr>
                  <w:tcW w:w="331" w:type="pct"/>
                  <w:tcBorders>
                    <w:bottom w:val="single" w:color="auto" w:sz="4" w:space="0"/>
                  </w:tcBorders>
                  <w:noWrap w:val="0"/>
                  <w:vAlign w:val="center"/>
                </w:tcPr>
                <w:p w14:paraId="066B6CD5">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DW00</w:t>
                  </w: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2</w:t>
                  </w:r>
                </w:p>
              </w:tc>
              <w:tc>
                <w:tcPr>
                  <w:tcW w:w="489" w:type="pct"/>
                  <w:tcBorders>
                    <w:bottom w:val="single" w:color="auto" w:sz="4" w:space="0"/>
                  </w:tcBorders>
                  <w:noWrap w:val="0"/>
                  <w:vAlign w:val="center"/>
                </w:tcPr>
                <w:p w14:paraId="28108464">
                  <w:pPr>
                    <w:keepNext/>
                    <w:keepLines/>
                    <w:pageBreakBefore w:val="0"/>
                    <w:widowControl w:val="0"/>
                    <w:suppressLineNumbers w:val="0"/>
                    <w:kinsoku/>
                    <w:overflowPunct/>
                    <w:topLinePunct w:val="0"/>
                    <w:bidi w:val="0"/>
                    <w:adjustRightInd w:val="0"/>
                    <w:snapToGrid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sym w:font="Wingdings 2" w:char="0052"/>
                  </w:r>
                  <w:r>
                    <w:rPr>
                      <w:rFonts w:hint="default" w:ascii="Times New Roman" w:hAnsi="Times New Roman" w:cs="Times New Roman"/>
                      <w:color w:val="000000" w:themeColor="text1"/>
                      <w:sz w:val="21"/>
                      <w:szCs w:val="21"/>
                      <w:highlight w:val="none"/>
                      <w14:textFill>
                        <w14:solidFill>
                          <w14:schemeClr w14:val="tx1"/>
                        </w14:solidFill>
                      </w14:textFill>
                    </w:rPr>
                    <w:t>是</w:t>
                  </w:r>
                </w:p>
                <w:p w14:paraId="4D670C1D">
                  <w:pPr>
                    <w:keepNext/>
                    <w:keepLines/>
                    <w:pageBreakBefore w:val="0"/>
                    <w:widowControl w:val="0"/>
                    <w:suppressLineNumbers w:val="0"/>
                    <w:kinsoku/>
                    <w:overflowPunct/>
                    <w:topLinePunct w:val="0"/>
                    <w:bidi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sym w:font="Wingdings 2" w:char="00A3"/>
                  </w:r>
                  <w:r>
                    <w:rPr>
                      <w:rFonts w:hint="default" w:ascii="Times New Roman" w:hAnsi="Times New Roman" w:cs="Times New Roman"/>
                      <w:color w:val="000000" w:themeColor="text1"/>
                      <w:sz w:val="21"/>
                      <w:szCs w:val="21"/>
                      <w:highlight w:val="none"/>
                      <w14:textFill>
                        <w14:solidFill>
                          <w14:schemeClr w14:val="tx1"/>
                        </w14:solidFill>
                      </w14:textFill>
                    </w:rPr>
                    <w:t>否</w:t>
                  </w:r>
                </w:p>
              </w:tc>
              <w:tc>
                <w:tcPr>
                  <w:tcW w:w="878" w:type="pct"/>
                  <w:tcBorders>
                    <w:bottom w:val="single" w:color="auto" w:sz="4" w:space="0"/>
                  </w:tcBorders>
                  <w:noWrap w:val="0"/>
                  <w:vAlign w:val="center"/>
                </w:tcPr>
                <w:p w14:paraId="4386997C">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sym w:font="Wingdings 2" w:char="0052"/>
                  </w:r>
                  <w:r>
                    <w:rPr>
                      <w:rFonts w:hint="default" w:ascii="Times New Roman" w:hAnsi="Times New Roman" w:cs="Times New Roman"/>
                      <w:color w:val="000000" w:themeColor="text1"/>
                      <w:sz w:val="21"/>
                      <w:szCs w:val="21"/>
                      <w:highlight w:val="none"/>
                      <w14:textFill>
                        <w14:solidFill>
                          <w14:schemeClr w14:val="tx1"/>
                        </w14:solidFill>
                      </w14:textFill>
                    </w:rPr>
                    <w:t>企业总排</w:t>
                  </w:r>
                </w:p>
                <w:p w14:paraId="0EE4ED93">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sym w:font="Wingdings 2" w:char="00A3"/>
                  </w:r>
                  <w:r>
                    <w:rPr>
                      <w:rFonts w:hint="default" w:ascii="Times New Roman" w:hAnsi="Times New Roman" w:cs="Times New Roman"/>
                      <w:color w:val="000000" w:themeColor="text1"/>
                      <w:sz w:val="21"/>
                      <w:szCs w:val="21"/>
                      <w:highlight w:val="none"/>
                      <w14:textFill>
                        <w14:solidFill>
                          <w14:schemeClr w14:val="tx1"/>
                        </w14:solidFill>
                      </w14:textFill>
                    </w:rPr>
                    <w:t>雨水排放</w:t>
                  </w:r>
                </w:p>
                <w:p w14:paraId="2DB4AF8D">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sym w:font="Wingdings 2" w:char="00A3"/>
                  </w:r>
                  <w:r>
                    <w:rPr>
                      <w:rFonts w:hint="default" w:ascii="Times New Roman" w:hAnsi="Times New Roman" w:cs="Times New Roman"/>
                      <w:color w:val="000000" w:themeColor="text1"/>
                      <w:sz w:val="21"/>
                      <w:szCs w:val="21"/>
                      <w:highlight w:val="none"/>
                      <w14:textFill>
                        <w14:solidFill>
                          <w14:schemeClr w14:val="tx1"/>
                        </w14:solidFill>
                      </w14:textFill>
                    </w:rPr>
                    <w:t>清净下水排放</w:t>
                  </w:r>
                </w:p>
                <w:p w14:paraId="0FD2A979">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sym w:font="Wingdings 2" w:char="00A3"/>
                  </w:r>
                  <w:r>
                    <w:rPr>
                      <w:rFonts w:hint="default" w:ascii="Times New Roman" w:hAnsi="Times New Roman" w:cs="Times New Roman"/>
                      <w:color w:val="000000" w:themeColor="text1"/>
                      <w:sz w:val="21"/>
                      <w:szCs w:val="21"/>
                      <w:highlight w:val="none"/>
                      <w14:textFill>
                        <w14:solidFill>
                          <w14:schemeClr w14:val="tx1"/>
                        </w14:solidFill>
                      </w14:textFill>
                    </w:rPr>
                    <w:t>温排水排放</w:t>
                  </w:r>
                </w:p>
                <w:p w14:paraId="5E997A3F">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sym w:font="Wingdings 2" w:char="00A3"/>
                  </w:r>
                  <w:r>
                    <w:rPr>
                      <w:rFonts w:hint="default" w:ascii="Times New Roman" w:hAnsi="Times New Roman" w:cs="Times New Roman"/>
                      <w:color w:val="000000" w:themeColor="text1"/>
                      <w:sz w:val="21"/>
                      <w:szCs w:val="21"/>
                      <w:highlight w:val="none"/>
                      <w14:textFill>
                        <w14:solidFill>
                          <w14:schemeClr w14:val="tx1"/>
                        </w14:solidFill>
                      </w14:textFill>
                    </w:rPr>
                    <w:t>车间或车间处理设施排放口</w:t>
                  </w:r>
                </w:p>
              </w:tc>
            </w:tr>
          </w:tbl>
          <w:p w14:paraId="4FE1FB87">
            <w:pPr>
              <w:keepNext w:val="0"/>
              <w:keepLines w:val="0"/>
              <w:pageBreakBefore w:val="0"/>
              <w:widowControl w:val="0"/>
              <w:kinsoku/>
              <w:wordWrap/>
              <w:overflowPunct/>
              <w:topLinePunct w:val="0"/>
              <w:autoSpaceDE/>
              <w:autoSpaceDN/>
              <w:bidi w:val="0"/>
              <w:adjustRightInd w:val="0"/>
              <w:snapToGrid/>
              <w:spacing w:line="120" w:lineRule="auto"/>
              <w:jc w:val="center"/>
              <w:textAlignment w:val="auto"/>
              <w:rPr>
                <w:rFonts w:hint="default" w:ascii="Times New Roman" w:hAnsi="Times New Roman" w:eastAsia="宋体" w:cs="Times New Roman"/>
                <w:b/>
                <w:color w:val="000000" w:themeColor="text1"/>
                <w:sz w:val="21"/>
                <w:szCs w:val="21"/>
                <w:highlight w:val="none"/>
                <w14:textFill>
                  <w14:solidFill>
                    <w14:schemeClr w14:val="tx1"/>
                  </w14:solidFill>
                </w14:textFill>
              </w:rPr>
            </w:pPr>
          </w:p>
          <w:p w14:paraId="676A3A3A">
            <w:pPr>
              <w:keepNext/>
              <w:keepLines/>
              <w:numPr>
                <w:ilvl w:val="0"/>
                <w:numId w:val="0"/>
              </w:numPr>
              <w:suppressLineNumbers w:val="0"/>
              <w:tabs>
                <w:tab w:val="left" w:pos="0"/>
              </w:tabs>
              <w:spacing w:before="0" w:beforeAutospacing="0" w:after="0" w:afterAutospacing="0"/>
              <w:ind w:left="0" w:leftChars="0" w:right="0" w:rightChars="0" w:firstLine="40" w:firstLineChars="0"/>
              <w:jc w:val="center"/>
              <w:outlineLvl w:val="3"/>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w:t>
            </w:r>
            <w:r>
              <w:rPr>
                <w:rFonts w:hint="eastAsia" w:cs="Times New Roman"/>
                <w:b/>
                <w:bCs/>
                <w:color w:val="000000" w:themeColor="text1"/>
                <w:kern w:val="2"/>
                <w:sz w:val="21"/>
                <w:szCs w:val="21"/>
                <w:lang w:val="en-US" w:eastAsia="zh-CN" w:bidi="ar-SA"/>
                <w14:textFill>
                  <w14:solidFill>
                    <w14:schemeClr w14:val="tx1"/>
                  </w14:solidFill>
                </w14:textFill>
              </w:rPr>
              <w:t>29</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废水污染物排放执行标准表</w:t>
            </w:r>
          </w:p>
          <w:tbl>
            <w:tblPr>
              <w:tblStyle w:val="44"/>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4" w:space="0"/>
              </w:tblBorders>
              <w:tblLayout w:type="fixed"/>
              <w:tblCellMar>
                <w:top w:w="0" w:type="dxa"/>
                <w:left w:w="10" w:type="dxa"/>
                <w:bottom w:w="0" w:type="dxa"/>
                <w:right w:w="10" w:type="dxa"/>
              </w:tblCellMar>
            </w:tblPr>
            <w:tblGrid>
              <w:gridCol w:w="386"/>
              <w:gridCol w:w="836"/>
              <w:gridCol w:w="1419"/>
              <w:gridCol w:w="3203"/>
              <w:gridCol w:w="2542"/>
            </w:tblGrid>
            <w:tr w14:paraId="28270E00">
              <w:tblPrEx>
                <w:tblBorders>
                  <w:top w:val="single" w:color="auto" w:sz="6" w:space="0"/>
                  <w:left w:val="single" w:color="auto" w:sz="6" w:space="0"/>
                  <w:bottom w:val="single" w:color="auto" w:sz="6" w:space="0"/>
                  <w:right w:val="single" w:color="auto" w:sz="6" w:space="0"/>
                  <w:insideH w:val="single" w:color="auto" w:sz="6" w:space="0"/>
                  <w:insideV w:val="single" w:color="auto" w:sz="4" w:space="0"/>
                </w:tblBorders>
                <w:tblCellMar>
                  <w:top w:w="0" w:type="dxa"/>
                  <w:left w:w="10" w:type="dxa"/>
                  <w:bottom w:w="0" w:type="dxa"/>
                  <w:right w:w="10" w:type="dxa"/>
                </w:tblCellMar>
              </w:tblPrEx>
              <w:trPr>
                <w:trHeight w:val="369" w:hRule="atLeast"/>
                <w:jc w:val="center"/>
              </w:trPr>
              <w:tc>
                <w:tcPr>
                  <w:tcW w:w="230" w:type="pct"/>
                  <w:vMerge w:val="restart"/>
                  <w:tcBorders>
                    <w:tl2br w:val="nil"/>
                    <w:tr2bl w:val="nil"/>
                  </w:tcBorders>
                  <w:noWrap w:val="0"/>
                  <w:vAlign w:val="center"/>
                </w:tcPr>
                <w:p w14:paraId="19AF57D4">
                  <w:pPr>
                    <w:pStyle w:val="134"/>
                    <w:spacing w:line="240" w:lineRule="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bidi="ar"/>
                      <w14:textFill>
                        <w14:solidFill>
                          <w14:schemeClr w14:val="tx1"/>
                        </w14:solidFill>
                      </w14:textFill>
                    </w:rPr>
                    <w:t>序号</w:t>
                  </w:r>
                </w:p>
              </w:tc>
              <w:tc>
                <w:tcPr>
                  <w:tcW w:w="498" w:type="pct"/>
                  <w:vMerge w:val="restart"/>
                  <w:tcBorders>
                    <w:tl2br w:val="nil"/>
                    <w:tr2bl w:val="nil"/>
                  </w:tcBorders>
                  <w:noWrap w:val="0"/>
                  <w:vAlign w:val="center"/>
                </w:tcPr>
                <w:p w14:paraId="10A7B2A1">
                  <w:pPr>
                    <w:pStyle w:val="134"/>
                    <w:spacing w:line="240" w:lineRule="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bidi="ar"/>
                      <w14:textFill>
                        <w14:solidFill>
                          <w14:schemeClr w14:val="tx1"/>
                        </w14:solidFill>
                      </w14:textFill>
                    </w:rPr>
                    <w:t>排放口编号</w:t>
                  </w:r>
                </w:p>
              </w:tc>
              <w:tc>
                <w:tcPr>
                  <w:tcW w:w="846" w:type="pct"/>
                  <w:vMerge w:val="restart"/>
                  <w:tcBorders>
                    <w:tl2br w:val="nil"/>
                    <w:tr2bl w:val="nil"/>
                  </w:tcBorders>
                  <w:noWrap w:val="0"/>
                  <w:vAlign w:val="center"/>
                </w:tcPr>
                <w:p w14:paraId="0D4D451D">
                  <w:pPr>
                    <w:pStyle w:val="134"/>
                    <w:spacing w:line="240" w:lineRule="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bidi="ar"/>
                      <w14:textFill>
                        <w14:solidFill>
                          <w14:schemeClr w14:val="tx1"/>
                        </w14:solidFill>
                      </w14:textFill>
                    </w:rPr>
                    <w:t>污染物种类</w:t>
                  </w:r>
                </w:p>
              </w:tc>
              <w:tc>
                <w:tcPr>
                  <w:tcW w:w="3424" w:type="pct"/>
                  <w:gridSpan w:val="2"/>
                  <w:tcBorders>
                    <w:tl2br w:val="nil"/>
                    <w:tr2bl w:val="nil"/>
                  </w:tcBorders>
                  <w:noWrap w:val="0"/>
                  <w:vAlign w:val="center"/>
                </w:tcPr>
                <w:p w14:paraId="6F834ED4">
                  <w:pPr>
                    <w:pStyle w:val="134"/>
                    <w:spacing w:line="240" w:lineRule="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bidi="ar"/>
                      <w14:textFill>
                        <w14:solidFill>
                          <w14:schemeClr w14:val="tx1"/>
                        </w14:solidFill>
                      </w14:textFill>
                    </w:rPr>
                    <w:t>国家或地方污染物排放标准及其他按规定商定的排放协议</w:t>
                  </w:r>
                </w:p>
              </w:tc>
            </w:tr>
            <w:tr w14:paraId="2921D07A">
              <w:tblPrEx>
                <w:tblBorders>
                  <w:top w:val="single" w:color="auto" w:sz="6" w:space="0"/>
                  <w:left w:val="single" w:color="auto" w:sz="6" w:space="0"/>
                  <w:bottom w:val="single" w:color="auto" w:sz="6" w:space="0"/>
                  <w:right w:val="single" w:color="auto" w:sz="6" w:space="0"/>
                  <w:insideH w:val="single" w:color="auto" w:sz="6" w:space="0"/>
                  <w:insideV w:val="single" w:color="auto" w:sz="4" w:space="0"/>
                </w:tblBorders>
                <w:tblCellMar>
                  <w:top w:w="0" w:type="dxa"/>
                  <w:left w:w="10" w:type="dxa"/>
                  <w:bottom w:w="0" w:type="dxa"/>
                  <w:right w:w="10" w:type="dxa"/>
                </w:tblCellMar>
              </w:tblPrEx>
              <w:trPr>
                <w:trHeight w:val="369" w:hRule="atLeast"/>
                <w:jc w:val="center"/>
              </w:trPr>
              <w:tc>
                <w:tcPr>
                  <w:tcW w:w="230" w:type="pct"/>
                  <w:vMerge w:val="continue"/>
                  <w:tcBorders>
                    <w:tl2br w:val="nil"/>
                    <w:tr2bl w:val="nil"/>
                  </w:tcBorders>
                  <w:noWrap w:val="0"/>
                  <w:vAlign w:val="center"/>
                </w:tcPr>
                <w:p w14:paraId="734A2AA2">
                  <w:pPr>
                    <w:pStyle w:val="134"/>
                    <w:spacing w:line="240" w:lineRule="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p>
              </w:tc>
              <w:tc>
                <w:tcPr>
                  <w:tcW w:w="498" w:type="pct"/>
                  <w:vMerge w:val="continue"/>
                  <w:tcBorders>
                    <w:tl2br w:val="nil"/>
                    <w:tr2bl w:val="nil"/>
                  </w:tcBorders>
                  <w:noWrap w:val="0"/>
                  <w:vAlign w:val="center"/>
                </w:tcPr>
                <w:p w14:paraId="77AC9CED">
                  <w:pPr>
                    <w:pStyle w:val="134"/>
                    <w:spacing w:line="240" w:lineRule="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p>
              </w:tc>
              <w:tc>
                <w:tcPr>
                  <w:tcW w:w="846" w:type="pct"/>
                  <w:vMerge w:val="continue"/>
                  <w:tcBorders>
                    <w:tl2br w:val="nil"/>
                    <w:tr2bl w:val="nil"/>
                  </w:tcBorders>
                  <w:noWrap w:val="0"/>
                  <w:vAlign w:val="center"/>
                </w:tcPr>
                <w:p w14:paraId="0004DEF6">
                  <w:pPr>
                    <w:pStyle w:val="134"/>
                    <w:spacing w:line="240" w:lineRule="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p>
              </w:tc>
              <w:tc>
                <w:tcPr>
                  <w:tcW w:w="1909" w:type="pct"/>
                  <w:tcBorders>
                    <w:tl2br w:val="nil"/>
                    <w:tr2bl w:val="nil"/>
                  </w:tcBorders>
                  <w:noWrap w:val="0"/>
                  <w:vAlign w:val="center"/>
                </w:tcPr>
                <w:p w14:paraId="4590BA6E">
                  <w:pPr>
                    <w:pStyle w:val="134"/>
                    <w:spacing w:line="240" w:lineRule="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bidi="ar"/>
                      <w14:textFill>
                        <w14:solidFill>
                          <w14:schemeClr w14:val="tx1"/>
                        </w14:solidFill>
                      </w14:textFill>
                    </w:rPr>
                    <w:t>名称</w:t>
                  </w:r>
                </w:p>
              </w:tc>
              <w:tc>
                <w:tcPr>
                  <w:tcW w:w="1515" w:type="pct"/>
                  <w:tcBorders>
                    <w:tl2br w:val="nil"/>
                    <w:tr2bl w:val="nil"/>
                  </w:tcBorders>
                  <w:noWrap w:val="0"/>
                  <w:vAlign w:val="center"/>
                </w:tcPr>
                <w:p w14:paraId="324756F5">
                  <w:pPr>
                    <w:pStyle w:val="134"/>
                    <w:spacing w:line="240" w:lineRule="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bidi="ar"/>
                      <w14:textFill>
                        <w14:solidFill>
                          <w14:schemeClr w14:val="tx1"/>
                        </w14:solidFill>
                      </w14:textFill>
                    </w:rPr>
                    <w:t>浓度限值</w:t>
                  </w:r>
                </w:p>
              </w:tc>
            </w:tr>
            <w:tr w14:paraId="26475811">
              <w:tblPrEx>
                <w:tblBorders>
                  <w:top w:val="single" w:color="auto" w:sz="6" w:space="0"/>
                  <w:left w:val="single" w:color="auto" w:sz="6" w:space="0"/>
                  <w:bottom w:val="single" w:color="auto" w:sz="6" w:space="0"/>
                  <w:right w:val="single" w:color="auto" w:sz="6" w:space="0"/>
                  <w:insideH w:val="single" w:color="auto" w:sz="6" w:space="0"/>
                  <w:insideV w:val="single" w:color="auto" w:sz="4" w:space="0"/>
                </w:tblBorders>
                <w:tblCellMar>
                  <w:top w:w="0" w:type="dxa"/>
                  <w:left w:w="10" w:type="dxa"/>
                  <w:bottom w:w="0" w:type="dxa"/>
                  <w:right w:w="10" w:type="dxa"/>
                </w:tblCellMar>
              </w:tblPrEx>
              <w:trPr>
                <w:trHeight w:val="369" w:hRule="atLeast"/>
                <w:jc w:val="center"/>
              </w:trPr>
              <w:tc>
                <w:tcPr>
                  <w:tcW w:w="230" w:type="pct"/>
                  <w:tcBorders>
                    <w:tl2br w:val="nil"/>
                    <w:tr2bl w:val="nil"/>
                  </w:tcBorders>
                  <w:noWrap w:val="0"/>
                  <w:vAlign w:val="center"/>
                </w:tcPr>
                <w:p w14:paraId="676CCEC1">
                  <w:pPr>
                    <w:pStyle w:val="134"/>
                    <w:spacing w:line="240" w:lineRule="auto"/>
                    <w:rPr>
                      <w:rFonts w:hint="default" w:ascii="Times New Roman" w:hAnsi="Times New Roman" w:eastAsia="宋体" w:cs="Times New Roman"/>
                      <w:color w:val="000000" w:themeColor="text1"/>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1</w:t>
                  </w:r>
                </w:p>
              </w:tc>
              <w:tc>
                <w:tcPr>
                  <w:tcW w:w="498" w:type="pct"/>
                  <w:tcBorders>
                    <w:tl2br w:val="nil"/>
                    <w:tr2bl w:val="nil"/>
                  </w:tcBorders>
                  <w:noWrap w:val="0"/>
                  <w:vAlign w:val="center"/>
                </w:tcPr>
                <w:p w14:paraId="2E17CE15">
                  <w:pPr>
                    <w:pStyle w:val="134"/>
                    <w:spacing w:line="240" w:lineRule="auto"/>
                    <w:rPr>
                      <w:rFonts w:hint="default" w:ascii="Times New Roman" w:hAnsi="Times New Roman" w:eastAsia="宋体" w:cs="Times New Roman"/>
                      <w:color w:val="000000" w:themeColor="text1"/>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DW001</w:t>
                  </w:r>
                </w:p>
              </w:tc>
              <w:tc>
                <w:tcPr>
                  <w:tcW w:w="1420" w:type="dxa"/>
                  <w:tcBorders>
                    <w:tl2br w:val="nil"/>
                    <w:tr2bl w:val="nil"/>
                  </w:tcBorders>
                  <w:noWrap w:val="0"/>
                  <w:vAlign w:val="center"/>
                </w:tcPr>
                <w:p w14:paraId="2D3213E8">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pH、COD</w:t>
                  </w:r>
                  <w:r>
                    <w:rPr>
                      <w:rFonts w:hint="default" w:ascii="Times New Roman" w:hAnsi="Times New Roman" w:cs="Times New Roman"/>
                      <w:color w:val="000000" w:themeColor="text1"/>
                      <w:kern w:val="2"/>
                      <w:sz w:val="21"/>
                      <w:szCs w:val="21"/>
                      <w:highlight w:val="none"/>
                      <w:vertAlign w:val="subscript"/>
                      <w14:textFill>
                        <w14:solidFill>
                          <w14:schemeClr w14:val="tx1"/>
                        </w14:solidFill>
                      </w14:textFill>
                    </w:rPr>
                    <w:t>Cr</w:t>
                  </w:r>
                  <w:r>
                    <w:rPr>
                      <w:rFonts w:hint="default" w:ascii="Times New Roman" w:hAnsi="Times New Roman" w:cs="Times New Roman"/>
                      <w:color w:val="000000" w:themeColor="text1"/>
                      <w:kern w:val="2"/>
                      <w:sz w:val="21"/>
                      <w:szCs w:val="21"/>
                      <w:highlight w:val="none"/>
                      <w14:textFill>
                        <w14:solidFill>
                          <w14:schemeClr w14:val="tx1"/>
                        </w14:solidFill>
                      </w14:textFill>
                    </w:rPr>
                    <w:t>、BOD</w:t>
                  </w:r>
                  <w:r>
                    <w:rPr>
                      <w:rFonts w:hint="default" w:ascii="Times New Roman" w:hAnsi="Times New Roman" w:cs="Times New Roman"/>
                      <w:color w:val="000000" w:themeColor="text1"/>
                      <w:kern w:val="2"/>
                      <w:sz w:val="21"/>
                      <w:szCs w:val="21"/>
                      <w:highlight w:val="none"/>
                      <w:vertAlign w:val="subscript"/>
                      <w14:textFill>
                        <w14:solidFill>
                          <w14:schemeClr w14:val="tx1"/>
                        </w14:solidFill>
                      </w14:textFill>
                    </w:rPr>
                    <w:t>5</w:t>
                  </w:r>
                  <w:r>
                    <w:rPr>
                      <w:rFonts w:hint="default" w:ascii="Times New Roman" w:hAnsi="Times New Roman" w:cs="Times New Roman"/>
                      <w:color w:val="000000" w:themeColor="text1"/>
                      <w:kern w:val="2"/>
                      <w:sz w:val="21"/>
                      <w:szCs w:val="21"/>
                      <w:highlight w:val="none"/>
                      <w14:textFill>
                        <w14:solidFill>
                          <w14:schemeClr w14:val="tx1"/>
                        </w14:solidFill>
                      </w14:textFill>
                    </w:rPr>
                    <w:t>、SS、氨氮</w:t>
                  </w:r>
                  <w:r>
                    <w:rPr>
                      <w:rFonts w:hint="default" w:ascii="Times New Roman" w:hAnsi="Times New Roman" w:cs="Times New Roman"/>
                      <w:color w:val="000000" w:themeColor="text1"/>
                      <w:kern w:val="2"/>
                      <w:sz w:val="21"/>
                      <w:szCs w:val="21"/>
                      <w:highlight w:val="none"/>
                      <w:lang w:eastAsia="zh-CN"/>
                      <w14:textFill>
                        <w14:solidFill>
                          <w14:schemeClr w14:val="tx1"/>
                        </w14:solidFill>
                      </w14:textFill>
                    </w:rPr>
                    <w:t>、</w:t>
                  </w: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总磷、动植物油</w:t>
                  </w:r>
                </w:p>
              </w:tc>
              <w:tc>
                <w:tcPr>
                  <w:tcW w:w="1909" w:type="pct"/>
                  <w:tcBorders>
                    <w:tl2br w:val="nil"/>
                    <w:tr2bl w:val="nil"/>
                  </w:tcBorders>
                  <w:noWrap w:val="0"/>
                  <w:vAlign w:val="center"/>
                </w:tcPr>
                <w:p w14:paraId="3CC55A6D">
                  <w:pPr>
                    <w:pStyle w:val="134"/>
                    <w:spacing w:line="240" w:lineRule="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广东省地方标准《水污染物排放限值》（DB44/26-2001）第二时段三级标准</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及</w:t>
                  </w:r>
                  <w:r>
                    <w:rPr>
                      <w:rFonts w:hint="default" w:ascii="Times New Roman" w:hAnsi="Times New Roman" w:eastAsia="宋体" w:cs="Times New Roman"/>
                      <w:color w:val="000000" w:themeColor="text1"/>
                      <w:sz w:val="21"/>
                      <w:szCs w:val="21"/>
                      <w:highlight w:val="none"/>
                      <w14:textFill>
                        <w14:solidFill>
                          <w14:schemeClr w14:val="tx1"/>
                        </w14:solidFill>
                      </w14:textFill>
                    </w:rPr>
                    <w:t>园区污水处理厂接管水质要求</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两者较严值</w:t>
                  </w:r>
                </w:p>
              </w:tc>
              <w:tc>
                <w:tcPr>
                  <w:tcW w:w="1515" w:type="pct"/>
                  <w:tcBorders>
                    <w:tl2br w:val="nil"/>
                    <w:tr2bl w:val="nil"/>
                  </w:tcBorders>
                  <w:noWrap w:val="0"/>
                  <w:vAlign w:val="center"/>
                </w:tcPr>
                <w:p w14:paraId="4A1BD55E">
                  <w:pPr>
                    <w:pStyle w:val="134"/>
                    <w:spacing w:line="240" w:lineRule="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pH6~9，COD</w:t>
                  </w:r>
                  <w:r>
                    <w:rPr>
                      <w:rFonts w:hint="default" w:ascii="Times New Roman" w:hAnsi="Times New Roman" w:eastAsia="宋体" w:cs="Times New Roman"/>
                      <w:color w:val="000000" w:themeColor="text1"/>
                      <w:sz w:val="21"/>
                      <w:szCs w:val="21"/>
                      <w:highlight w:val="none"/>
                      <w:vertAlign w:val="subscript"/>
                      <w:lang w:val="en-US" w:eastAsia="zh-CN" w:bidi="ar"/>
                      <w14:textFill>
                        <w14:solidFill>
                          <w14:schemeClr w14:val="tx1"/>
                        </w14:solidFill>
                      </w14:textFill>
                    </w:rPr>
                    <w:t>Cr</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30</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0mg/L，BOD</w:t>
                  </w:r>
                  <w:r>
                    <w:rPr>
                      <w:rFonts w:hint="default" w:ascii="Times New Roman" w:hAnsi="Times New Roman" w:eastAsia="宋体" w:cs="Times New Roman"/>
                      <w:color w:val="000000" w:themeColor="text1"/>
                      <w:sz w:val="21"/>
                      <w:szCs w:val="21"/>
                      <w:highlight w:val="none"/>
                      <w:vertAlign w:val="subscript"/>
                      <w:lang w:bidi="ar"/>
                      <w14:textFill>
                        <w14:solidFill>
                          <w14:schemeClr w14:val="tx1"/>
                        </w14:solidFill>
                      </w14:textFill>
                    </w:rPr>
                    <w:t>5</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150</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mg/L，SS≤</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25</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0mg/L</w:t>
                  </w: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NH</w:t>
                  </w:r>
                  <w:r>
                    <w:rPr>
                      <w:rFonts w:hint="default" w:ascii="Times New Roman" w:hAnsi="Times New Roman" w:eastAsia="宋体" w:cs="Times New Roman"/>
                      <w:color w:val="000000" w:themeColor="text1"/>
                      <w:sz w:val="21"/>
                      <w:szCs w:val="21"/>
                      <w:highlight w:val="none"/>
                      <w:vertAlign w:val="subscript"/>
                      <w:lang w:bidi="ar"/>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-N≤</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40</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mg/L</w:t>
                  </w: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动植物油</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100</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mg/L</w:t>
                  </w:r>
                </w:p>
              </w:tc>
            </w:tr>
            <w:tr w14:paraId="1E02EBDC">
              <w:tblPrEx>
                <w:tblBorders>
                  <w:top w:val="single" w:color="auto" w:sz="6" w:space="0"/>
                  <w:left w:val="single" w:color="auto" w:sz="6" w:space="0"/>
                  <w:bottom w:val="single" w:color="auto" w:sz="6" w:space="0"/>
                  <w:right w:val="single" w:color="auto" w:sz="6" w:space="0"/>
                  <w:insideH w:val="single" w:color="auto" w:sz="6" w:space="0"/>
                  <w:insideV w:val="single" w:color="auto" w:sz="4" w:space="0"/>
                </w:tblBorders>
                <w:tblCellMar>
                  <w:top w:w="0" w:type="dxa"/>
                  <w:left w:w="10" w:type="dxa"/>
                  <w:bottom w:w="0" w:type="dxa"/>
                  <w:right w:w="10" w:type="dxa"/>
                </w:tblCellMar>
              </w:tblPrEx>
              <w:trPr>
                <w:trHeight w:val="369" w:hRule="atLeast"/>
                <w:jc w:val="center"/>
              </w:trPr>
              <w:tc>
                <w:tcPr>
                  <w:tcW w:w="230" w:type="pct"/>
                  <w:tcBorders>
                    <w:tl2br w:val="nil"/>
                    <w:tr2bl w:val="nil"/>
                  </w:tcBorders>
                  <w:noWrap w:val="0"/>
                  <w:vAlign w:val="center"/>
                </w:tcPr>
                <w:p w14:paraId="0496E306">
                  <w:pPr>
                    <w:pStyle w:val="134"/>
                    <w:spacing w:line="240" w:lineRule="auto"/>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2</w:t>
                  </w:r>
                </w:p>
              </w:tc>
              <w:tc>
                <w:tcPr>
                  <w:tcW w:w="498" w:type="pct"/>
                  <w:tcBorders>
                    <w:tl2br w:val="nil"/>
                    <w:tr2bl w:val="nil"/>
                  </w:tcBorders>
                  <w:noWrap w:val="0"/>
                  <w:vAlign w:val="center"/>
                </w:tcPr>
                <w:p w14:paraId="79C54021">
                  <w:pPr>
                    <w:pStyle w:val="134"/>
                    <w:spacing w:line="240" w:lineRule="auto"/>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DW00</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2</w:t>
                  </w:r>
                </w:p>
              </w:tc>
              <w:tc>
                <w:tcPr>
                  <w:tcW w:w="1420" w:type="dxa"/>
                  <w:tcBorders>
                    <w:tl2br w:val="nil"/>
                    <w:tr2bl w:val="nil"/>
                  </w:tcBorders>
                  <w:noWrap w:val="0"/>
                  <w:vAlign w:val="center"/>
                </w:tcPr>
                <w:p w14:paraId="76CF8A0A">
                  <w:pPr>
                    <w:pStyle w:val="109"/>
                    <w:keepNext/>
                    <w:keepLines/>
                    <w:pageBreakBefore w:val="0"/>
                    <w:widowControl w:val="0"/>
                    <w:suppressLineNumbers w:val="0"/>
                    <w:tabs>
                      <w:tab w:val="left" w:pos="-2848"/>
                    </w:tabs>
                    <w:kinsoku/>
                    <w:overflowPunct/>
                    <w:topLinePunct w:val="0"/>
                    <w:bidi w:val="0"/>
                    <w:adjustRightInd w:val="0"/>
                    <w:snapToGrid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pH、COD</w:t>
                  </w:r>
                  <w:r>
                    <w:rPr>
                      <w:rFonts w:hint="default" w:ascii="Times New Roman" w:hAnsi="Times New Roman" w:cs="Times New Roman"/>
                      <w:color w:val="000000" w:themeColor="text1"/>
                      <w:kern w:val="2"/>
                      <w:sz w:val="21"/>
                      <w:szCs w:val="21"/>
                      <w:highlight w:val="none"/>
                      <w:vertAlign w:val="subscript"/>
                      <w14:textFill>
                        <w14:solidFill>
                          <w14:schemeClr w14:val="tx1"/>
                        </w14:solidFill>
                      </w14:textFill>
                    </w:rPr>
                    <w:t>Cr</w:t>
                  </w:r>
                  <w:r>
                    <w:rPr>
                      <w:rFonts w:hint="default" w:ascii="Times New Roman" w:hAnsi="Times New Roman" w:cs="Times New Roman"/>
                      <w:color w:val="000000" w:themeColor="text1"/>
                      <w:kern w:val="2"/>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BOD</w:t>
                  </w:r>
                  <w:r>
                    <w:rPr>
                      <w:rFonts w:hint="default" w:ascii="Times New Roman" w:hAnsi="Times New Roman" w:cs="Times New Roman"/>
                      <w:color w:val="000000" w:themeColor="text1"/>
                      <w:sz w:val="21"/>
                      <w:szCs w:val="21"/>
                      <w:highlight w:val="none"/>
                      <w:vertAlign w:val="subscript"/>
                      <w:lang w:val="en-US" w:eastAsia="zh-CN"/>
                      <w14:textFill>
                        <w14:solidFill>
                          <w14:schemeClr w14:val="tx1"/>
                        </w14:solidFill>
                      </w14:textFill>
                    </w:rPr>
                    <w:t>5</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kern w:val="2"/>
                      <w:sz w:val="21"/>
                      <w:szCs w:val="21"/>
                      <w:highlight w:val="none"/>
                      <w14:textFill>
                        <w14:solidFill>
                          <w14:schemeClr w14:val="tx1"/>
                        </w14:solidFill>
                      </w14:textFill>
                    </w:rPr>
                    <w:t>SS、</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NH</w:t>
                  </w:r>
                  <w:r>
                    <w:rPr>
                      <w:rFonts w:hint="default" w:ascii="Times New Roman" w:hAnsi="Times New Roman" w:cs="Times New Roman"/>
                      <w:color w:val="000000" w:themeColor="text1"/>
                      <w:sz w:val="21"/>
                      <w:szCs w:val="21"/>
                      <w:highlight w:val="none"/>
                      <w:vertAlign w:val="subscript"/>
                      <w:lang w:val="en-US" w:eastAsia="zh-CN"/>
                      <w14:textFill>
                        <w14:solidFill>
                          <w14:schemeClr w14:val="tx1"/>
                        </w14:solidFill>
                      </w14:textFill>
                    </w:rPr>
                    <w:t>3</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-N、</w:t>
                  </w:r>
                  <w:r>
                    <w:rPr>
                      <w:rFonts w:hint="default" w:ascii="Times New Roman" w:hAnsi="Times New Roman" w:cs="Times New Roman"/>
                      <w:color w:val="000000" w:themeColor="text1"/>
                      <w:kern w:val="2"/>
                      <w:sz w:val="21"/>
                      <w:szCs w:val="21"/>
                      <w:highlight w:val="none"/>
                      <w14:textFill>
                        <w14:solidFill>
                          <w14:schemeClr w14:val="tx1"/>
                        </w14:solidFill>
                      </w14:textFill>
                    </w:rPr>
                    <w:t>氟化物、</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TP、TN、</w:t>
                  </w:r>
                  <w:r>
                    <w:rPr>
                      <w:rFonts w:hint="default" w:ascii="Times New Roman" w:hAnsi="Times New Roman" w:cs="Times New Roman"/>
                      <w:color w:val="000000" w:themeColor="text1"/>
                      <w:kern w:val="2"/>
                      <w:sz w:val="21"/>
                      <w:szCs w:val="21"/>
                      <w:highlight w:val="none"/>
                      <w14:textFill>
                        <w14:solidFill>
                          <w14:schemeClr w14:val="tx1"/>
                        </w14:solidFill>
                      </w14:textFill>
                    </w:rPr>
                    <w:t>阴离子表面活性剂、</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总铝、</w:t>
                  </w:r>
                  <w:r>
                    <w:rPr>
                      <w:rFonts w:hint="default" w:ascii="Times New Roman" w:hAnsi="Times New Roman" w:cs="Times New Roman"/>
                      <w:color w:val="000000" w:themeColor="text1"/>
                      <w:kern w:val="2"/>
                      <w:sz w:val="21"/>
                      <w:szCs w:val="21"/>
                      <w:highlight w:val="none"/>
                      <w14:textFill>
                        <w14:solidFill>
                          <w14:schemeClr w14:val="tx1"/>
                        </w14:solidFill>
                      </w14:textFill>
                    </w:rPr>
                    <w:t>石油类</w:t>
                  </w:r>
                </w:p>
              </w:tc>
              <w:tc>
                <w:tcPr>
                  <w:tcW w:w="1909" w:type="pct"/>
                  <w:tcBorders>
                    <w:tl2br w:val="nil"/>
                    <w:tr2bl w:val="nil"/>
                  </w:tcBorders>
                  <w:noWrap w:val="0"/>
                  <w:vAlign w:val="center"/>
                </w:tcPr>
                <w:p w14:paraId="69349304">
                  <w:pPr>
                    <w:pStyle w:val="134"/>
                    <w:spacing w:line="240" w:lineRule="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园区污水处理厂接管水质要求、广东省《水污染物排放限值》（DB44/26-2001）第二时段三级标准以及《电镀水污染物排放标准》（DB44/1597-2015）</w:t>
                  </w:r>
                  <w: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表1现有项目水污染物非珠三角排放限值200%（其中总铝按表2新建项目水污染物排放限值-非珠三角地区执行）</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三者较严值要求</w:t>
                  </w:r>
                </w:p>
              </w:tc>
              <w:tc>
                <w:tcPr>
                  <w:tcW w:w="1515" w:type="pct"/>
                  <w:tcBorders>
                    <w:tl2br w:val="nil"/>
                    <w:tr2bl w:val="nil"/>
                  </w:tcBorders>
                  <w:noWrap w:val="0"/>
                  <w:vAlign w:val="center"/>
                </w:tcPr>
                <w:p w14:paraId="7753AF04">
                  <w:pPr>
                    <w:pStyle w:val="134"/>
                    <w:spacing w:line="240" w:lineRule="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pH6~9，COD</w:t>
                  </w:r>
                  <w:r>
                    <w:rPr>
                      <w:rFonts w:hint="default" w:ascii="Times New Roman" w:hAnsi="Times New Roman" w:eastAsia="宋体" w:cs="Times New Roman"/>
                      <w:color w:val="000000" w:themeColor="text1"/>
                      <w:sz w:val="21"/>
                      <w:szCs w:val="21"/>
                      <w:highlight w:val="none"/>
                      <w:vertAlign w:val="subscript"/>
                      <w:lang w:val="en-US" w:eastAsia="zh-CN" w:bidi="ar"/>
                      <w14:textFill>
                        <w14:solidFill>
                          <w14:schemeClr w14:val="tx1"/>
                        </w14:solidFill>
                      </w14:textFill>
                    </w:rPr>
                    <w:t>Cr</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8</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0mg/L，</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BOD</w:t>
                  </w:r>
                  <w:r>
                    <w:rPr>
                      <w:rFonts w:hint="default" w:ascii="Times New Roman" w:hAnsi="Times New Roman" w:cs="Times New Roman"/>
                      <w:color w:val="000000" w:themeColor="text1"/>
                      <w:sz w:val="21"/>
                      <w:szCs w:val="21"/>
                      <w:highlight w:val="none"/>
                      <w:vertAlign w:val="subscript"/>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15</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0mg/L</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、NH</w:t>
                  </w:r>
                  <w:r>
                    <w:rPr>
                      <w:rFonts w:hint="default" w:ascii="Times New Roman" w:hAnsi="Times New Roman" w:cs="Times New Roman"/>
                      <w:color w:val="000000" w:themeColor="text1"/>
                      <w:sz w:val="21"/>
                      <w:szCs w:val="21"/>
                      <w:highlight w:val="none"/>
                      <w:vertAlign w:val="subscript"/>
                      <w:lang w:val="en-US" w:eastAsia="zh-CN"/>
                      <w14:textFill>
                        <w14:solidFill>
                          <w14:schemeClr w14:val="tx1"/>
                        </w14:solidFill>
                      </w14:textFill>
                    </w:rPr>
                    <w:t>3</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-N</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15</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mg/L</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SS≤</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0mg/L</w:t>
                  </w: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，氟化物</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10</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mg/L</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w:t>
                  </w:r>
                  <w:r>
                    <w:rPr>
                      <w:rFonts w:hint="default" w:ascii="Times New Roman" w:hAnsi="Times New Roman" w:eastAsia="Arial" w:cs="Times New Roman"/>
                      <w:color w:val="000000" w:themeColor="text1"/>
                      <w:sz w:val="21"/>
                      <w:szCs w:val="21"/>
                      <w14:textFill>
                        <w14:solidFill>
                          <w14:schemeClr w14:val="tx1"/>
                        </w14:solidFill>
                      </w14:textFill>
                    </w:rPr>
                    <w:t>总磷 mg/L</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2.0</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mg/L</w:t>
                  </w:r>
                  <w:r>
                    <w:rPr>
                      <w:rFonts w:hint="default" w:ascii="Times New Roman" w:hAnsi="Times New Roman" w:cs="Times New Roman"/>
                      <w:color w:val="000000" w:themeColor="text1"/>
                      <w:sz w:val="21"/>
                      <w:szCs w:val="21"/>
                      <w:highlight w:val="none"/>
                      <w:lang w:eastAsia="zh-CN" w:bidi="ar"/>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bidi="ar"/>
                      <w14:textFill>
                        <w14:solidFill>
                          <w14:schemeClr w14:val="tx1"/>
                        </w14:solidFill>
                      </w14:textFill>
                    </w:rPr>
                    <w:t>TN</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bidi="ar"/>
                      <w14:textFill>
                        <w14:solidFill>
                          <w14:schemeClr w14:val="tx1"/>
                        </w14:solidFill>
                      </w14:textFill>
                    </w:rPr>
                    <w:t>4</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0</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mg/L</w:t>
                  </w:r>
                  <w:r>
                    <w:rPr>
                      <w:rFonts w:hint="default" w:ascii="Times New Roman" w:hAnsi="Times New Roman" w:cs="Times New Roman"/>
                      <w:color w:val="000000" w:themeColor="text1"/>
                      <w:sz w:val="21"/>
                      <w:szCs w:val="21"/>
                      <w:highlight w:val="none"/>
                      <w:lang w:eastAsia="zh-CN"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LAS</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20</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mg/L</w:t>
                  </w: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石油类</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bidi="ar"/>
                      <w14:textFill>
                        <w14:solidFill>
                          <w14:schemeClr w14:val="tx1"/>
                        </w14:solidFill>
                      </w14:textFill>
                    </w:rPr>
                    <w:t>6</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.0</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mg/L</w:t>
                  </w:r>
                  <w:r>
                    <w:rPr>
                      <w:rFonts w:hint="default" w:ascii="Times New Roman" w:hAnsi="Times New Roman" w:cs="Times New Roman"/>
                      <w:color w:val="000000" w:themeColor="text1"/>
                      <w:sz w:val="21"/>
                      <w:szCs w:val="21"/>
                      <w:highlight w:val="none"/>
                      <w:lang w:eastAsia="zh-CN" w:bidi="ar"/>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bidi="ar"/>
                      <w14:textFill>
                        <w14:solidFill>
                          <w14:schemeClr w14:val="tx1"/>
                        </w14:solidFill>
                      </w14:textFill>
                    </w:rPr>
                    <w:t>总铝</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bidi="ar"/>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.0</w:t>
                  </w: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mg/L</w:t>
                  </w:r>
                </w:p>
              </w:tc>
            </w:tr>
          </w:tbl>
          <w:p w14:paraId="34DE02FD">
            <w:pPr>
              <w:keepNext w:val="0"/>
              <w:keepLines w:val="0"/>
              <w:pageBreakBefore w:val="0"/>
              <w:widowControl w:val="0"/>
              <w:kinsoku/>
              <w:wordWrap/>
              <w:overflowPunct/>
              <w:topLinePunct w:val="0"/>
              <w:autoSpaceDE/>
              <w:autoSpaceDN/>
              <w:bidi w:val="0"/>
              <w:adjustRightInd w:val="0"/>
              <w:snapToGrid/>
              <w:spacing w:line="120" w:lineRule="auto"/>
              <w:jc w:val="center"/>
              <w:textAlignment w:val="auto"/>
              <w:rPr>
                <w:rFonts w:hint="default" w:ascii="Times New Roman" w:hAnsi="Times New Roman" w:eastAsia="宋体" w:cs="Times New Roman"/>
                <w:b/>
                <w:color w:val="000000" w:themeColor="text1"/>
                <w:sz w:val="21"/>
                <w:szCs w:val="21"/>
                <w:highlight w:val="none"/>
                <w14:textFill>
                  <w14:solidFill>
                    <w14:schemeClr w14:val="tx1"/>
                  </w14:solidFill>
                </w14:textFill>
              </w:rPr>
            </w:pPr>
          </w:p>
          <w:p w14:paraId="5885A7EE">
            <w:pPr>
              <w:keepNext/>
              <w:keepLines/>
              <w:numPr>
                <w:ilvl w:val="0"/>
                <w:numId w:val="0"/>
              </w:numPr>
              <w:suppressLineNumbers w:val="0"/>
              <w:tabs>
                <w:tab w:val="left" w:pos="0"/>
                <w:tab w:val="center" w:pos="4281"/>
                <w:tab w:val="left" w:pos="7099"/>
              </w:tabs>
              <w:spacing w:before="0" w:beforeAutospacing="0" w:after="0" w:afterAutospacing="0"/>
              <w:ind w:left="0" w:leftChars="0" w:right="0" w:rightChars="0" w:firstLine="40" w:firstLineChars="0"/>
              <w:jc w:val="left"/>
              <w:outlineLvl w:val="3"/>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kern w:val="2"/>
                <w:sz w:val="21"/>
                <w:szCs w:val="21"/>
                <w:lang w:val="en-US" w:eastAsia="zh-CN" w:bidi="ar-SA"/>
                <w14:textFill>
                  <w14:solidFill>
                    <w14:schemeClr w14:val="tx1"/>
                  </w14:solidFill>
                </w14:textFill>
              </w:rPr>
              <w:tab/>
            </w: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w:t>
            </w:r>
            <w:r>
              <w:rPr>
                <w:rFonts w:hint="eastAsia" w:cs="Times New Roman"/>
                <w:b/>
                <w:bCs/>
                <w:color w:val="000000" w:themeColor="text1"/>
                <w:kern w:val="2"/>
                <w:sz w:val="21"/>
                <w:szCs w:val="21"/>
                <w:lang w:val="en-US" w:eastAsia="zh-CN" w:bidi="ar-SA"/>
                <w14:textFill>
                  <w14:solidFill>
                    <w14:schemeClr w14:val="tx1"/>
                  </w14:solidFill>
                </w14:textFill>
              </w:rPr>
              <w:t>30</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项目废水排放口基本情况表</w:t>
            </w:r>
            <w:r>
              <w:rPr>
                <w:rFonts w:hint="eastAsia" w:cs="Times New Roman"/>
                <w:b/>
                <w:bCs/>
                <w:color w:val="000000" w:themeColor="text1"/>
                <w:sz w:val="21"/>
                <w:szCs w:val="21"/>
                <w:highlight w:val="none"/>
                <w:lang w:eastAsia="zh-CN"/>
                <w14:textFill>
                  <w14:solidFill>
                    <w14:schemeClr w14:val="tx1"/>
                  </w14:solidFill>
                </w14:textFill>
              </w:rPr>
              <w:tab/>
            </w:r>
          </w:p>
          <w:tbl>
            <w:tblPr>
              <w:tblStyle w:val="4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10"/>
              <w:gridCol w:w="554"/>
              <w:gridCol w:w="658"/>
              <w:gridCol w:w="594"/>
              <w:gridCol w:w="603"/>
              <w:gridCol w:w="742"/>
              <w:gridCol w:w="1013"/>
              <w:gridCol w:w="564"/>
              <w:gridCol w:w="500"/>
              <w:gridCol w:w="1085"/>
              <w:gridCol w:w="1566"/>
            </w:tblGrid>
            <w:tr w14:paraId="4D7E3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304" w:type="pct"/>
                  <w:vMerge w:val="restart"/>
                  <w:noWrap w:val="0"/>
                  <w:vAlign w:val="center"/>
                </w:tcPr>
                <w:p w14:paraId="5B0C5F02">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排放口编号</w:t>
                  </w:r>
                </w:p>
              </w:tc>
              <w:tc>
                <w:tcPr>
                  <w:tcW w:w="330" w:type="pct"/>
                  <w:vMerge w:val="restart"/>
                  <w:noWrap w:val="0"/>
                  <w:vAlign w:val="center"/>
                </w:tcPr>
                <w:p w14:paraId="34EEA440">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排放口名称</w:t>
                  </w:r>
                </w:p>
              </w:tc>
              <w:tc>
                <w:tcPr>
                  <w:tcW w:w="746" w:type="pct"/>
                  <w:gridSpan w:val="2"/>
                  <w:noWrap w:val="0"/>
                  <w:vAlign w:val="center"/>
                </w:tcPr>
                <w:p w14:paraId="3155A35D">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排放口坐标</w:t>
                  </w:r>
                </w:p>
              </w:tc>
              <w:tc>
                <w:tcPr>
                  <w:tcW w:w="359" w:type="pct"/>
                  <w:vMerge w:val="restart"/>
                  <w:noWrap w:val="0"/>
                  <w:vAlign w:val="center"/>
                </w:tcPr>
                <w:p w14:paraId="076DD834">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废水排放量/（万t/a）</w:t>
                  </w:r>
                </w:p>
              </w:tc>
              <w:tc>
                <w:tcPr>
                  <w:tcW w:w="442" w:type="pct"/>
                  <w:vMerge w:val="restart"/>
                  <w:noWrap w:val="0"/>
                  <w:vAlign w:val="center"/>
                </w:tcPr>
                <w:p w14:paraId="7E47DD8C">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排放去向</w:t>
                  </w:r>
                </w:p>
              </w:tc>
              <w:tc>
                <w:tcPr>
                  <w:tcW w:w="603" w:type="pct"/>
                  <w:vMerge w:val="restart"/>
                  <w:noWrap w:val="0"/>
                  <w:vAlign w:val="center"/>
                </w:tcPr>
                <w:p w14:paraId="403556D9">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排放规律</w:t>
                  </w:r>
                </w:p>
              </w:tc>
              <w:tc>
                <w:tcPr>
                  <w:tcW w:w="336" w:type="pct"/>
                  <w:vMerge w:val="restart"/>
                  <w:noWrap w:val="0"/>
                  <w:vAlign w:val="center"/>
                </w:tcPr>
                <w:p w14:paraId="0B84E243">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排放口类型</w:t>
                  </w:r>
                </w:p>
              </w:tc>
              <w:tc>
                <w:tcPr>
                  <w:tcW w:w="1876" w:type="pct"/>
                  <w:gridSpan w:val="3"/>
                  <w:noWrap w:val="0"/>
                  <w:vAlign w:val="center"/>
                </w:tcPr>
                <w:p w14:paraId="343C1089">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受纳污水处理厂信息</w:t>
                  </w:r>
                </w:p>
              </w:tc>
            </w:tr>
            <w:tr w14:paraId="3755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304" w:type="pct"/>
                  <w:vMerge w:val="continue"/>
                  <w:noWrap w:val="0"/>
                  <w:vAlign w:val="center"/>
                </w:tcPr>
                <w:p w14:paraId="119304DA">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p>
              </w:tc>
              <w:tc>
                <w:tcPr>
                  <w:tcW w:w="330" w:type="pct"/>
                  <w:vMerge w:val="continue"/>
                  <w:noWrap w:val="0"/>
                  <w:vAlign w:val="center"/>
                </w:tcPr>
                <w:p w14:paraId="735BCFCB">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p>
              </w:tc>
              <w:tc>
                <w:tcPr>
                  <w:tcW w:w="392" w:type="pct"/>
                  <w:noWrap w:val="0"/>
                  <w:vAlign w:val="center"/>
                </w:tcPr>
                <w:p w14:paraId="67BAFAE6">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eastAsia="宋体" w:cs="Times New Roman"/>
                      <w:b/>
                      <w:bCs/>
                      <w:color w:val="000000" w:themeColor="text1"/>
                      <w:kern w:val="2"/>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kern w:val="2"/>
                      <w:sz w:val="21"/>
                      <w:szCs w:val="21"/>
                      <w:highlight w:val="none"/>
                      <w:lang w:val="en-US" w:eastAsia="zh-CN"/>
                      <w14:textFill>
                        <w14:solidFill>
                          <w14:schemeClr w14:val="tx1"/>
                        </w14:solidFill>
                      </w14:textFill>
                    </w:rPr>
                    <w:t>经度</w:t>
                  </w:r>
                </w:p>
              </w:tc>
              <w:tc>
                <w:tcPr>
                  <w:tcW w:w="354" w:type="pct"/>
                  <w:noWrap w:val="0"/>
                  <w:vAlign w:val="center"/>
                </w:tcPr>
                <w:p w14:paraId="130B0827">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eastAsia="宋体" w:cs="Times New Roman"/>
                      <w:b/>
                      <w:bCs/>
                      <w:color w:val="000000" w:themeColor="text1"/>
                      <w:kern w:val="2"/>
                      <w:sz w:val="21"/>
                      <w:szCs w:val="21"/>
                      <w:highlight w:val="none"/>
                      <w:lang w:eastAsia="zh-CN"/>
                      <w14:textFill>
                        <w14:solidFill>
                          <w14:schemeClr w14:val="tx1"/>
                        </w14:solidFill>
                      </w14:textFill>
                    </w:rPr>
                  </w:pPr>
                  <w:r>
                    <w:rPr>
                      <w:rFonts w:hint="default" w:ascii="Times New Roman" w:hAnsi="Times New Roman" w:cs="Times New Roman"/>
                      <w:b/>
                      <w:bCs/>
                      <w:color w:val="000000" w:themeColor="text1"/>
                      <w:kern w:val="2"/>
                      <w:sz w:val="21"/>
                      <w:szCs w:val="21"/>
                      <w:highlight w:val="none"/>
                      <w:lang w:val="en-US" w:eastAsia="zh-CN"/>
                      <w14:textFill>
                        <w14:solidFill>
                          <w14:schemeClr w14:val="tx1"/>
                        </w14:solidFill>
                      </w14:textFill>
                    </w:rPr>
                    <w:t>纬度</w:t>
                  </w:r>
                </w:p>
              </w:tc>
              <w:tc>
                <w:tcPr>
                  <w:tcW w:w="359" w:type="pct"/>
                  <w:vMerge w:val="continue"/>
                  <w:noWrap w:val="0"/>
                  <w:vAlign w:val="center"/>
                </w:tcPr>
                <w:p w14:paraId="379A4553">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p>
              </w:tc>
              <w:tc>
                <w:tcPr>
                  <w:tcW w:w="442" w:type="pct"/>
                  <w:vMerge w:val="continue"/>
                  <w:noWrap w:val="0"/>
                  <w:vAlign w:val="center"/>
                </w:tcPr>
                <w:p w14:paraId="39FEA766">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p>
              </w:tc>
              <w:tc>
                <w:tcPr>
                  <w:tcW w:w="603" w:type="pct"/>
                  <w:vMerge w:val="continue"/>
                  <w:noWrap w:val="0"/>
                  <w:vAlign w:val="center"/>
                </w:tcPr>
                <w:p w14:paraId="4AE9BFE7">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p>
              </w:tc>
              <w:tc>
                <w:tcPr>
                  <w:tcW w:w="336" w:type="pct"/>
                  <w:vMerge w:val="continue"/>
                  <w:noWrap w:val="0"/>
                  <w:vAlign w:val="center"/>
                </w:tcPr>
                <w:p w14:paraId="1AC555B1">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p>
              </w:tc>
              <w:tc>
                <w:tcPr>
                  <w:tcW w:w="298" w:type="pct"/>
                  <w:noWrap w:val="0"/>
                  <w:vAlign w:val="center"/>
                </w:tcPr>
                <w:p w14:paraId="377868FC">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名称</w:t>
                  </w:r>
                </w:p>
              </w:tc>
              <w:tc>
                <w:tcPr>
                  <w:tcW w:w="646" w:type="pct"/>
                  <w:noWrap w:val="0"/>
                  <w:vAlign w:val="center"/>
                </w:tcPr>
                <w:p w14:paraId="1BA6B123">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污染物种类</w:t>
                  </w:r>
                </w:p>
              </w:tc>
              <w:tc>
                <w:tcPr>
                  <w:tcW w:w="932" w:type="pct"/>
                  <w:noWrap w:val="0"/>
                  <w:vAlign w:val="center"/>
                </w:tcPr>
                <w:p w14:paraId="4777ADCA">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国家或地方污染物排放标准浓度限值/(mg/L)</w:t>
                  </w:r>
                </w:p>
              </w:tc>
            </w:tr>
            <w:tr w14:paraId="5E14C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304" w:type="pct"/>
                  <w:vMerge w:val="restart"/>
                  <w:noWrap w:val="0"/>
                  <w:vAlign w:val="center"/>
                </w:tcPr>
                <w:p w14:paraId="3FB9B55C">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DW0</w:t>
                  </w: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0</w:t>
                  </w:r>
                  <w:r>
                    <w:rPr>
                      <w:rFonts w:hint="default" w:ascii="Times New Roman" w:hAnsi="Times New Roman" w:cs="Times New Roman"/>
                      <w:color w:val="000000" w:themeColor="text1"/>
                      <w:kern w:val="2"/>
                      <w:sz w:val="21"/>
                      <w:szCs w:val="21"/>
                      <w:highlight w:val="none"/>
                      <w14:textFill>
                        <w14:solidFill>
                          <w14:schemeClr w14:val="tx1"/>
                        </w14:solidFill>
                      </w14:textFill>
                    </w:rPr>
                    <w:t>1</w:t>
                  </w:r>
                </w:p>
              </w:tc>
              <w:tc>
                <w:tcPr>
                  <w:tcW w:w="330" w:type="pct"/>
                  <w:vMerge w:val="restart"/>
                  <w:noWrap w:val="0"/>
                  <w:vAlign w:val="center"/>
                </w:tcPr>
                <w:p w14:paraId="30B8B2BF">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生活污水</w:t>
                  </w:r>
                  <w:r>
                    <w:rPr>
                      <w:rFonts w:hint="default" w:ascii="Times New Roman" w:hAnsi="Times New Roman" w:cs="Times New Roman"/>
                      <w:color w:val="000000" w:themeColor="text1"/>
                      <w:kern w:val="2"/>
                      <w:sz w:val="21"/>
                      <w:szCs w:val="21"/>
                      <w:highlight w:val="none"/>
                      <w14:textFill>
                        <w14:solidFill>
                          <w14:schemeClr w14:val="tx1"/>
                        </w14:solidFill>
                      </w14:textFill>
                    </w:rPr>
                    <w:t>排放口</w:t>
                  </w:r>
                </w:p>
              </w:tc>
              <w:tc>
                <w:tcPr>
                  <w:tcW w:w="392" w:type="pct"/>
                  <w:vMerge w:val="restart"/>
                  <w:noWrap w:val="0"/>
                  <w:vAlign w:val="center"/>
                </w:tcPr>
                <w:p w14:paraId="7EFC7176">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113°24′33.279″</w:t>
                  </w:r>
                </w:p>
              </w:tc>
              <w:tc>
                <w:tcPr>
                  <w:tcW w:w="354" w:type="pct"/>
                  <w:vMerge w:val="restart"/>
                  <w:noWrap w:val="0"/>
                  <w:vAlign w:val="center"/>
                </w:tcPr>
                <w:p w14:paraId="01BA1D79">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25°9′21.12</w:t>
                  </w:r>
                  <w:r>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w:t>
                  </w:r>
                </w:p>
              </w:tc>
              <w:tc>
                <w:tcPr>
                  <w:tcW w:w="359" w:type="pct"/>
                  <w:vMerge w:val="restart"/>
                  <w:noWrap w:val="0"/>
                  <w:vAlign w:val="center"/>
                </w:tcPr>
                <w:p w14:paraId="118D1DEA">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0.2070</w:t>
                  </w:r>
                </w:p>
              </w:tc>
              <w:tc>
                <w:tcPr>
                  <w:tcW w:w="442" w:type="pct"/>
                  <w:vMerge w:val="restart"/>
                  <w:noWrap w:val="0"/>
                  <w:vAlign w:val="center"/>
                </w:tcPr>
                <w:p w14:paraId="576F2258">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集中式工业污水处理厂</w:t>
                  </w:r>
                </w:p>
              </w:tc>
              <w:tc>
                <w:tcPr>
                  <w:tcW w:w="603" w:type="pct"/>
                  <w:vMerge w:val="restart"/>
                  <w:noWrap w:val="0"/>
                  <w:vAlign w:val="center"/>
                </w:tcPr>
                <w:p w14:paraId="78E630C5">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间歇排放，流量不稳定，但不属于冲击型排放</w:t>
                  </w:r>
                </w:p>
              </w:tc>
              <w:tc>
                <w:tcPr>
                  <w:tcW w:w="336" w:type="pct"/>
                  <w:vMerge w:val="restart"/>
                  <w:noWrap w:val="0"/>
                  <w:vAlign w:val="center"/>
                </w:tcPr>
                <w:p w14:paraId="525935DE">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一般排放口</w:t>
                  </w:r>
                </w:p>
              </w:tc>
              <w:tc>
                <w:tcPr>
                  <w:tcW w:w="298" w:type="pct"/>
                  <w:vMerge w:val="restart"/>
                  <w:noWrap w:val="0"/>
                  <w:vAlign w:val="center"/>
                </w:tcPr>
                <w:p w14:paraId="2752A9DA">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val="0"/>
                      <w:bCs w:val="0"/>
                      <w:color w:val="000000" w:themeColor="text1"/>
                      <w:kern w:val="2"/>
                      <w:sz w:val="21"/>
                      <w:szCs w:val="21"/>
                      <w:highlight w:val="none"/>
                      <w14:textFill>
                        <w14:solidFill>
                          <w14:schemeClr w14:val="tx1"/>
                        </w14:solidFill>
                      </w14:textFill>
                    </w:rPr>
                  </w:pPr>
                  <w:r>
                    <w:rPr>
                      <w:rFonts w:hint="default" w:ascii="Times New Roman" w:hAnsi="Times New Roman" w:cs="Times New Roman"/>
                      <w:b w:val="0"/>
                      <w:bCs w:val="0"/>
                      <w:color w:val="000000" w:themeColor="text1"/>
                      <w:kern w:val="2"/>
                      <w:sz w:val="21"/>
                      <w:szCs w:val="21"/>
                      <w:highlight w:val="none"/>
                      <w:lang w:val="en-US" w:eastAsia="zh-CN"/>
                      <w14:textFill>
                        <w14:solidFill>
                          <w14:schemeClr w14:val="tx1"/>
                        </w14:solidFill>
                      </w14:textFill>
                    </w:rPr>
                    <w:t>乐昌产业转移工业园污水处理厂</w:t>
                  </w:r>
                </w:p>
              </w:tc>
              <w:tc>
                <w:tcPr>
                  <w:tcW w:w="646" w:type="pct"/>
                  <w:noWrap w:val="0"/>
                  <w:vAlign w:val="center"/>
                </w:tcPr>
                <w:p w14:paraId="01E81A45">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val="0"/>
                      <w:bCs w:val="0"/>
                      <w:color w:val="000000" w:themeColor="text1"/>
                      <w:kern w:val="2"/>
                      <w:sz w:val="21"/>
                      <w:szCs w:val="21"/>
                      <w:highlight w:val="none"/>
                      <w14:textFill>
                        <w14:solidFill>
                          <w14:schemeClr w14:val="tx1"/>
                        </w14:solidFill>
                      </w14:textFill>
                    </w:rPr>
                  </w:pPr>
                  <w:r>
                    <w:rPr>
                      <w:rFonts w:hint="default" w:ascii="Times New Roman" w:hAnsi="Times New Roman" w:cs="Times New Roman"/>
                      <w:b w:val="0"/>
                      <w:bCs w:val="0"/>
                      <w:color w:val="000000" w:themeColor="text1"/>
                      <w:kern w:val="2"/>
                      <w:sz w:val="21"/>
                      <w:szCs w:val="21"/>
                      <w:highlight w:val="none"/>
                      <w14:textFill>
                        <w14:solidFill>
                          <w14:schemeClr w14:val="tx1"/>
                        </w14:solidFill>
                      </w14:textFill>
                    </w:rPr>
                    <w:t>pH</w:t>
                  </w:r>
                </w:p>
              </w:tc>
              <w:tc>
                <w:tcPr>
                  <w:tcW w:w="932" w:type="pct"/>
                  <w:noWrap w:val="0"/>
                  <w:vAlign w:val="center"/>
                </w:tcPr>
                <w:p w14:paraId="33DC18CA">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6~9</w:t>
                  </w:r>
                </w:p>
              </w:tc>
            </w:tr>
            <w:tr w14:paraId="14F79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304" w:type="pct"/>
                  <w:vMerge w:val="continue"/>
                  <w:noWrap w:val="0"/>
                  <w:vAlign w:val="center"/>
                </w:tcPr>
                <w:p w14:paraId="72AF98FD">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30" w:type="pct"/>
                  <w:vMerge w:val="continue"/>
                  <w:noWrap w:val="0"/>
                  <w:vAlign w:val="center"/>
                </w:tcPr>
                <w:p w14:paraId="55A42C38">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92" w:type="pct"/>
                  <w:vMerge w:val="continue"/>
                  <w:noWrap w:val="0"/>
                  <w:vAlign w:val="center"/>
                </w:tcPr>
                <w:p w14:paraId="48DCE87D">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54" w:type="pct"/>
                  <w:vMerge w:val="continue"/>
                  <w:noWrap w:val="0"/>
                  <w:vAlign w:val="center"/>
                </w:tcPr>
                <w:p w14:paraId="31B1F8FF">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59" w:type="pct"/>
                  <w:vMerge w:val="continue"/>
                  <w:noWrap w:val="0"/>
                  <w:vAlign w:val="center"/>
                </w:tcPr>
                <w:p w14:paraId="45A2719C">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442" w:type="pct"/>
                  <w:vMerge w:val="continue"/>
                  <w:noWrap w:val="0"/>
                  <w:vAlign w:val="center"/>
                </w:tcPr>
                <w:p w14:paraId="0C056DF9">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603" w:type="pct"/>
                  <w:vMerge w:val="continue"/>
                  <w:noWrap w:val="0"/>
                  <w:vAlign w:val="center"/>
                </w:tcPr>
                <w:p w14:paraId="261F973D">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36" w:type="pct"/>
                  <w:vMerge w:val="continue"/>
                  <w:noWrap w:val="0"/>
                  <w:vAlign w:val="center"/>
                </w:tcPr>
                <w:p w14:paraId="056C3A01">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298" w:type="pct"/>
                  <w:vMerge w:val="continue"/>
                  <w:noWrap w:val="0"/>
                  <w:vAlign w:val="center"/>
                </w:tcPr>
                <w:p w14:paraId="47BA3E06">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val="0"/>
                      <w:bCs w:val="0"/>
                      <w:color w:val="000000" w:themeColor="text1"/>
                      <w:kern w:val="2"/>
                      <w:sz w:val="21"/>
                      <w:szCs w:val="21"/>
                      <w:highlight w:val="none"/>
                      <w14:textFill>
                        <w14:solidFill>
                          <w14:schemeClr w14:val="tx1"/>
                        </w14:solidFill>
                      </w14:textFill>
                    </w:rPr>
                  </w:pPr>
                </w:p>
              </w:tc>
              <w:tc>
                <w:tcPr>
                  <w:tcW w:w="646" w:type="pct"/>
                  <w:noWrap w:val="0"/>
                  <w:vAlign w:val="center"/>
                </w:tcPr>
                <w:p w14:paraId="57430D7A">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val="0"/>
                      <w:bCs w:val="0"/>
                      <w:color w:val="000000" w:themeColor="text1"/>
                      <w:kern w:val="2"/>
                      <w:sz w:val="21"/>
                      <w:szCs w:val="21"/>
                      <w:highlight w:val="none"/>
                      <w14:textFill>
                        <w14:solidFill>
                          <w14:schemeClr w14:val="tx1"/>
                        </w14:solidFill>
                      </w14:textFill>
                    </w:rPr>
                  </w:pPr>
                  <w:r>
                    <w:rPr>
                      <w:rFonts w:hint="default" w:ascii="Times New Roman" w:hAnsi="Times New Roman" w:cs="Times New Roman"/>
                      <w:b w:val="0"/>
                      <w:bCs w:val="0"/>
                      <w:color w:val="000000" w:themeColor="text1"/>
                      <w:kern w:val="2"/>
                      <w:sz w:val="21"/>
                      <w:szCs w:val="21"/>
                      <w:highlight w:val="none"/>
                      <w14:textFill>
                        <w14:solidFill>
                          <w14:schemeClr w14:val="tx1"/>
                        </w14:solidFill>
                      </w14:textFill>
                    </w:rPr>
                    <w:t>COD</w:t>
                  </w:r>
                  <w:r>
                    <w:rPr>
                      <w:rFonts w:hint="default" w:ascii="Times New Roman" w:hAnsi="Times New Roman" w:cs="Times New Roman"/>
                      <w:b w:val="0"/>
                      <w:bCs w:val="0"/>
                      <w:color w:val="000000" w:themeColor="text1"/>
                      <w:kern w:val="2"/>
                      <w:sz w:val="21"/>
                      <w:szCs w:val="21"/>
                      <w:highlight w:val="none"/>
                      <w:vertAlign w:val="subscript"/>
                      <w14:textFill>
                        <w14:solidFill>
                          <w14:schemeClr w14:val="tx1"/>
                        </w14:solidFill>
                      </w14:textFill>
                    </w:rPr>
                    <w:t>Cr</w:t>
                  </w:r>
                </w:p>
              </w:tc>
              <w:tc>
                <w:tcPr>
                  <w:tcW w:w="932" w:type="pct"/>
                  <w:noWrap w:val="0"/>
                  <w:vAlign w:val="center"/>
                </w:tcPr>
                <w:p w14:paraId="000E389B">
                  <w:pPr>
                    <w:keepNext w:val="0"/>
                    <w:keepLines w:val="0"/>
                    <w:pageBreakBefore w:val="0"/>
                    <w:suppressLineNumbers w:val="0"/>
                    <w:kinsoku/>
                    <w:overflowPunct/>
                    <w:topLinePunct w:val="0"/>
                    <w:bidi w:val="0"/>
                    <w:adjustRightInd/>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40</w:t>
                  </w:r>
                </w:p>
              </w:tc>
            </w:tr>
            <w:tr w14:paraId="14C5D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304" w:type="pct"/>
                  <w:vMerge w:val="continue"/>
                  <w:noWrap w:val="0"/>
                  <w:vAlign w:val="center"/>
                </w:tcPr>
                <w:p w14:paraId="1EDA78D0">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30" w:type="pct"/>
                  <w:vMerge w:val="continue"/>
                  <w:noWrap w:val="0"/>
                  <w:vAlign w:val="center"/>
                </w:tcPr>
                <w:p w14:paraId="6CE31506">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92" w:type="pct"/>
                  <w:vMerge w:val="continue"/>
                  <w:noWrap w:val="0"/>
                  <w:vAlign w:val="center"/>
                </w:tcPr>
                <w:p w14:paraId="52F1FD58">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54" w:type="pct"/>
                  <w:vMerge w:val="continue"/>
                  <w:noWrap w:val="0"/>
                  <w:vAlign w:val="center"/>
                </w:tcPr>
                <w:p w14:paraId="1C985D39">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59" w:type="pct"/>
                  <w:vMerge w:val="continue"/>
                  <w:noWrap w:val="0"/>
                  <w:vAlign w:val="center"/>
                </w:tcPr>
                <w:p w14:paraId="6B05A172">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442" w:type="pct"/>
                  <w:vMerge w:val="continue"/>
                  <w:noWrap w:val="0"/>
                  <w:vAlign w:val="center"/>
                </w:tcPr>
                <w:p w14:paraId="4C85EFA7">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603" w:type="pct"/>
                  <w:vMerge w:val="continue"/>
                  <w:noWrap w:val="0"/>
                  <w:vAlign w:val="center"/>
                </w:tcPr>
                <w:p w14:paraId="247E1472">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36" w:type="pct"/>
                  <w:vMerge w:val="continue"/>
                  <w:noWrap w:val="0"/>
                  <w:vAlign w:val="center"/>
                </w:tcPr>
                <w:p w14:paraId="71CC6782">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298" w:type="pct"/>
                  <w:vMerge w:val="continue"/>
                  <w:noWrap w:val="0"/>
                  <w:vAlign w:val="center"/>
                </w:tcPr>
                <w:p w14:paraId="7B6F988B">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val="0"/>
                      <w:bCs w:val="0"/>
                      <w:color w:val="000000" w:themeColor="text1"/>
                      <w:kern w:val="2"/>
                      <w:sz w:val="21"/>
                      <w:szCs w:val="21"/>
                      <w:highlight w:val="none"/>
                      <w14:textFill>
                        <w14:solidFill>
                          <w14:schemeClr w14:val="tx1"/>
                        </w14:solidFill>
                      </w14:textFill>
                    </w:rPr>
                  </w:pPr>
                </w:p>
              </w:tc>
              <w:tc>
                <w:tcPr>
                  <w:tcW w:w="646" w:type="pct"/>
                  <w:noWrap w:val="0"/>
                  <w:vAlign w:val="center"/>
                </w:tcPr>
                <w:p w14:paraId="4ACE4FBE">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b w:val="0"/>
                      <w:bCs w:val="0"/>
                      <w:color w:val="000000" w:themeColor="text1"/>
                      <w:kern w:val="2"/>
                      <w:sz w:val="21"/>
                      <w:szCs w:val="21"/>
                      <w:highlight w:val="none"/>
                      <w14:textFill>
                        <w14:solidFill>
                          <w14:schemeClr w14:val="tx1"/>
                        </w14:solidFill>
                      </w14:textFill>
                    </w:rPr>
                  </w:pPr>
                  <w:r>
                    <w:rPr>
                      <w:rFonts w:hint="default" w:ascii="Times New Roman" w:hAnsi="Times New Roman" w:cs="Times New Roman"/>
                      <w:b w:val="0"/>
                      <w:bCs w:val="0"/>
                      <w:color w:val="000000" w:themeColor="text1"/>
                      <w:kern w:val="2"/>
                      <w:sz w:val="21"/>
                      <w:szCs w:val="21"/>
                      <w:highlight w:val="none"/>
                      <w14:textFill>
                        <w14:solidFill>
                          <w14:schemeClr w14:val="tx1"/>
                        </w14:solidFill>
                      </w14:textFill>
                    </w:rPr>
                    <w:t>BOD</w:t>
                  </w:r>
                  <w:r>
                    <w:rPr>
                      <w:rFonts w:hint="default" w:ascii="Times New Roman" w:hAnsi="Times New Roman" w:cs="Times New Roman"/>
                      <w:b w:val="0"/>
                      <w:bCs w:val="0"/>
                      <w:color w:val="000000" w:themeColor="text1"/>
                      <w:kern w:val="2"/>
                      <w:sz w:val="21"/>
                      <w:szCs w:val="21"/>
                      <w:highlight w:val="none"/>
                      <w:vertAlign w:val="subscript"/>
                      <w14:textFill>
                        <w14:solidFill>
                          <w14:schemeClr w14:val="tx1"/>
                        </w14:solidFill>
                      </w14:textFill>
                    </w:rPr>
                    <w:t>5</w:t>
                  </w:r>
                </w:p>
              </w:tc>
              <w:tc>
                <w:tcPr>
                  <w:tcW w:w="932" w:type="pct"/>
                  <w:noWrap w:val="0"/>
                  <w:vAlign w:val="center"/>
                </w:tcPr>
                <w:p w14:paraId="385104BD">
                  <w:pPr>
                    <w:keepNext w:val="0"/>
                    <w:keepLines w:val="0"/>
                    <w:pageBreakBefore w:val="0"/>
                    <w:suppressLineNumbers w:val="0"/>
                    <w:kinsoku/>
                    <w:overflowPunct/>
                    <w:topLinePunct w:val="0"/>
                    <w:bidi w:val="0"/>
                    <w:adjustRightInd/>
                    <w:snapToGrid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2</w:t>
                  </w:r>
                  <w:r>
                    <w:rPr>
                      <w:rFonts w:hint="default" w:ascii="Times New Roman" w:hAnsi="Times New Roman" w:cs="Times New Roman"/>
                      <w:bCs/>
                      <w:color w:val="000000" w:themeColor="text1"/>
                      <w:sz w:val="21"/>
                      <w:szCs w:val="21"/>
                      <w:highlight w:val="none"/>
                      <w14:textFill>
                        <w14:solidFill>
                          <w14:schemeClr w14:val="tx1"/>
                        </w14:solidFill>
                      </w14:textFill>
                    </w:rPr>
                    <w:t>0</w:t>
                  </w:r>
                </w:p>
              </w:tc>
            </w:tr>
            <w:tr w14:paraId="693D1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304" w:type="pct"/>
                  <w:vMerge w:val="continue"/>
                  <w:tcBorders>
                    <w:bottom w:val="single" w:color="000000" w:sz="4" w:space="0"/>
                  </w:tcBorders>
                  <w:noWrap w:val="0"/>
                  <w:vAlign w:val="center"/>
                </w:tcPr>
                <w:p w14:paraId="4E0716C1">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30" w:type="pct"/>
                  <w:vMerge w:val="continue"/>
                  <w:tcBorders>
                    <w:bottom w:val="single" w:color="000000" w:sz="4" w:space="0"/>
                  </w:tcBorders>
                  <w:noWrap w:val="0"/>
                  <w:vAlign w:val="center"/>
                </w:tcPr>
                <w:p w14:paraId="297F05AE">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92" w:type="pct"/>
                  <w:vMerge w:val="continue"/>
                  <w:tcBorders>
                    <w:bottom w:val="single" w:color="000000" w:sz="4" w:space="0"/>
                  </w:tcBorders>
                  <w:noWrap w:val="0"/>
                  <w:vAlign w:val="center"/>
                </w:tcPr>
                <w:p w14:paraId="57ECD534">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54" w:type="pct"/>
                  <w:vMerge w:val="continue"/>
                  <w:tcBorders>
                    <w:bottom w:val="single" w:color="000000" w:sz="4" w:space="0"/>
                  </w:tcBorders>
                  <w:noWrap w:val="0"/>
                  <w:vAlign w:val="center"/>
                </w:tcPr>
                <w:p w14:paraId="4DBEAADA">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59" w:type="pct"/>
                  <w:vMerge w:val="continue"/>
                  <w:tcBorders>
                    <w:bottom w:val="single" w:color="000000" w:sz="4" w:space="0"/>
                  </w:tcBorders>
                  <w:noWrap w:val="0"/>
                  <w:vAlign w:val="center"/>
                </w:tcPr>
                <w:p w14:paraId="2BE3BFFD">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442" w:type="pct"/>
                  <w:vMerge w:val="continue"/>
                  <w:tcBorders>
                    <w:bottom w:val="single" w:color="000000" w:sz="4" w:space="0"/>
                  </w:tcBorders>
                  <w:noWrap w:val="0"/>
                  <w:vAlign w:val="center"/>
                </w:tcPr>
                <w:p w14:paraId="6D69B4CA">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603" w:type="pct"/>
                  <w:vMerge w:val="continue"/>
                  <w:tcBorders>
                    <w:bottom w:val="single" w:color="000000" w:sz="4" w:space="0"/>
                  </w:tcBorders>
                  <w:noWrap w:val="0"/>
                  <w:vAlign w:val="center"/>
                </w:tcPr>
                <w:p w14:paraId="45A71717">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36" w:type="pct"/>
                  <w:vMerge w:val="continue"/>
                  <w:tcBorders>
                    <w:bottom w:val="single" w:color="000000" w:sz="4" w:space="0"/>
                  </w:tcBorders>
                  <w:noWrap w:val="0"/>
                  <w:vAlign w:val="center"/>
                </w:tcPr>
                <w:p w14:paraId="2C99E172">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298" w:type="pct"/>
                  <w:vMerge w:val="continue"/>
                  <w:noWrap w:val="0"/>
                  <w:vAlign w:val="center"/>
                </w:tcPr>
                <w:p w14:paraId="2B69AD01">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646" w:type="pct"/>
                  <w:tcBorders>
                    <w:bottom w:val="single" w:color="000000" w:sz="4" w:space="0"/>
                  </w:tcBorders>
                  <w:noWrap w:val="0"/>
                  <w:vAlign w:val="center"/>
                </w:tcPr>
                <w:p w14:paraId="71578A5B">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leftChars="0" w:right="0" w:right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SS</w:t>
                  </w:r>
                </w:p>
              </w:tc>
              <w:tc>
                <w:tcPr>
                  <w:tcW w:w="932" w:type="pct"/>
                  <w:noWrap w:val="0"/>
                  <w:vAlign w:val="center"/>
                </w:tcPr>
                <w:p w14:paraId="11036005">
                  <w:pPr>
                    <w:keepNext w:val="0"/>
                    <w:keepLines w:val="0"/>
                    <w:pageBreakBefore w:val="0"/>
                    <w:suppressLineNumbers w:val="0"/>
                    <w:kinsoku/>
                    <w:overflowPunct/>
                    <w:topLinePunct w:val="0"/>
                    <w:bidi w:val="0"/>
                    <w:adjustRightInd/>
                    <w:snapToGrid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Cs/>
                      <w:color w:val="000000" w:themeColor="text1"/>
                      <w:sz w:val="21"/>
                      <w:szCs w:val="21"/>
                      <w:highlight w:val="none"/>
                      <w14:textFill>
                        <w14:solidFill>
                          <w14:schemeClr w14:val="tx1"/>
                        </w14:solidFill>
                      </w14:textFill>
                    </w:rPr>
                    <w:t>20</w:t>
                  </w:r>
                </w:p>
              </w:tc>
            </w:tr>
            <w:tr w14:paraId="25AEE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304" w:type="pct"/>
                  <w:vMerge w:val="continue"/>
                  <w:tcBorders>
                    <w:bottom w:val="single" w:color="000000" w:sz="4" w:space="0"/>
                  </w:tcBorders>
                  <w:noWrap w:val="0"/>
                  <w:vAlign w:val="center"/>
                </w:tcPr>
                <w:p w14:paraId="123E0345">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30" w:type="pct"/>
                  <w:vMerge w:val="continue"/>
                  <w:tcBorders>
                    <w:bottom w:val="single" w:color="000000" w:sz="4" w:space="0"/>
                  </w:tcBorders>
                  <w:noWrap w:val="0"/>
                  <w:vAlign w:val="center"/>
                </w:tcPr>
                <w:p w14:paraId="628A51F9">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92" w:type="pct"/>
                  <w:vMerge w:val="continue"/>
                  <w:tcBorders>
                    <w:bottom w:val="single" w:color="000000" w:sz="4" w:space="0"/>
                  </w:tcBorders>
                  <w:noWrap w:val="0"/>
                  <w:vAlign w:val="center"/>
                </w:tcPr>
                <w:p w14:paraId="430A791F">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54" w:type="pct"/>
                  <w:vMerge w:val="continue"/>
                  <w:tcBorders>
                    <w:bottom w:val="single" w:color="000000" w:sz="4" w:space="0"/>
                  </w:tcBorders>
                  <w:noWrap w:val="0"/>
                  <w:vAlign w:val="center"/>
                </w:tcPr>
                <w:p w14:paraId="1AA76DA0">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59" w:type="pct"/>
                  <w:vMerge w:val="continue"/>
                  <w:tcBorders>
                    <w:bottom w:val="single" w:color="000000" w:sz="4" w:space="0"/>
                  </w:tcBorders>
                  <w:noWrap w:val="0"/>
                  <w:vAlign w:val="center"/>
                </w:tcPr>
                <w:p w14:paraId="4644F462">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442" w:type="pct"/>
                  <w:vMerge w:val="continue"/>
                  <w:tcBorders>
                    <w:bottom w:val="single" w:color="000000" w:sz="4" w:space="0"/>
                  </w:tcBorders>
                  <w:noWrap w:val="0"/>
                  <w:vAlign w:val="center"/>
                </w:tcPr>
                <w:p w14:paraId="49D59F23">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603" w:type="pct"/>
                  <w:vMerge w:val="continue"/>
                  <w:tcBorders>
                    <w:bottom w:val="single" w:color="000000" w:sz="4" w:space="0"/>
                  </w:tcBorders>
                  <w:noWrap w:val="0"/>
                  <w:vAlign w:val="center"/>
                </w:tcPr>
                <w:p w14:paraId="6A90ECDA">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36" w:type="pct"/>
                  <w:vMerge w:val="continue"/>
                  <w:tcBorders>
                    <w:bottom w:val="single" w:color="000000" w:sz="4" w:space="0"/>
                  </w:tcBorders>
                  <w:noWrap w:val="0"/>
                  <w:vAlign w:val="center"/>
                </w:tcPr>
                <w:p w14:paraId="24A203B2">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298" w:type="pct"/>
                  <w:vMerge w:val="continue"/>
                  <w:noWrap w:val="0"/>
                  <w:vAlign w:val="center"/>
                </w:tcPr>
                <w:p w14:paraId="79FEBFCE">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646" w:type="pct"/>
                  <w:tcBorders>
                    <w:bottom w:val="single" w:color="000000" w:sz="4" w:space="0"/>
                  </w:tcBorders>
                  <w:noWrap w:val="0"/>
                  <w:vAlign w:val="center"/>
                </w:tcPr>
                <w:p w14:paraId="4990CDF2">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leftChars="0" w:right="0" w:right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氨氮</w:t>
                  </w:r>
                </w:p>
              </w:tc>
              <w:tc>
                <w:tcPr>
                  <w:tcW w:w="932" w:type="pct"/>
                  <w:noWrap w:val="0"/>
                  <w:vAlign w:val="center"/>
                </w:tcPr>
                <w:p w14:paraId="71B65C51">
                  <w:pPr>
                    <w:keepNext w:val="0"/>
                    <w:keepLines w:val="0"/>
                    <w:pageBreakBefore w:val="0"/>
                    <w:suppressLineNumbers w:val="0"/>
                    <w:kinsoku/>
                    <w:overflowPunct/>
                    <w:topLinePunct w:val="0"/>
                    <w:bidi w:val="0"/>
                    <w:adjustRightInd/>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8</w:t>
                  </w:r>
                </w:p>
              </w:tc>
            </w:tr>
            <w:tr w14:paraId="33C44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304" w:type="pct"/>
                  <w:vMerge w:val="restart"/>
                  <w:tcBorders>
                    <w:top w:val="single" w:color="000000" w:sz="4" w:space="0"/>
                  </w:tcBorders>
                  <w:noWrap w:val="0"/>
                  <w:vAlign w:val="center"/>
                </w:tcPr>
                <w:p w14:paraId="74C10B8C">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2"/>
                      <w:sz w:val="21"/>
                      <w:szCs w:val="21"/>
                      <w:highlight w:val="none"/>
                      <w:lang w:eastAsia="zh-CN"/>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DW0</w:t>
                  </w: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02</w:t>
                  </w:r>
                </w:p>
              </w:tc>
              <w:tc>
                <w:tcPr>
                  <w:tcW w:w="330" w:type="pct"/>
                  <w:vMerge w:val="restart"/>
                  <w:tcBorders>
                    <w:top w:val="single" w:color="000000" w:sz="4" w:space="0"/>
                  </w:tcBorders>
                  <w:noWrap w:val="0"/>
                  <w:vAlign w:val="center"/>
                </w:tcPr>
                <w:p w14:paraId="56A8BBC1">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leftChars="0" w:right="0" w:rightChars="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生产废水</w:t>
                  </w:r>
                  <w:r>
                    <w:rPr>
                      <w:rFonts w:hint="default" w:ascii="Times New Roman" w:hAnsi="Times New Roman" w:cs="Times New Roman"/>
                      <w:color w:val="000000" w:themeColor="text1"/>
                      <w:kern w:val="2"/>
                      <w:sz w:val="21"/>
                      <w:szCs w:val="21"/>
                      <w:highlight w:val="none"/>
                      <w14:textFill>
                        <w14:solidFill>
                          <w14:schemeClr w14:val="tx1"/>
                        </w14:solidFill>
                      </w14:textFill>
                    </w:rPr>
                    <w:t>排放口</w:t>
                  </w:r>
                </w:p>
              </w:tc>
              <w:tc>
                <w:tcPr>
                  <w:tcW w:w="392" w:type="pct"/>
                  <w:vMerge w:val="restart"/>
                  <w:tcBorders>
                    <w:top w:val="single" w:color="000000" w:sz="4" w:space="0"/>
                  </w:tcBorders>
                  <w:noWrap w:val="0"/>
                  <w:vAlign w:val="center"/>
                </w:tcPr>
                <w:p w14:paraId="6CF8248B">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113°24′26.288″</w:t>
                  </w:r>
                </w:p>
              </w:tc>
              <w:tc>
                <w:tcPr>
                  <w:tcW w:w="354" w:type="pct"/>
                  <w:vMerge w:val="restart"/>
                  <w:tcBorders>
                    <w:top w:val="single" w:color="000000" w:sz="4" w:space="0"/>
                  </w:tcBorders>
                  <w:noWrap w:val="0"/>
                  <w:vAlign w:val="center"/>
                </w:tcPr>
                <w:p w14:paraId="705601E6">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leftChars="0" w:right="0" w:right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25°9′21.04</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8</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p>
              </w:tc>
              <w:tc>
                <w:tcPr>
                  <w:tcW w:w="359" w:type="pct"/>
                  <w:vMerge w:val="restart"/>
                  <w:tcBorders>
                    <w:top w:val="single" w:color="000000" w:sz="4" w:space="0"/>
                  </w:tcBorders>
                  <w:noWrap w:val="0"/>
                  <w:vAlign w:val="center"/>
                </w:tcPr>
                <w:p w14:paraId="32512FC7">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leftChars="0" w:right="0" w:rightChars="0"/>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eastAsia" w:ascii="Times New Roman" w:hAnsi="Times New Roman" w:cs="Times New Roman"/>
                      <w:i w:val="0"/>
                      <w:iCs w:val="0"/>
                      <w:color w:val="000000" w:themeColor="text1"/>
                      <w:kern w:val="2"/>
                      <w:sz w:val="21"/>
                      <w:szCs w:val="21"/>
                      <w:highlight w:val="none"/>
                      <w:u w:val="none"/>
                      <w:lang w:val="en-US" w:eastAsia="zh-CN" w:bidi="ar-SA"/>
                      <w14:textFill>
                        <w14:solidFill>
                          <w14:schemeClr w14:val="tx1"/>
                        </w14:solidFill>
                      </w14:textFill>
                    </w:rPr>
                    <w:t>1.10512</w:t>
                  </w:r>
                </w:p>
              </w:tc>
              <w:tc>
                <w:tcPr>
                  <w:tcW w:w="442" w:type="pct"/>
                  <w:vMerge w:val="restart"/>
                  <w:tcBorders>
                    <w:top w:val="single" w:color="000000" w:sz="4" w:space="0"/>
                  </w:tcBorders>
                  <w:noWrap w:val="0"/>
                  <w:vAlign w:val="center"/>
                </w:tcPr>
                <w:p w14:paraId="47DAFD20">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集中式工业污水处理厂</w:t>
                  </w:r>
                </w:p>
              </w:tc>
              <w:tc>
                <w:tcPr>
                  <w:tcW w:w="603" w:type="pct"/>
                  <w:vMerge w:val="restart"/>
                  <w:tcBorders>
                    <w:top w:val="single" w:color="000000" w:sz="4" w:space="0"/>
                  </w:tcBorders>
                  <w:noWrap w:val="0"/>
                  <w:vAlign w:val="center"/>
                </w:tcPr>
                <w:p w14:paraId="58E56C53">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leftChars="0" w:right="0" w:rightChars="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间歇排放，流量不稳定，但不属于冲击型排放</w:t>
                  </w:r>
                </w:p>
              </w:tc>
              <w:tc>
                <w:tcPr>
                  <w:tcW w:w="336" w:type="pct"/>
                  <w:vMerge w:val="restart"/>
                  <w:tcBorders>
                    <w:top w:val="single" w:color="000000" w:sz="4" w:space="0"/>
                  </w:tcBorders>
                  <w:noWrap w:val="0"/>
                  <w:vAlign w:val="center"/>
                </w:tcPr>
                <w:p w14:paraId="0AF368DC">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leftChars="0" w:right="0" w:rightChars="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一般排放口</w:t>
                  </w:r>
                </w:p>
              </w:tc>
              <w:tc>
                <w:tcPr>
                  <w:tcW w:w="298" w:type="pct"/>
                  <w:vMerge w:val="continue"/>
                  <w:noWrap w:val="0"/>
                  <w:vAlign w:val="center"/>
                </w:tcPr>
                <w:p w14:paraId="0BEFB5C9">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646" w:type="pct"/>
                  <w:tcBorders>
                    <w:top w:val="single" w:color="000000" w:sz="4" w:space="0"/>
                  </w:tcBorders>
                  <w:noWrap w:val="0"/>
                  <w:vAlign w:val="center"/>
                </w:tcPr>
                <w:p w14:paraId="3439AC08">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总磷</w:t>
                  </w:r>
                </w:p>
              </w:tc>
              <w:tc>
                <w:tcPr>
                  <w:tcW w:w="932" w:type="pct"/>
                  <w:noWrap w:val="0"/>
                  <w:vAlign w:val="center"/>
                </w:tcPr>
                <w:p w14:paraId="6EC04236">
                  <w:pPr>
                    <w:keepNext w:val="0"/>
                    <w:keepLines w:val="0"/>
                    <w:pageBreakBefore w:val="0"/>
                    <w:suppressLineNumbers w:val="0"/>
                    <w:kinsoku/>
                    <w:overflowPunct/>
                    <w:topLinePunct w:val="0"/>
                    <w:bidi w:val="0"/>
                    <w:adjustRightInd/>
                    <w:snapToGrid w:val="0"/>
                    <w:spacing w:before="0" w:beforeAutospacing="0" w:after="0" w:afterAutospacing="0" w:line="240" w:lineRule="auto"/>
                    <w:ind w:left="0" w:leftChars="0" w:right="0" w:rightChars="0"/>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0.5</w:t>
                  </w:r>
                </w:p>
              </w:tc>
            </w:tr>
            <w:tr w14:paraId="3F00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304" w:type="pct"/>
                  <w:vMerge w:val="continue"/>
                  <w:noWrap w:val="0"/>
                  <w:vAlign w:val="center"/>
                </w:tcPr>
                <w:p w14:paraId="797456EA">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30" w:type="pct"/>
                  <w:vMerge w:val="continue"/>
                  <w:noWrap w:val="0"/>
                  <w:vAlign w:val="center"/>
                </w:tcPr>
                <w:p w14:paraId="6FA787B1">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92" w:type="pct"/>
                  <w:vMerge w:val="continue"/>
                  <w:noWrap w:val="0"/>
                  <w:vAlign w:val="center"/>
                </w:tcPr>
                <w:p w14:paraId="1C02453A">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54" w:type="pct"/>
                  <w:vMerge w:val="continue"/>
                  <w:noWrap w:val="0"/>
                  <w:vAlign w:val="center"/>
                </w:tcPr>
                <w:p w14:paraId="27C97E24">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59" w:type="pct"/>
                  <w:vMerge w:val="continue"/>
                  <w:noWrap w:val="0"/>
                  <w:vAlign w:val="center"/>
                </w:tcPr>
                <w:p w14:paraId="01CC59B8">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442" w:type="pct"/>
                  <w:vMerge w:val="continue"/>
                  <w:noWrap w:val="0"/>
                  <w:vAlign w:val="center"/>
                </w:tcPr>
                <w:p w14:paraId="49526D25">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603" w:type="pct"/>
                  <w:vMerge w:val="continue"/>
                  <w:noWrap w:val="0"/>
                  <w:vAlign w:val="center"/>
                </w:tcPr>
                <w:p w14:paraId="114DBE2C">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36" w:type="pct"/>
                  <w:vMerge w:val="continue"/>
                  <w:noWrap w:val="0"/>
                  <w:vAlign w:val="center"/>
                </w:tcPr>
                <w:p w14:paraId="1891217C">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298" w:type="pct"/>
                  <w:vMerge w:val="continue"/>
                  <w:noWrap w:val="0"/>
                  <w:vAlign w:val="center"/>
                </w:tcPr>
                <w:p w14:paraId="35FC86C3">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646" w:type="pct"/>
                  <w:noWrap w:val="0"/>
                  <w:vAlign w:val="center"/>
                </w:tcPr>
                <w:p w14:paraId="0C315944">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动植物油</w:t>
                  </w:r>
                </w:p>
              </w:tc>
              <w:tc>
                <w:tcPr>
                  <w:tcW w:w="932" w:type="pct"/>
                  <w:noWrap w:val="0"/>
                  <w:vAlign w:val="center"/>
                </w:tcPr>
                <w:p w14:paraId="58E811CF">
                  <w:pPr>
                    <w:keepNext w:val="0"/>
                    <w:keepLines w:val="0"/>
                    <w:pageBreakBefore w:val="0"/>
                    <w:suppressLineNumbers w:val="0"/>
                    <w:kinsoku/>
                    <w:overflowPunct/>
                    <w:topLinePunct w:val="0"/>
                    <w:bidi w:val="0"/>
                    <w:adjustRightInd/>
                    <w:snapToGrid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3</w:t>
                  </w:r>
                </w:p>
              </w:tc>
            </w:tr>
            <w:tr w14:paraId="7A9A8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304" w:type="pct"/>
                  <w:vMerge w:val="continue"/>
                  <w:noWrap w:val="0"/>
                  <w:vAlign w:val="center"/>
                </w:tcPr>
                <w:p w14:paraId="6A58E06C">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30" w:type="pct"/>
                  <w:vMerge w:val="continue"/>
                  <w:noWrap w:val="0"/>
                  <w:vAlign w:val="center"/>
                </w:tcPr>
                <w:p w14:paraId="34A4613B">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92" w:type="pct"/>
                  <w:vMerge w:val="continue"/>
                  <w:noWrap w:val="0"/>
                  <w:vAlign w:val="center"/>
                </w:tcPr>
                <w:p w14:paraId="4CB1A42E">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54" w:type="pct"/>
                  <w:vMerge w:val="continue"/>
                  <w:noWrap w:val="0"/>
                  <w:vAlign w:val="center"/>
                </w:tcPr>
                <w:p w14:paraId="11D1A8A1">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59" w:type="pct"/>
                  <w:vMerge w:val="continue"/>
                  <w:noWrap w:val="0"/>
                  <w:vAlign w:val="center"/>
                </w:tcPr>
                <w:p w14:paraId="1ABAAA63">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442" w:type="pct"/>
                  <w:vMerge w:val="continue"/>
                  <w:noWrap w:val="0"/>
                  <w:vAlign w:val="center"/>
                </w:tcPr>
                <w:p w14:paraId="2B2B9343">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603" w:type="pct"/>
                  <w:vMerge w:val="continue"/>
                  <w:noWrap w:val="0"/>
                  <w:vAlign w:val="center"/>
                </w:tcPr>
                <w:p w14:paraId="2576A0ED">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36" w:type="pct"/>
                  <w:vMerge w:val="continue"/>
                  <w:noWrap w:val="0"/>
                  <w:vAlign w:val="center"/>
                </w:tcPr>
                <w:p w14:paraId="6BF16BE8">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298" w:type="pct"/>
                  <w:vMerge w:val="continue"/>
                  <w:noWrap w:val="0"/>
                  <w:vAlign w:val="center"/>
                </w:tcPr>
                <w:p w14:paraId="4D0613C7">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646" w:type="pct"/>
                  <w:noWrap w:val="0"/>
                  <w:vAlign w:val="center"/>
                </w:tcPr>
                <w:p w14:paraId="43672BF1">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阴离子表面活性剂</w:t>
                  </w:r>
                </w:p>
              </w:tc>
              <w:tc>
                <w:tcPr>
                  <w:tcW w:w="932" w:type="pct"/>
                  <w:noWrap w:val="0"/>
                  <w:vAlign w:val="center"/>
                </w:tcPr>
                <w:p w14:paraId="24B1E8D1">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1.0</w:t>
                  </w:r>
                </w:p>
              </w:tc>
            </w:tr>
            <w:tr w14:paraId="53E8D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304" w:type="pct"/>
                  <w:vMerge w:val="continue"/>
                  <w:noWrap w:val="0"/>
                  <w:vAlign w:val="center"/>
                </w:tcPr>
                <w:p w14:paraId="497BECAB">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30" w:type="pct"/>
                  <w:vMerge w:val="continue"/>
                  <w:noWrap w:val="0"/>
                  <w:vAlign w:val="center"/>
                </w:tcPr>
                <w:p w14:paraId="70B6ED09">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92" w:type="pct"/>
                  <w:vMerge w:val="continue"/>
                  <w:noWrap w:val="0"/>
                  <w:vAlign w:val="center"/>
                </w:tcPr>
                <w:p w14:paraId="61243250">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54" w:type="pct"/>
                  <w:vMerge w:val="continue"/>
                  <w:noWrap w:val="0"/>
                  <w:vAlign w:val="center"/>
                </w:tcPr>
                <w:p w14:paraId="6A247C05">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59" w:type="pct"/>
                  <w:vMerge w:val="continue"/>
                  <w:noWrap w:val="0"/>
                  <w:vAlign w:val="center"/>
                </w:tcPr>
                <w:p w14:paraId="0EECAE9B">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442" w:type="pct"/>
                  <w:vMerge w:val="continue"/>
                  <w:noWrap w:val="0"/>
                  <w:vAlign w:val="center"/>
                </w:tcPr>
                <w:p w14:paraId="0CE3BD65">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603" w:type="pct"/>
                  <w:vMerge w:val="continue"/>
                  <w:noWrap w:val="0"/>
                  <w:vAlign w:val="center"/>
                </w:tcPr>
                <w:p w14:paraId="05F32CE7">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336" w:type="pct"/>
                  <w:vMerge w:val="continue"/>
                  <w:noWrap w:val="0"/>
                  <w:vAlign w:val="center"/>
                </w:tcPr>
                <w:p w14:paraId="30F4A1E3">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298" w:type="pct"/>
                  <w:vMerge w:val="continue"/>
                  <w:noWrap w:val="0"/>
                  <w:vAlign w:val="center"/>
                </w:tcPr>
                <w:p w14:paraId="3E74D3D0">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p>
              </w:tc>
              <w:tc>
                <w:tcPr>
                  <w:tcW w:w="646" w:type="pct"/>
                  <w:noWrap w:val="0"/>
                  <w:vAlign w:val="center"/>
                </w:tcPr>
                <w:p w14:paraId="312600DC">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石油类</w:t>
                  </w:r>
                </w:p>
              </w:tc>
              <w:tc>
                <w:tcPr>
                  <w:tcW w:w="932" w:type="pct"/>
                  <w:noWrap w:val="0"/>
                  <w:vAlign w:val="center"/>
                </w:tcPr>
                <w:p w14:paraId="0BB46570">
                  <w:pPr>
                    <w:pStyle w:val="109"/>
                    <w:keepNext w:val="0"/>
                    <w:keepLines w:val="0"/>
                    <w:pageBreakBefore w:val="0"/>
                    <w:widowControl/>
                    <w:suppressLineNumbers w:val="0"/>
                    <w:tabs>
                      <w:tab w:val="left" w:pos="-2848"/>
                    </w:tabs>
                    <w:kinsoku/>
                    <w:overflowPunct/>
                    <w:topLinePunct w:val="0"/>
                    <w:bidi w:val="0"/>
                    <w:adjustRightInd/>
                    <w:snapToGrid w:val="0"/>
                    <w:spacing w:before="0" w:beforeAutospacing="0" w:after="0" w:afterAutospacing="0" w:line="240" w:lineRule="auto"/>
                    <w:ind w:left="0" w:right="0"/>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3</w:t>
                  </w:r>
                </w:p>
              </w:tc>
            </w:tr>
          </w:tbl>
          <w:p w14:paraId="43A85914">
            <w:pPr>
              <w:keepNext w:val="0"/>
              <w:keepLines w:val="0"/>
              <w:pageBreakBefore w:val="0"/>
              <w:widowControl w:val="0"/>
              <w:kinsoku/>
              <w:wordWrap/>
              <w:overflowPunct/>
              <w:topLinePunct w:val="0"/>
              <w:autoSpaceDE/>
              <w:autoSpaceDN/>
              <w:bidi w:val="0"/>
              <w:adjustRightInd w:val="0"/>
              <w:snapToGrid/>
              <w:spacing w:line="120" w:lineRule="auto"/>
              <w:jc w:val="center"/>
              <w:textAlignment w:val="auto"/>
              <w:rPr>
                <w:rFonts w:hint="default" w:ascii="Times New Roman" w:hAnsi="Times New Roman" w:eastAsia="宋体" w:cs="Times New Roman"/>
                <w:b/>
                <w:color w:val="000000" w:themeColor="text1"/>
                <w:sz w:val="21"/>
                <w:szCs w:val="21"/>
                <w:highlight w:val="none"/>
                <w14:textFill>
                  <w14:solidFill>
                    <w14:schemeClr w14:val="tx1"/>
                  </w14:solidFill>
                </w14:textFill>
              </w:rPr>
            </w:pPr>
          </w:p>
          <w:p w14:paraId="793C2F54">
            <w:pPr>
              <w:keepNext/>
              <w:keepLines/>
              <w:suppressLineNumbers w:val="0"/>
              <w:tabs>
                <w:tab w:val="left" w:pos="0"/>
              </w:tabs>
              <w:spacing w:before="0" w:beforeAutospacing="0" w:after="0" w:afterAutospacing="0" w:line="360" w:lineRule="auto"/>
              <w:ind w:left="0" w:right="0" w:firstLine="482" w:firstLineChars="200"/>
              <w:outlineLvl w:val="3"/>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2.4</w:t>
            </w:r>
            <w:r>
              <w:rPr>
                <w:rFonts w:hint="default" w:ascii="Times New Roman" w:hAnsi="Times New Roman" w:cs="Times New Roman"/>
                <w:b/>
                <w:bCs/>
                <w:color w:val="000000" w:themeColor="text1"/>
                <w:sz w:val="24"/>
                <w:szCs w:val="24"/>
                <w:highlight w:val="none"/>
                <w14:textFill>
                  <w14:solidFill>
                    <w14:schemeClr w14:val="tx1"/>
                  </w14:solidFill>
                </w14:textFill>
              </w:rPr>
              <w:t>达标情况分析</w:t>
            </w:r>
          </w:p>
          <w:p w14:paraId="42E4BDA7">
            <w:pPr>
              <w:pStyle w:val="11"/>
              <w:widowControl/>
              <w:numPr>
                <w:ilvl w:val="4"/>
                <w:numId w:val="0"/>
              </w:numPr>
              <w:suppressLineNumbers w:val="0"/>
              <w:spacing w:before="0" w:beforeAutospacing="0" w:after="0" w:afterAutospacing="0" w:line="360" w:lineRule="auto"/>
              <w:ind w:left="480" w:right="0"/>
              <w:rPr>
                <w:rFonts w:hint="default" w:ascii="Times New Roman" w:hAnsi="Times New Roman" w:cs="Times New Roman"/>
                <w:color w:val="000000" w:themeColor="text1"/>
                <w:kern w:val="2"/>
                <w:sz w:val="24"/>
                <w:szCs w:val="24"/>
                <w:highlight w:val="none"/>
                <w14:textFill>
                  <w14:solidFill>
                    <w14:schemeClr w14:val="tx1"/>
                  </w14:solidFill>
                </w14:textFill>
              </w:rPr>
            </w:pPr>
            <w:r>
              <w:rPr>
                <w:rFonts w:hint="default" w:ascii="Times New Roman" w:hAnsi="Times New Roman" w:cs="Times New Roman"/>
                <w:color w:val="000000" w:themeColor="text1"/>
                <w:kern w:val="2"/>
                <w:sz w:val="24"/>
                <w:szCs w:val="24"/>
                <w:highlight w:val="none"/>
                <w14:textFill>
                  <w14:solidFill>
                    <w14:schemeClr w14:val="tx1"/>
                  </w14:solidFill>
                </w14:textFill>
              </w:rPr>
              <w:t>（1）可行性技术分析</w:t>
            </w:r>
          </w:p>
          <w:p w14:paraId="37405352">
            <w:pPr>
              <w:pStyle w:val="20"/>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参考《排污许可证申请与核发技术规范铁路、船舶、航空航天和其他运输设备制造业》（HJ 1124—2020）中表A.7表面处理（涂装）排污单位废水污染防治推荐可行技术可知，本项目生产废水采用“</w:t>
            </w:r>
            <w:r>
              <w:rPr>
                <w:rFonts w:hint="eastAsia" w:cs="Times New Roman"/>
                <w:color w:val="000000" w:themeColor="text1"/>
                <w:sz w:val="24"/>
                <w:szCs w:val="24"/>
                <w:highlight w:val="none"/>
                <w:lang w:eastAsia="zh-CN"/>
                <w14:textFill>
                  <w14:solidFill>
                    <w14:schemeClr w14:val="tx1"/>
                  </w14:solidFill>
                </w14:textFill>
              </w:rPr>
              <w:t>中和调节+混凝沉淀+气浮+化学除氟</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处理和</w:t>
            </w:r>
            <w:r>
              <w:rPr>
                <w:rFonts w:hint="default" w:ascii="Times New Roman" w:hAnsi="Times New Roman" w:cs="Times New Roman"/>
                <w:color w:val="000000" w:themeColor="text1"/>
                <w:sz w:val="24"/>
                <w:szCs w:val="24"/>
                <w:highlight w:val="none"/>
                <w14:textFill>
                  <w14:solidFill>
                    <w14:schemeClr w14:val="tx1"/>
                  </w14:solidFill>
                </w14:textFill>
              </w:rPr>
              <w:t>生活污水采用三级化粪池</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+隔油隔渣池</w:t>
            </w:r>
            <w:r>
              <w:rPr>
                <w:rFonts w:hint="default" w:ascii="Times New Roman" w:hAnsi="Times New Roman" w:cs="Times New Roman"/>
                <w:color w:val="000000" w:themeColor="text1"/>
                <w:sz w:val="24"/>
                <w:szCs w:val="24"/>
                <w:highlight w:val="none"/>
                <w14:textFill>
                  <w14:solidFill>
                    <w14:schemeClr w14:val="tx1"/>
                  </w14:solidFill>
                </w14:textFill>
              </w:rPr>
              <w:t>处理</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所用技术均</w:t>
            </w:r>
            <w:r>
              <w:rPr>
                <w:rFonts w:hint="default" w:ascii="Times New Roman" w:hAnsi="Times New Roman" w:cs="Times New Roman"/>
                <w:color w:val="000000" w:themeColor="text1"/>
                <w:sz w:val="24"/>
                <w:szCs w:val="24"/>
                <w:highlight w:val="none"/>
                <w14:textFill>
                  <w14:solidFill>
                    <w14:schemeClr w14:val="tx1"/>
                  </w14:solidFill>
                </w14:textFill>
              </w:rPr>
              <w:t>属于可行技术。因此，项目废水处理措施可行。</w:t>
            </w:r>
          </w:p>
          <w:p w14:paraId="0D6132F6">
            <w:pPr>
              <w:pStyle w:val="11"/>
              <w:widowControl/>
              <w:numPr>
                <w:ilvl w:val="4"/>
                <w:numId w:val="0"/>
              </w:numPr>
              <w:suppressLineNumbers w:val="0"/>
              <w:spacing w:before="0" w:beforeAutospacing="0" w:after="0" w:afterAutospacing="0" w:line="360" w:lineRule="auto"/>
              <w:ind w:left="480" w:right="0"/>
              <w:rPr>
                <w:rFonts w:hint="default" w:ascii="Times New Roman" w:hAnsi="Times New Roman" w:cs="Times New Roman"/>
                <w:color w:val="000000" w:themeColor="text1"/>
                <w:kern w:val="2"/>
                <w:sz w:val="24"/>
                <w:szCs w:val="24"/>
                <w:highlight w:val="none"/>
                <w14:textFill>
                  <w14:solidFill>
                    <w14:schemeClr w14:val="tx1"/>
                  </w14:solidFill>
                </w14:textFill>
              </w:rPr>
            </w:pPr>
            <w:r>
              <w:rPr>
                <w:rFonts w:hint="default" w:ascii="Times New Roman" w:hAnsi="Times New Roman" w:cs="Times New Roman"/>
                <w:color w:val="000000" w:themeColor="text1"/>
                <w:kern w:val="2"/>
                <w:sz w:val="24"/>
                <w:szCs w:val="24"/>
                <w:highlight w:val="none"/>
                <w14:textFill>
                  <w14:solidFill>
                    <w14:schemeClr w14:val="tx1"/>
                  </w14:solidFill>
                </w14:textFill>
              </w:rPr>
              <w:t>（2）水污染物控制和水环境影响减缓措施有效性评价</w:t>
            </w:r>
          </w:p>
          <w:p w14:paraId="5E88A937">
            <w:pPr>
              <w:pStyle w:val="19"/>
              <w:keepNext w:val="0"/>
              <w:keepLines w:val="0"/>
              <w:suppressLineNumbers w:val="0"/>
              <w:spacing w:before="0" w:beforeAutospacing="0" w:after="0" w:afterAutospacing="0" w:line="360" w:lineRule="auto"/>
              <w:ind w:left="0" w:right="0" w:firstLine="48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本项目位于广东省韶关市乐昌市乐昌产业转移工业园内，属于园区污水处理</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厂纳污</w:t>
            </w:r>
            <w:r>
              <w:rPr>
                <w:rFonts w:hint="default" w:ascii="Times New Roman" w:hAnsi="Times New Roman" w:cs="Times New Roman"/>
                <w:color w:val="000000" w:themeColor="text1"/>
                <w:sz w:val="24"/>
                <w:szCs w:val="24"/>
                <w:highlight w:val="none"/>
                <w14:textFill>
                  <w14:solidFill>
                    <w14:schemeClr w14:val="tx1"/>
                  </w14:solidFill>
                </w14:textFill>
              </w:rPr>
              <w:t>范围</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园区污水处理厂纳污管网图见附图15</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。项目生活污水经三级化粪池</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+隔油隔渣池</w:t>
            </w:r>
            <w:r>
              <w:rPr>
                <w:rFonts w:hint="default" w:ascii="Times New Roman" w:hAnsi="Times New Roman" w:cs="Times New Roman"/>
                <w:color w:val="000000" w:themeColor="text1"/>
                <w:sz w:val="24"/>
                <w:szCs w:val="24"/>
                <w:highlight w:val="none"/>
                <w14:textFill>
                  <w14:solidFill>
                    <w14:schemeClr w14:val="tx1"/>
                  </w14:solidFill>
                </w14:textFill>
              </w:rPr>
              <w:t>预处理、生产废水经自建废水处理设施处理后，进入园区污水处理厂深度处理，处理后的尾水排入武江（乐昌城-犁市河段）。</w:t>
            </w:r>
          </w:p>
          <w:p w14:paraId="60228C84">
            <w:pPr>
              <w:pStyle w:val="22"/>
              <w:keepNext w:val="0"/>
              <w:keepLines w:val="0"/>
              <w:suppressLineNumbers w:val="0"/>
              <w:spacing w:before="0" w:beforeAutospacing="0" w:after="0" w:afterAutospacing="0" w:line="360" w:lineRule="auto"/>
              <w:ind w:left="0" w:right="0" w:firstLine="48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自建废水处理设施设计处理能力为</w:t>
            </w:r>
            <w:r>
              <w:rPr>
                <w:rFonts w:hint="eastAsia" w:cs="Times New Roman"/>
                <w:color w:val="000000" w:themeColor="text1"/>
                <w:sz w:val="24"/>
                <w:szCs w:val="24"/>
                <w:highlight w:val="none"/>
                <w:lang w:val="en-US" w:eastAsia="zh-CN"/>
                <w14:textFill>
                  <w14:solidFill>
                    <w14:schemeClr w14:val="tx1"/>
                  </w14:solidFill>
                </w14:textFill>
              </w:rPr>
              <w:t>50</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/d，</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为避免预、主脱脂池槽液更换期间，更换废水一并进入自建污水处理站造成水质冲击，本项目处理池及污水排放管网设置有阀门，自建污水处理站设置流量调节装置，可将槽液更换期间产生的废水分批次纳入调节池中，另建设单位应加强废水管理，避免所有处理池排放废水在同一天排入自建污水处理站中，废水处理设计处理能力为</w:t>
            </w:r>
            <w:r>
              <w:rPr>
                <w:rFonts w:hint="eastAsia" w:cs="Times New Roman"/>
                <w:color w:val="000000" w:themeColor="text1"/>
                <w:sz w:val="24"/>
                <w:szCs w:val="24"/>
                <w:highlight w:val="none"/>
                <w:lang w:val="en-US" w:eastAsia="zh-CN"/>
                <w14:textFill>
                  <w14:solidFill>
                    <w14:schemeClr w14:val="tx1"/>
                  </w14:solidFill>
                </w14:textFill>
              </w:rPr>
              <w:t>50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/d，</w:t>
            </w:r>
            <w:r>
              <w:rPr>
                <w:rFonts w:hint="default" w:ascii="Times New Roman" w:hAnsi="Times New Roman" w:cs="Times New Roman"/>
                <w:color w:val="000000" w:themeColor="text1"/>
                <w:sz w:val="24"/>
                <w:szCs w:val="24"/>
                <w:highlight w:val="none"/>
                <w14:textFill>
                  <w14:solidFill>
                    <w14:schemeClr w14:val="tx1"/>
                  </w14:solidFill>
                </w14:textFill>
              </w:rPr>
              <w:t>满足本项目所需处理的废水量</w:t>
            </w:r>
            <w:r>
              <w:rPr>
                <w:rFonts w:hint="eastAsia" w:cs="Times New Roman"/>
                <w:color w:val="000000" w:themeColor="text1"/>
                <w:sz w:val="24"/>
                <w:szCs w:val="24"/>
                <w:highlight w:val="none"/>
                <w:lang w:val="en-US" w:eastAsia="zh-CN"/>
                <w14:textFill>
                  <w14:solidFill>
                    <w14:schemeClr w14:val="tx1"/>
                  </w14:solidFill>
                </w14:textFill>
              </w:rPr>
              <w:t>41.54</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/d</w:t>
            </w:r>
            <w:r>
              <w:rPr>
                <w:rFonts w:hint="default" w:ascii="Times New Roman" w:hAnsi="Times New Roman" w:cs="Times New Roman"/>
                <w:color w:val="000000" w:themeColor="text1"/>
                <w:sz w:val="24"/>
                <w:szCs w:val="24"/>
                <w:highlight w:val="none"/>
                <w14:textFill>
                  <w14:solidFill>
                    <w14:schemeClr w14:val="tx1"/>
                  </w14:solidFill>
                </w14:textFill>
              </w:rPr>
              <w:t>。</w:t>
            </w:r>
          </w:p>
          <w:p w14:paraId="6D08FAD0">
            <w:pPr>
              <w:pStyle w:val="22"/>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根据废水产生情况，槽液更换量最大为11.2m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，每次更换一个槽池，假设更换槽液时其他池子正常作业（即溢流废水正常产生），则单日最大废水产生量为11.2+4685.04÷241=30.64t/d，项目废水处理站设置调节池容积为55m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vertAlign w:val="baseline"/>
                <w:lang w:val="en-US" w:eastAsia="zh-CN"/>
                <w14:textFill>
                  <w14:solidFill>
                    <w14:schemeClr w14:val="tx1"/>
                  </w14:solidFill>
                </w14:textFill>
              </w:rPr>
              <w:t>，大于单日最大废水产生量，调节池容积足以缓冲水量冲击负荷。</w:t>
            </w:r>
          </w:p>
          <w:p w14:paraId="48501CBE">
            <w:pPr>
              <w:pStyle w:val="22"/>
              <w:keepNext w:val="0"/>
              <w:keepLines w:val="0"/>
              <w:suppressLineNumbers w:val="0"/>
              <w:spacing w:before="0" w:beforeAutospacing="0" w:after="0" w:afterAutospacing="0" w:line="360" w:lineRule="auto"/>
              <w:ind w:left="0" w:right="0" w:firstLine="482"/>
              <w:rPr>
                <w:rFonts w:hint="default" w:ascii="Times New Roman" w:hAnsi="Times New Roman" w:cs="Times New Roman"/>
                <w:color w:val="000000" w:themeColor="text1"/>
                <w:kern w:val="0"/>
                <w:sz w:val="24"/>
                <w:szCs w:val="24"/>
                <w:highlight w:val="none"/>
                <w:lang w:bidi="ar"/>
                <w14:textFill>
                  <w14:solidFill>
                    <w14:schemeClr w14:val="tx1"/>
                  </w14:solidFill>
                </w14:textFill>
              </w:rPr>
            </w:pPr>
            <w:r>
              <w:rPr>
                <w:rFonts w:hint="default" w:ascii="Times New Roman" w:hAnsi="Times New Roman" w:cs="Times New Roman"/>
                <w:color w:val="000000" w:themeColor="text1"/>
                <w:kern w:val="0"/>
                <w:sz w:val="24"/>
                <w:szCs w:val="24"/>
                <w:highlight w:val="none"/>
                <w:lang w:bidi="ar"/>
                <w14:textFill>
                  <w14:solidFill>
                    <w14:schemeClr w14:val="tx1"/>
                  </w14:solidFill>
                </w14:textFill>
              </w:rPr>
              <w:t>园区污水处理厂出水水质执行《城镇污水处理厂污染物排放标准》（GB18918-2002）中一级B标准和广东省《水污染物排放限值》（DB44/26-2001）中的第二时段一级排放标准较严者，对周围环境影响较小。</w:t>
            </w:r>
          </w:p>
          <w:p w14:paraId="1C4456F3">
            <w:pPr>
              <w:pStyle w:val="22"/>
              <w:keepNext w:val="0"/>
              <w:keepLines w:val="0"/>
              <w:suppressLineNumbers w:val="0"/>
              <w:spacing w:before="0" w:beforeAutospacing="0" w:after="0" w:afterAutospacing="0" w:line="360" w:lineRule="auto"/>
              <w:ind w:left="0" w:right="0" w:firstLine="482"/>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default" w:ascii="Times New Roman" w:hAnsi="Times New Roman" w:cs="Times New Roman"/>
                <w:b/>
                <w:bCs/>
                <w:color w:val="000000" w:themeColor="text1"/>
                <w:sz w:val="24"/>
                <w:szCs w:val="24"/>
                <w:highlight w:val="none"/>
                <w14:textFill>
                  <w14:solidFill>
                    <w14:schemeClr w14:val="tx1"/>
                  </w14:solidFill>
                </w14:textFill>
              </w:rPr>
              <w:t>（3）依托污水设施的环境可行性评价</w:t>
            </w:r>
          </w:p>
          <w:p w14:paraId="2E1A95DD">
            <w:pPr>
              <w:pStyle w:val="22"/>
              <w:keepNext w:val="0"/>
              <w:keepLines w:val="0"/>
              <w:suppressLineNumbers w:val="0"/>
              <w:spacing w:before="0" w:beforeAutospacing="0" w:after="0" w:afterAutospacing="0" w:line="360" w:lineRule="auto"/>
              <w:ind w:left="0" w:right="0" w:firstLine="48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产业园范围内已有乐昌产业转移工业园污水处理厂，</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且本项目所在地块已纳入现状排污管收集范围内。</w:t>
            </w:r>
            <w:r>
              <w:rPr>
                <w:rFonts w:hint="default" w:ascii="Times New Roman" w:hAnsi="Times New Roman" w:cs="Times New Roman"/>
                <w:color w:val="000000" w:themeColor="text1"/>
                <w:sz w:val="24"/>
                <w:szCs w:val="24"/>
                <w:highlight w:val="none"/>
                <w14:textFill>
                  <w14:solidFill>
                    <w14:schemeClr w14:val="tx1"/>
                  </w14:solidFill>
                </w14:textFill>
              </w:rPr>
              <w:t>污水工艺采用循环式活性污泥法（CASS）工艺。出水水质标准执行广东省地方标准《水污染物排放限值》</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DB44/26-2001</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第二时段一级标准及国家《城镇污水处理厂污染物排放标准》</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GB18918-2002</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一级B标准中较严标准，处理达标后由污水处理厂内提升泵通过已建成6392米长的出水管道输送至武江排放。</w:t>
            </w:r>
          </w:p>
          <w:p w14:paraId="51602D7E">
            <w:pPr>
              <w:pStyle w:val="22"/>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园区污水处理厂主体工艺</w:t>
            </w:r>
            <w:r>
              <w:rPr>
                <w:rFonts w:hint="default" w:ascii="Times New Roman" w:hAnsi="Times New Roman" w:cs="Times New Roman"/>
                <w:color w:val="000000" w:themeColor="text1"/>
                <w:sz w:val="24"/>
                <w:szCs w:val="24"/>
                <w:highlight w:val="none"/>
                <w:lang w:eastAsia="zh-CN"/>
                <w14:textFill>
                  <w14:solidFill>
                    <w14:schemeClr w14:val="tx1"/>
                  </w14:solidFill>
                </w14:textFill>
              </w:rPr>
              <w:t>采用</w:t>
            </w:r>
            <w:r>
              <w:rPr>
                <w:rFonts w:hint="default" w:ascii="Times New Roman" w:hAnsi="Times New Roman" w:cs="Times New Roman"/>
                <w:color w:val="000000" w:themeColor="text1"/>
                <w:sz w:val="24"/>
                <w:szCs w:val="24"/>
                <w:highlight w:val="none"/>
                <w14:textFill>
                  <w14:solidFill>
                    <w14:schemeClr w14:val="tx1"/>
                  </w14:solidFill>
                </w14:textFill>
              </w:rPr>
              <w:t>CASS，该工艺运行灵活、耐冲击能力强等优点。对于产业转移工业园工业废水，现状各企业基本无生产废水产生，只产生生活污水。可能对污水厂处理工艺产生影响的主要为产业转移工业园规划引进的企业的生产废水，园区主导行业电子信息、机械、金属制品、轻纺等产业可能产生的生产废水中部分指标较高，对于接入污水厂的生产废水，产业转移工业园要求企业根据生产废水的水质情况进行预处理。其中，如有集成电路生产企业，其生产废水经pH值调节、投药、絮凝沉淀，重点去除F</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后，预处理达到广东省《水污染</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物</w:t>
            </w:r>
            <w:r>
              <w:rPr>
                <w:rFonts w:hint="default" w:ascii="Times New Roman" w:hAnsi="Times New Roman" w:cs="Times New Roman"/>
                <w:color w:val="000000" w:themeColor="text1"/>
                <w:sz w:val="24"/>
                <w:szCs w:val="24"/>
                <w:highlight w:val="none"/>
                <w14:textFill>
                  <w14:solidFill>
                    <w14:schemeClr w14:val="tx1"/>
                  </w14:solidFill>
                </w14:textFill>
              </w:rPr>
              <w:t>排放限值》</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DB44/26-2001</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第二时段三级标准</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p>
          <w:p w14:paraId="461B6246">
            <w:pPr>
              <w:pStyle w:val="19"/>
              <w:keepNext w:val="0"/>
              <w:keepLines w:val="0"/>
              <w:suppressLineNumbers w:val="0"/>
              <w:spacing w:before="0" w:beforeAutospacing="0" w:after="0" w:afterAutospacing="0" w:line="360" w:lineRule="auto"/>
              <w:ind w:left="0" w:right="0" w:firstLine="48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产业园污水处理厂目前已建成正常运行，并安装了在线监控设施并</w:t>
            </w:r>
            <w:r>
              <w:rPr>
                <w:rFonts w:hint="default" w:ascii="Times New Roman" w:hAnsi="Times New Roman" w:cs="Times New Roman"/>
                <w:color w:val="000000" w:themeColor="text1"/>
                <w:sz w:val="24"/>
                <w:szCs w:val="24"/>
                <w:highlight w:val="none"/>
                <w:lang w:eastAsia="zh-CN"/>
                <w14:textFill>
                  <w14:solidFill>
                    <w14:schemeClr w14:val="tx1"/>
                  </w14:solidFill>
                </w14:textFill>
              </w:rPr>
              <w:t>与</w:t>
            </w:r>
            <w:r>
              <w:rPr>
                <w:rFonts w:hint="eastAsia" w:cs="Times New Roman"/>
                <w:color w:val="000000" w:themeColor="text1"/>
                <w:sz w:val="24"/>
                <w:szCs w:val="24"/>
                <w:highlight w:val="none"/>
                <w:lang w:eastAsia="zh-CN"/>
                <w14:textFill>
                  <w14:solidFill>
                    <w14:schemeClr w14:val="tx1"/>
                  </w14:solidFill>
                </w14:textFill>
              </w:rPr>
              <w:t>生态环境主管部门</w:t>
            </w:r>
            <w:r>
              <w:rPr>
                <w:rFonts w:hint="default" w:ascii="Times New Roman" w:hAnsi="Times New Roman" w:cs="Times New Roman"/>
                <w:color w:val="000000" w:themeColor="text1"/>
                <w:sz w:val="24"/>
                <w:szCs w:val="24"/>
                <w:highlight w:val="none"/>
                <w14:textFill>
                  <w14:solidFill>
                    <w14:schemeClr w14:val="tx1"/>
                  </w14:solidFill>
                </w14:textFill>
              </w:rPr>
              <w:t>联网，园区污水处理厂占地面积15400m²，设计处理能力为10000m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/d，分两期建设，一期处理能力5000m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/d，二期处理能力5000m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/d，现状首期5000m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/d已经建成运行。</w:t>
            </w:r>
          </w:p>
          <w:p w14:paraId="6D88BEF2">
            <w:pPr>
              <w:keepNext w:val="0"/>
              <w:keepLines w:val="0"/>
              <w:widowControl/>
              <w:suppressLineNumbers w:val="0"/>
              <w:spacing w:before="0" w:beforeAutospacing="0" w:after="0" w:afterAutospacing="0" w:line="360" w:lineRule="auto"/>
              <w:ind w:left="0" w:right="0" w:firstLine="480" w:firstLineChars="200"/>
              <w:jc w:val="both"/>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根据乐昌产业转移工业园管委会提供的资料显示：2025年1月至6月期间，乐昌市产业转移工业园污水处理厂接纳污水总量为404312</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vertAlign w:val="baseli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最大接纳污水量为6月</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110739</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vertAlign w:val="baseli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最小接纳污水量为1月</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32168</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vertAlign w:val="baseli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平均每月接纳污水总量为80862.4</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，按每月30日折算</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日处理量约为2695.4</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/d，则剩余接纳污水能力为</w:t>
            </w:r>
            <w:r>
              <w:rPr>
                <w:rFonts w:hint="default" w:ascii="Times New Roman" w:hAnsi="Times New Roman" w:cs="Times New Roman"/>
                <w:color w:val="000000" w:themeColor="text1"/>
                <w:sz w:val="24"/>
                <w:szCs w:val="24"/>
                <w:highlight w:val="none"/>
                <w14:textFill>
                  <w14:solidFill>
                    <w14:schemeClr w14:val="tx1"/>
                  </w14:solidFill>
                </w14:textFill>
              </w:rPr>
              <w:t>5000m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/d</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2695.4</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/d=2304.6</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/d。</w:t>
            </w:r>
          </w:p>
          <w:p w14:paraId="1F7EBDB1">
            <w:pPr>
              <w:pStyle w:val="19"/>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本项目</w:t>
            </w:r>
            <w:r>
              <w:rPr>
                <w:rFonts w:hint="eastAsia" w:cs="Times New Roman"/>
                <w:color w:val="000000" w:themeColor="text1"/>
                <w:sz w:val="24"/>
                <w:szCs w:val="24"/>
                <w:highlight w:val="none"/>
                <w:lang w:val="en-US" w:eastAsia="zh-CN"/>
                <w14:textFill>
                  <w14:solidFill>
                    <w14:schemeClr w14:val="tx1"/>
                  </w14:solidFill>
                </w14:textFill>
              </w:rPr>
              <w:t>全厂</w:t>
            </w:r>
            <w:r>
              <w:rPr>
                <w:rFonts w:hint="default" w:ascii="Times New Roman" w:hAnsi="Times New Roman" w:cs="Times New Roman"/>
                <w:color w:val="000000" w:themeColor="text1"/>
                <w:sz w:val="24"/>
                <w:szCs w:val="24"/>
                <w:highlight w:val="none"/>
                <w14:textFill>
                  <w14:solidFill>
                    <w14:schemeClr w14:val="tx1"/>
                  </w14:solidFill>
                </w14:textFill>
              </w:rPr>
              <w:t>纳入污水处理厂的污水排放量为</w:t>
            </w:r>
            <w:r>
              <w:rPr>
                <w:rFonts w:hint="eastAsia" w:cs="Times New Roman"/>
                <w:color w:val="000000" w:themeColor="text1"/>
                <w:sz w:val="24"/>
                <w:szCs w:val="24"/>
                <w:highlight w:val="none"/>
                <w:lang w:val="en-US" w:eastAsia="zh-CN"/>
                <w14:textFill>
                  <w14:solidFill>
                    <w14:schemeClr w14:val="tx1"/>
                  </w14:solidFill>
                </w14:textFill>
              </w:rPr>
              <w:t>50.12</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/d，</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约</w:t>
            </w:r>
            <w:r>
              <w:rPr>
                <w:rFonts w:hint="default" w:ascii="Times New Roman" w:hAnsi="Times New Roman" w:cs="Times New Roman"/>
                <w:color w:val="000000" w:themeColor="text1"/>
                <w:sz w:val="24"/>
                <w:szCs w:val="24"/>
                <w:highlight w:val="none"/>
                <w:lang w:eastAsia="zh-CN"/>
                <w14:textFill>
                  <w14:solidFill>
                    <w14:schemeClr w14:val="tx1"/>
                  </w14:solidFill>
                </w14:textFill>
              </w:rPr>
              <w:t>占剩余处理能力的</w:t>
            </w:r>
            <w:r>
              <w:rPr>
                <w:rFonts w:hint="eastAsia" w:cs="Times New Roman"/>
                <w:color w:val="000000" w:themeColor="text1"/>
                <w:sz w:val="24"/>
                <w:szCs w:val="24"/>
                <w:highlight w:val="none"/>
                <w:lang w:val="en-US" w:eastAsia="zh-CN"/>
                <w14:textFill>
                  <w14:solidFill>
                    <w14:schemeClr w14:val="tx1"/>
                  </w14:solidFill>
                </w14:textFill>
              </w:rPr>
              <w:t>2.2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污水中的污染物主要为SS、COD</w:t>
            </w:r>
            <w:r>
              <w:rPr>
                <w:rFonts w:hint="default" w:ascii="Times New Roman" w:hAnsi="Times New Roman" w:cs="Times New Roman"/>
                <w:color w:val="000000" w:themeColor="text1"/>
                <w:sz w:val="24"/>
                <w:szCs w:val="24"/>
                <w:highlight w:val="none"/>
                <w:vertAlign w:val="subscript"/>
                <w:lang w:val="en-US" w:eastAsia="zh-CN"/>
                <w14:textFill>
                  <w14:solidFill>
                    <w14:schemeClr w14:val="tx1"/>
                  </w14:solidFill>
                </w14:textFill>
              </w:rPr>
              <w:t>Cr</w:t>
            </w:r>
            <w:r>
              <w:rPr>
                <w:rFonts w:hint="default" w:ascii="Times New Roman" w:hAnsi="Times New Roman" w:cs="Times New Roman"/>
                <w:color w:val="000000" w:themeColor="text1"/>
                <w:sz w:val="24"/>
                <w:szCs w:val="24"/>
                <w:highlight w:val="none"/>
                <w14:textFill>
                  <w14:solidFill>
                    <w14:schemeClr w14:val="tx1"/>
                  </w14:solidFill>
                </w14:textFill>
              </w:rPr>
              <w:t>、BOD</w:t>
            </w:r>
            <w:r>
              <w:rPr>
                <w:rFonts w:hint="default" w:ascii="Times New Roman" w:hAnsi="Times New Roman" w:cs="Times New Roman"/>
                <w:color w:val="000000" w:themeColor="text1"/>
                <w:sz w:val="24"/>
                <w:szCs w:val="24"/>
                <w:highlight w:val="none"/>
                <w:vertAlign w:val="subscript"/>
                <w:lang w:val="en-US" w:eastAsia="zh-CN"/>
                <w14:textFill>
                  <w14:solidFill>
                    <w14:schemeClr w14:val="tx1"/>
                  </w14:solidFill>
                </w14:textFill>
              </w:rPr>
              <w:t>5</w:t>
            </w:r>
            <w:r>
              <w:rPr>
                <w:rFonts w:hint="default" w:ascii="Times New Roman" w:hAnsi="Times New Roman" w:cs="Times New Roman"/>
                <w:color w:val="000000" w:themeColor="text1"/>
                <w:sz w:val="24"/>
                <w:szCs w:val="24"/>
                <w:highlight w:val="none"/>
                <w14:textFill>
                  <w14:solidFill>
                    <w14:schemeClr w14:val="tx1"/>
                  </w14:solidFill>
                </w14:textFill>
              </w:rPr>
              <w:t>、NH</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-N、氟化物、LAS、石油类</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、锆、钛</w:t>
            </w:r>
            <w:r>
              <w:rPr>
                <w:rFonts w:hint="default" w:ascii="Times New Roman" w:hAnsi="Times New Roman" w:cs="Times New Roman"/>
                <w:color w:val="000000" w:themeColor="text1"/>
                <w:sz w:val="24"/>
                <w:szCs w:val="24"/>
                <w:highlight w:val="none"/>
                <w14:textFill>
                  <w14:solidFill>
                    <w14:schemeClr w14:val="tx1"/>
                  </w14:solidFill>
                </w14:textFill>
              </w:rPr>
              <w:t>等，污染物种类较简单</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p>
          <w:p w14:paraId="3004028E">
            <w:pPr>
              <w:pStyle w:val="19"/>
              <w:keepNext w:val="0"/>
              <w:keepLines w:val="0"/>
              <w:suppressLineNumbers w:val="0"/>
              <w:spacing w:before="0" w:beforeAutospacing="0" w:after="0" w:afterAutospacing="0" w:line="360" w:lineRule="auto"/>
              <w:ind w:left="0" w:right="0" w:firstLine="480"/>
              <w:rPr>
                <w:rFonts w:hint="default" w:ascii="Times New Roman" w:hAnsi="Times New Roman" w:cs="Times New Roman"/>
                <w:b/>
                <w:bCs/>
                <w:color w:val="000000" w:themeColor="text1"/>
                <w:sz w:val="24"/>
                <w:szCs w:val="24"/>
                <w:highlight w:val="none"/>
                <w:lang w:val="en-US"/>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园区污水处理厂对</w:t>
            </w:r>
            <w:bookmarkStart w:id="28" w:name="OLE_LINK49"/>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LAS、氟化物、</w:t>
            </w:r>
            <w:bookmarkEnd w:id="28"/>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锆和钛的处理能力分析：</w:t>
            </w:r>
          </w:p>
          <w:p w14:paraId="2A94561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bookmarkStart w:id="29" w:name="OLE_LINK50"/>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一、工艺适配性分析</w:t>
            </w:r>
          </w:p>
          <w:p w14:paraId="5800E72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预处理工艺与园区工艺衔接</w:t>
            </w:r>
          </w:p>
          <w:p w14:paraId="2D141A9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本项目</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采用“</w:t>
            </w:r>
            <w:r>
              <w:rPr>
                <w:rFonts w:hint="eastAsia" w:cs="Times New Roman"/>
                <w:b w:val="0"/>
                <w:bCs w:val="0"/>
                <w:color w:val="000000" w:themeColor="text1"/>
                <w:sz w:val="24"/>
                <w:szCs w:val="24"/>
                <w:highlight w:val="none"/>
                <w:lang w:eastAsia="zh-CN"/>
                <w14:textFill>
                  <w14:solidFill>
                    <w14:schemeClr w14:val="tx1"/>
                  </w14:solidFill>
                </w14:textFill>
              </w:rPr>
              <w:t>中和调节+混凝沉淀+气浮+化学除氟</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”预处理工艺，混凝沉淀通过电荷中和作用破坏LAS胶体稳定性，气浮则通过微气泡吸附将其分离</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。预处理工艺</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可有效降低废水中</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LAS、氟化物、</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锆（Zr）、钛（Ti）浓度</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显著减轻园区污水处理厂负荷。</w:t>
            </w:r>
          </w:p>
          <w:p w14:paraId="56D86DE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CASS工艺处理能力</w:t>
            </w:r>
          </w:p>
          <w:p w14:paraId="06C3359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a</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金属氢氧化物沉淀机理</w:t>
            </w:r>
          </w:p>
          <w:p w14:paraId="6CE8899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Zr⁴⁺在pH≥7.0条件下生成Zr(OH)₄沉淀（Ksp≈10⁻⁵⁶），Ti⁴⁺形成Ti(OH)₄胶体（Ksp≈10⁻⁴⁴），投加PAC（聚合氯化铝）和PAM（聚丙烯酰胺）后，通过电荷中和、吸附架桥及网捕作用，形成致密絮体，</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可</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沉淀</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去除，沉淀</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效率提升20%</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30%</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p>
          <w:p w14:paraId="58BEC48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b</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生物吸附机制</w:t>
            </w:r>
          </w:p>
          <w:p w14:paraId="16DF366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活性污泥中微生物（如假单胞菌、芽孢杆菌）的细胞壁含羧基（-COOH）、羟基（-OH）等官能团，通过离子交换与表面络合吸附Zr⁴⁺、Ti⁴⁺，污泥回流设计（污泥龄15</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25天）增强吸附容量（5</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8mg/g MLSS）</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CASS工艺中活性污泥的微生物（如假单胞菌）可通过生物氧化分解LAS，其长污泥龄（15~25天）增强了对难降解有机物的去除能力。尽管预处理已大幅降低氟化物浓度，CASS工艺通过生物吸附和化学沉淀的协同作用（如微生物胞外聚合物对F</w:t>
            </w:r>
            <w:r>
              <w:rPr>
                <w:rFonts w:hint="default" w:ascii="Times New Roman" w:hAnsi="Times New Roman" w:eastAsia="宋体" w:cs="Times New Roman"/>
                <w:b w:val="0"/>
                <w:bCs w:val="0"/>
                <w:color w:val="000000" w:themeColor="text1"/>
                <w:sz w:val="24"/>
                <w:szCs w:val="24"/>
                <w:highlight w:val="none"/>
                <w:vertAlign w:val="superscript"/>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的络合），可进一步将氟化物浓度降</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低</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，强化达标保障。</w:t>
            </w:r>
          </w:p>
          <w:p w14:paraId="2C3B691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c</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协同增效效应</w:t>
            </w:r>
          </w:p>
          <w:p w14:paraId="5A701DB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化学沉淀生成的金属絮体与活性污泥包裹形成“生物-化学复合体”，较单一工艺提升去除率15%</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25%。</w:t>
            </w:r>
          </w:p>
          <w:p w14:paraId="26C79FD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深度处理保障：后续絮凝沉淀池及纤维滤池可进一步截留微量金属</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离子</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对</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污染物</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进行进一步的</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截留。</w:t>
            </w:r>
          </w:p>
          <w:p w14:paraId="6ACE4DA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二、重金属去除效能验证</w:t>
            </w:r>
          </w:p>
          <w:p w14:paraId="6F287BC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污染物浓度与工艺负荷</w:t>
            </w:r>
          </w:p>
          <w:p w14:paraId="394A19C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本项目</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预处理后Zr、Ti总浓度</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约</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为</w:t>
            </w:r>
            <w:r>
              <w:rPr>
                <w:rFonts w:hint="eastAsia" w:cs="Times New Roman"/>
                <w:b w:val="0"/>
                <w:bCs w:val="0"/>
                <w:color w:val="000000" w:themeColor="text1"/>
                <w:sz w:val="24"/>
                <w:szCs w:val="24"/>
                <w:highlight w:val="none"/>
                <w:lang w:val="en-US" w:eastAsia="zh-CN"/>
                <w14:textFill>
                  <w14:solidFill>
                    <w14:schemeClr w14:val="tx1"/>
                  </w14:solidFill>
                </w14:textFill>
              </w:rPr>
              <w:t>0.80m</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g/L（</w:t>
            </w:r>
            <w:r>
              <w:rPr>
                <w:rFonts w:hint="eastAsia" w:cs="Times New Roman"/>
                <w:b w:val="0"/>
                <w:bCs w:val="0"/>
                <w:color w:val="000000" w:themeColor="text1"/>
                <w:sz w:val="24"/>
                <w:szCs w:val="24"/>
                <w:highlight w:val="none"/>
                <w:vertAlign w:val="baseline"/>
                <w:lang w:val="en-US" w:eastAsia="zh-CN"/>
                <w14:textFill>
                  <w14:solidFill>
                    <w14:schemeClr w14:val="tx1"/>
                  </w14:solidFill>
                </w14:textFill>
              </w:rPr>
              <w:t>0.48</w:t>
            </w:r>
            <w:r>
              <w:rPr>
                <w:rFonts w:hint="default" w:ascii="Times New Roman" w:hAnsi="Times New Roman" w:cs="Times New Roman"/>
                <w:b w:val="0"/>
                <w:bCs w:val="0"/>
                <w:color w:val="000000" w:themeColor="text1"/>
                <w:sz w:val="24"/>
                <w:szCs w:val="24"/>
                <w:highlight w:val="none"/>
                <w:vertAlign w:val="baseline"/>
                <w:lang w:val="en-US" w:eastAsia="zh-CN"/>
                <w14:textFill>
                  <w14:solidFill>
                    <w14:schemeClr w14:val="tx1"/>
                  </w14:solidFill>
                </w14:textFill>
              </w:rPr>
              <w:t>mg/L+</w:t>
            </w:r>
            <w:r>
              <w:rPr>
                <w:rFonts w:hint="eastAsia" w:cs="Times New Roman"/>
                <w:b w:val="0"/>
                <w:bCs w:val="0"/>
                <w:color w:val="000000" w:themeColor="text1"/>
                <w:sz w:val="24"/>
                <w:szCs w:val="24"/>
                <w:highlight w:val="none"/>
                <w:vertAlign w:val="baseline"/>
                <w:lang w:val="en-US" w:eastAsia="zh-CN"/>
                <w14:textFill>
                  <w14:solidFill>
                    <w14:schemeClr w14:val="tx1"/>
                  </w14:solidFill>
                </w14:textFill>
              </w:rPr>
              <w:t>0.32</w:t>
            </w:r>
            <w:r>
              <w:rPr>
                <w:rFonts w:hint="default" w:ascii="Times New Roman" w:hAnsi="Times New Roman" w:cs="Times New Roman"/>
                <w:b w:val="0"/>
                <w:bCs w:val="0"/>
                <w:color w:val="000000" w:themeColor="text1"/>
                <w:sz w:val="24"/>
                <w:szCs w:val="24"/>
                <w:highlight w:val="none"/>
                <w:vertAlign w:val="baseline"/>
                <w:lang w:val="en-US" w:eastAsia="zh-CN"/>
                <w14:textFill>
                  <w14:solidFill>
                    <w14:schemeClr w14:val="tx1"/>
                  </w14:solidFill>
                </w14:textFill>
              </w:rPr>
              <w:t>mg/L</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），低于园区污水处理厂设计进水重金属综合限值（参照《污水排入城镇下水道水质标准》</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GB/T31962-2015</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，通常设定为10mg/L），工艺安全余量充足。</w:t>
            </w:r>
          </w:p>
          <w:p w14:paraId="6013100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水量稀释效应</w:t>
            </w:r>
          </w:p>
          <w:p w14:paraId="702C8FAA">
            <w:pPr>
              <w:pStyle w:val="19"/>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本项目</w:t>
            </w:r>
            <w:r>
              <w:rPr>
                <w:rFonts w:hint="default" w:ascii="Times New Roman" w:hAnsi="Times New Roman" w:eastAsia="宋体" w:cs="Times New Roman"/>
                <w:color w:val="000000" w:themeColor="text1"/>
                <w:sz w:val="24"/>
                <w:szCs w:val="24"/>
                <w:highlight w:val="none"/>
                <w14:textFill>
                  <w14:solidFill>
                    <w14:schemeClr w14:val="tx1"/>
                  </w14:solidFill>
                </w14:textFill>
              </w:rPr>
              <w:t>废水排放量为</w:t>
            </w:r>
            <w:r>
              <w:rPr>
                <w:rFonts w:hint="eastAsia" w:cs="Times New Roman"/>
                <w:color w:val="000000" w:themeColor="text1"/>
                <w:sz w:val="24"/>
                <w:szCs w:val="24"/>
                <w:highlight w:val="none"/>
                <w:lang w:val="en-US" w:eastAsia="zh-CN"/>
                <w14:textFill>
                  <w14:solidFill>
                    <w14:schemeClr w14:val="tx1"/>
                  </w14:solidFill>
                </w14:textFill>
              </w:rPr>
              <w:t>50.12</w:t>
            </w:r>
            <w:r>
              <w:rPr>
                <w:rFonts w:hint="default" w:ascii="Times New Roman" w:hAnsi="Times New Roman" w:eastAsia="宋体" w:cs="Times New Roman"/>
                <w:color w:val="000000" w:themeColor="text1"/>
                <w:sz w:val="24"/>
                <w:szCs w:val="24"/>
                <w:highlight w:val="none"/>
                <w14:textFill>
                  <w14:solidFill>
                    <w14:schemeClr w14:val="tx1"/>
                  </w14:solidFill>
                </w14:textFill>
              </w:rPr>
              <w:t>m³/d，仅占园区污水处理厂剩余处理能力（</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2304.6</w:t>
            </w:r>
            <w:r>
              <w:rPr>
                <w:rFonts w:hint="default" w:ascii="Times New Roman" w:hAnsi="Times New Roman" w:eastAsia="宋体" w:cs="Times New Roman"/>
                <w:color w:val="000000" w:themeColor="text1"/>
                <w:sz w:val="24"/>
                <w:szCs w:val="24"/>
                <w:highlight w:val="none"/>
                <w14:textFill>
                  <w14:solidFill>
                    <w14:schemeClr w14:val="tx1"/>
                  </w14:solidFill>
                </w14:textFill>
              </w:rPr>
              <w:t>m³/d）的</w:t>
            </w:r>
            <w:r>
              <w:rPr>
                <w:rFonts w:hint="eastAsia" w:cs="Times New Roman"/>
                <w:color w:val="000000" w:themeColor="text1"/>
                <w:sz w:val="24"/>
                <w:szCs w:val="24"/>
                <w:highlight w:val="none"/>
                <w:lang w:val="en-US" w:eastAsia="zh-CN"/>
                <w14:textFill>
                  <w14:solidFill>
                    <w14:schemeClr w14:val="tx1"/>
                  </w14:solidFill>
                </w14:textFill>
              </w:rPr>
              <w:t>2.2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。大水量对污染物具有显著稀释作用，结合工艺处理，预计Zr、Ti浓度可进一步降至0.25mg/L以下，远低于环境风险阈值。</w:t>
            </w:r>
          </w:p>
          <w:bookmarkEnd w:id="29"/>
          <w:p w14:paraId="014A7848">
            <w:pPr>
              <w:pStyle w:val="19"/>
              <w:keepNext w:val="0"/>
              <w:keepLines w:val="0"/>
              <w:suppressLineNumbers w:val="0"/>
              <w:spacing w:before="0" w:beforeAutospacing="0" w:after="0" w:afterAutospacing="0" w:line="360" w:lineRule="auto"/>
              <w:ind w:left="0" w:right="0" w:firstLine="48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乐昌产业转移工业园污水处理厂现有CASS工艺具备处理</w:t>
            </w:r>
            <w:r>
              <w:rPr>
                <w:rFonts w:hint="eastAsia" w:cs="Times New Roman"/>
                <w:color w:val="000000" w:themeColor="text1"/>
                <w:sz w:val="24"/>
                <w:szCs w:val="24"/>
                <w:highlight w:val="none"/>
                <w:lang w:val="en-US" w:eastAsia="zh-CN"/>
                <w14:textFill>
                  <w14:solidFill>
                    <w14:schemeClr w14:val="tx1"/>
                  </w14:solidFill>
                </w14:textFill>
              </w:rPr>
              <w:t>本项目</w:t>
            </w:r>
            <w:r>
              <w:rPr>
                <w:rFonts w:hint="default" w:ascii="Times New Roman" w:hAnsi="Times New Roman" w:cs="Times New Roman"/>
                <w:color w:val="000000" w:themeColor="text1"/>
                <w:sz w:val="24"/>
                <w:szCs w:val="24"/>
                <w:highlight w:val="none"/>
                <w14:textFill>
                  <w14:solidFill>
                    <w14:schemeClr w14:val="tx1"/>
                  </w14:solidFill>
                </w14:textFill>
              </w:rPr>
              <w:t>含锆</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钛废水的能力，预处理后</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的</w:t>
            </w:r>
            <w:r>
              <w:rPr>
                <w:rFonts w:hint="default" w:ascii="Times New Roman" w:hAnsi="Times New Roman" w:cs="Times New Roman"/>
                <w:color w:val="000000" w:themeColor="text1"/>
                <w:sz w:val="24"/>
                <w:szCs w:val="24"/>
                <w:highlight w:val="none"/>
                <w14:textFill>
                  <w14:solidFill>
                    <w14:schemeClr w14:val="tx1"/>
                  </w14:solidFill>
                </w14:textFill>
              </w:rPr>
              <w:t>水质及水量均在</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园区污水处理厂</w:t>
            </w:r>
            <w:r>
              <w:rPr>
                <w:rFonts w:hint="default" w:ascii="Times New Roman" w:hAnsi="Times New Roman" w:cs="Times New Roman"/>
                <w:color w:val="000000" w:themeColor="text1"/>
                <w:sz w:val="24"/>
                <w:szCs w:val="24"/>
                <w:highlight w:val="none"/>
                <w14:textFill>
                  <w14:solidFill>
                    <w14:schemeClr w14:val="tx1"/>
                  </w14:solidFill>
                </w14:textFill>
              </w:rPr>
              <w:t>工艺耐受范围内，</w:t>
            </w:r>
            <w:r>
              <w:rPr>
                <w:rFonts w:hint="default" w:ascii="Times New Roman" w:hAnsi="Times New Roman" w:cs="Times New Roman"/>
                <w:color w:val="000000" w:themeColor="text1"/>
                <w:sz w:val="24"/>
                <w:highlight w:val="none"/>
                <w14:textFill>
                  <w14:solidFill>
                    <w14:schemeClr w14:val="tx1"/>
                  </w14:solidFill>
                </w14:textFill>
              </w:rPr>
              <w:t>同意</w:t>
            </w:r>
            <w:r>
              <w:rPr>
                <w:rFonts w:hint="default" w:ascii="Times New Roman" w:hAnsi="Times New Roman" w:cs="Times New Roman"/>
                <w:color w:val="000000" w:themeColor="text1"/>
                <w:sz w:val="24"/>
                <w:highlight w:val="none"/>
                <w:lang w:val="en-US" w:eastAsia="zh-CN"/>
                <w14:textFill>
                  <w14:solidFill>
                    <w14:schemeClr w14:val="tx1"/>
                  </w14:solidFill>
                </w14:textFill>
              </w:rPr>
              <w:t>本项目生产废水</w:t>
            </w:r>
            <w:r>
              <w:rPr>
                <w:rFonts w:hint="default" w:ascii="Times New Roman" w:hAnsi="Times New Roman" w:cs="Times New Roman"/>
                <w:color w:val="000000" w:themeColor="text1"/>
                <w:sz w:val="24"/>
                <w:highlight w:val="none"/>
                <w14:textFill>
                  <w14:solidFill>
                    <w14:schemeClr w14:val="tx1"/>
                  </w14:solidFill>
                </w14:textFill>
              </w:rPr>
              <w:t>接入园区</w:t>
            </w:r>
            <w:r>
              <w:rPr>
                <w:rFonts w:hint="default" w:ascii="Times New Roman" w:hAnsi="Times New Roman" w:cs="Times New Roman"/>
                <w:color w:val="000000" w:themeColor="text1"/>
                <w:sz w:val="24"/>
                <w:highlight w:val="none"/>
                <w:lang w:val="en-US" w:eastAsia="zh-CN"/>
                <w14:textFill>
                  <w14:solidFill>
                    <w14:schemeClr w14:val="tx1"/>
                  </w14:solidFill>
                </w14:textFill>
              </w:rPr>
              <w:t>污水</w:t>
            </w:r>
            <w:r>
              <w:rPr>
                <w:rFonts w:hint="default" w:ascii="Times New Roman" w:hAnsi="Times New Roman" w:cs="Times New Roman"/>
                <w:color w:val="000000" w:themeColor="text1"/>
                <w:sz w:val="24"/>
                <w:highlight w:val="none"/>
                <w14:textFill>
                  <w14:solidFill>
                    <w14:schemeClr w14:val="tx1"/>
                  </w14:solidFill>
                </w14:textFill>
              </w:rPr>
              <w:t>管网</w:t>
            </w:r>
            <w:r>
              <w:rPr>
                <w:rFonts w:hint="default" w:ascii="Times New Roman" w:hAnsi="Times New Roman" w:cs="Times New Roman"/>
                <w:color w:val="000000" w:themeColor="text1"/>
                <w:sz w:val="24"/>
                <w:szCs w:val="24"/>
                <w:highlight w:val="none"/>
                <w14:textFill>
                  <w14:solidFill>
                    <w14:schemeClr w14:val="tx1"/>
                  </w14:solidFill>
                </w14:textFill>
              </w:rPr>
              <w:t>。根据前</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文</w:t>
            </w:r>
            <w:r>
              <w:rPr>
                <w:rFonts w:hint="default" w:ascii="Times New Roman" w:hAnsi="Times New Roman" w:cs="Times New Roman"/>
                <w:color w:val="000000" w:themeColor="text1"/>
                <w:sz w:val="24"/>
                <w:szCs w:val="24"/>
                <w:highlight w:val="none"/>
                <w14:textFill>
                  <w14:solidFill>
                    <w14:schemeClr w14:val="tx1"/>
                  </w14:solidFill>
                </w14:textFill>
              </w:rPr>
              <w:t>分析，</w:t>
            </w:r>
            <w:bookmarkStart w:id="30" w:name="OLE_LINK51"/>
            <w:r>
              <w:rPr>
                <w:rFonts w:hint="default" w:ascii="Times New Roman" w:hAnsi="Times New Roman" w:cs="Times New Roman"/>
                <w:color w:val="000000" w:themeColor="text1"/>
                <w:sz w:val="24"/>
                <w:szCs w:val="24"/>
                <w:highlight w:val="none"/>
                <w14:textFill>
                  <w14:solidFill>
                    <w14:schemeClr w14:val="tx1"/>
                  </w14:solidFill>
                </w14:textFill>
              </w:rPr>
              <w:t>园区污水处理厂剩余污水处理能力完全可以容纳处理本项目排入的污水，且与园区处理能力匹配</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bookmarkEnd w:id="30"/>
            <w:r>
              <w:rPr>
                <w:rFonts w:hint="default" w:ascii="Times New Roman" w:hAnsi="Times New Roman" w:cs="Times New Roman"/>
                <w:color w:val="000000" w:themeColor="text1"/>
                <w:sz w:val="24"/>
                <w:szCs w:val="24"/>
                <w:highlight w:val="none"/>
                <w14:textFill>
                  <w14:solidFill>
                    <w14:schemeClr w14:val="tx1"/>
                  </w14:solidFill>
                </w14:textFill>
              </w:rPr>
              <w:t>因此，本</w:t>
            </w:r>
            <w:bookmarkStart w:id="31" w:name="OLE_LINK52"/>
            <w:r>
              <w:rPr>
                <w:rFonts w:hint="default" w:ascii="Times New Roman" w:hAnsi="Times New Roman" w:cs="Times New Roman"/>
                <w:color w:val="000000" w:themeColor="text1"/>
                <w:sz w:val="24"/>
                <w:szCs w:val="24"/>
                <w:highlight w:val="none"/>
                <w14:textFill>
                  <w14:solidFill>
                    <w14:schemeClr w14:val="tx1"/>
                  </w14:solidFill>
                </w14:textFill>
              </w:rPr>
              <w:t>项目产生的</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废</w:t>
            </w:r>
            <w:r>
              <w:rPr>
                <w:rFonts w:hint="default" w:ascii="Times New Roman" w:hAnsi="Times New Roman" w:cs="Times New Roman"/>
                <w:color w:val="000000" w:themeColor="text1"/>
                <w:sz w:val="24"/>
                <w:szCs w:val="24"/>
                <w:highlight w:val="none"/>
                <w14:textFill>
                  <w14:solidFill>
                    <w14:schemeClr w14:val="tx1"/>
                  </w14:solidFill>
                </w14:textFill>
              </w:rPr>
              <w:t>水经预处理后排入园区污水处理厂处理具有环境可行性</w:t>
            </w:r>
            <w:bookmarkEnd w:id="31"/>
            <w:r>
              <w:rPr>
                <w:rFonts w:hint="default" w:ascii="Times New Roman" w:hAnsi="Times New Roman" w:cs="Times New Roman"/>
                <w:color w:val="000000" w:themeColor="text1"/>
                <w:sz w:val="24"/>
                <w:szCs w:val="24"/>
                <w:highlight w:val="none"/>
                <w14:textFill>
                  <w14:solidFill>
                    <w14:schemeClr w14:val="tx1"/>
                  </w14:solidFill>
                </w14:textFill>
              </w:rPr>
              <w:t>。</w:t>
            </w:r>
          </w:p>
          <w:p w14:paraId="11336479">
            <w:pPr>
              <w:pStyle w:val="163"/>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drawing>
                <wp:inline distT="0" distB="0" distL="114300" distR="114300">
                  <wp:extent cx="5344795" cy="2265680"/>
                  <wp:effectExtent l="0" t="0" r="8255" b="1270"/>
                  <wp:docPr id="10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4"/>
                          <pic:cNvPicPr>
                            <a:picLocks noChangeAspect="1"/>
                          </pic:cNvPicPr>
                        </pic:nvPicPr>
                        <pic:blipFill>
                          <a:blip r:embed="rId32"/>
                          <a:srcRect l="4562" t="1219"/>
                          <a:stretch>
                            <a:fillRect/>
                          </a:stretch>
                        </pic:blipFill>
                        <pic:spPr>
                          <a:xfrm>
                            <a:off x="0" y="0"/>
                            <a:ext cx="5344795" cy="2265680"/>
                          </a:xfrm>
                          <a:prstGeom prst="rect">
                            <a:avLst/>
                          </a:prstGeom>
                          <a:noFill/>
                          <a:ln>
                            <a:noFill/>
                          </a:ln>
                        </pic:spPr>
                      </pic:pic>
                    </a:graphicData>
                  </a:graphic>
                </wp:inline>
              </w:drawing>
            </w:r>
          </w:p>
          <w:p w14:paraId="0E9A17DB">
            <w:pPr>
              <w:keepNext w:val="0"/>
              <w:keepLines w:val="0"/>
              <w:pageBreakBefore w:val="0"/>
              <w:widowControl/>
              <w:numPr>
                <w:ilvl w:val="0"/>
                <w:numId w:val="0"/>
              </w:numPr>
              <w:suppressLineNumbers w:val="0"/>
              <w:tabs>
                <w:tab w:val="left" w:pos="0"/>
              </w:tabs>
              <w:kinsoku/>
              <w:wordWrap/>
              <w:overflowPunct/>
              <w:topLinePunct w:val="0"/>
              <w:autoSpaceDE/>
              <w:autoSpaceDN/>
              <w:bidi w:val="0"/>
              <w:adjustRightInd/>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图4-</w:t>
            </w:r>
            <w:r>
              <w:rPr>
                <w:rFonts w:hint="eastAsia" w:cs="Times New Roman"/>
                <w:b/>
                <w:bCs/>
                <w:color w:val="000000" w:themeColor="text1"/>
                <w:kern w:val="2"/>
                <w:sz w:val="21"/>
                <w:szCs w:val="21"/>
                <w:lang w:val="en-US" w:eastAsia="zh-CN" w:bidi="ar-SA"/>
                <w14:textFill>
                  <w14:solidFill>
                    <w14:schemeClr w14:val="tx1"/>
                  </w14:solidFill>
                </w14:textFill>
              </w:rPr>
              <w:t>4</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园区</w:t>
            </w: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污水处理厂工艺流程图</w:t>
            </w:r>
          </w:p>
          <w:p w14:paraId="74ADD083">
            <w:pPr>
              <w:pStyle w:val="22"/>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b/>
                <w:bCs/>
                <w:color w:val="000000" w:themeColor="text1"/>
                <w:sz w:val="24"/>
                <w:szCs w:val="24"/>
                <w:highlight w:val="none"/>
                <w:lang w:eastAsia="zh-CN"/>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2.5</w:t>
            </w:r>
            <w:r>
              <w:rPr>
                <w:rFonts w:hint="default" w:ascii="Times New Roman" w:hAnsi="Times New Roman" w:cs="Times New Roman"/>
                <w:b/>
                <w:bCs/>
                <w:color w:val="000000" w:themeColor="text1"/>
                <w:sz w:val="24"/>
                <w:szCs w:val="24"/>
                <w:highlight w:val="none"/>
                <w14:textFill>
                  <w14:solidFill>
                    <w14:schemeClr w14:val="tx1"/>
                  </w14:solidFill>
                </w14:textFill>
              </w:rPr>
              <w:t>监测要求</w:t>
            </w:r>
          </w:p>
          <w:p w14:paraId="61439AAB">
            <w:pPr>
              <w:pStyle w:val="2"/>
              <w:spacing w:line="360" w:lineRule="auto"/>
              <w:ind w:firstLine="480" w:firstLineChars="200"/>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根据《排污单位自行监测技术指南 总则》（HJ819-2017）、《排污单位自行监测技术指南 涂装》（HJ 1086-2020），生活污水单独排放口且排放方式为间接排放，无自行监测频次要求，</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为预防和控制含重金废水对下游纳污河段的影响，根据有关专家和主管部门的建议，重金属离子参照废水直接排放标准执行，即按《电镀水污染物排放标准》（DB44/1597-2015）表2新建项目水污染物排放限值-非珠三角地区执行。本评价建议建设单位优先采购重金属含量更低的表面处理药剂，并加强对重金属钛、锆离子排放浓度的监测。</w:t>
            </w:r>
          </w:p>
          <w:p w14:paraId="3D9488D0">
            <w:pPr>
              <w:pStyle w:val="20"/>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因此本项目生产废水自行监测计划，监测要求见下表</w:t>
            </w:r>
            <w:r>
              <w:rPr>
                <w:rFonts w:hint="default" w:ascii="Times New Roman" w:hAnsi="Times New Roman" w:cs="Times New Roman"/>
                <w:color w:val="000000" w:themeColor="text1"/>
                <w:sz w:val="24"/>
                <w:szCs w:val="24"/>
                <w:highlight w:val="none"/>
                <w14:textFill>
                  <w14:solidFill>
                    <w14:schemeClr w14:val="tx1"/>
                  </w14:solidFill>
                </w14:textFill>
              </w:rPr>
              <w:t>。</w:t>
            </w:r>
          </w:p>
          <w:p w14:paraId="06E3B55D">
            <w:pPr>
              <w:keepNext/>
              <w:keepLines/>
              <w:numPr>
                <w:ilvl w:val="0"/>
                <w:numId w:val="0"/>
              </w:numPr>
              <w:suppressLineNumbers w:val="0"/>
              <w:tabs>
                <w:tab w:val="left" w:pos="0"/>
              </w:tabs>
              <w:spacing w:before="0" w:beforeAutospacing="0" w:after="0" w:afterAutospacing="0"/>
              <w:ind w:left="0" w:leftChars="0" w:right="0" w:rightChars="0" w:firstLine="40" w:firstLineChars="0"/>
              <w:jc w:val="center"/>
              <w:outlineLvl w:val="3"/>
              <w:rPr>
                <w:rFonts w:hint="eastAsia"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表4-3</w:t>
            </w:r>
            <w:r>
              <w:rPr>
                <w:rFonts w:hint="eastAsia" w:cs="Times New Roman"/>
                <w:b/>
                <w:bCs/>
                <w:color w:val="000000" w:themeColor="text1"/>
                <w:kern w:val="2"/>
                <w:sz w:val="21"/>
                <w:szCs w:val="21"/>
                <w:lang w:val="en-US" w:eastAsia="zh-CN" w:bidi="ar-SA"/>
                <w14:textFill>
                  <w14:solidFill>
                    <w14:schemeClr w14:val="tx1"/>
                  </w14:solidFill>
                </w14:textFill>
              </w:rPr>
              <w:t>1 废水</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监测</w:t>
            </w:r>
            <w:r>
              <w:rPr>
                <w:rFonts w:hint="eastAsia" w:cs="Times New Roman"/>
                <w:b/>
                <w:bCs/>
                <w:color w:val="000000" w:themeColor="text1"/>
                <w:sz w:val="21"/>
                <w:szCs w:val="21"/>
                <w:highlight w:val="none"/>
                <w:lang w:val="en-US" w:eastAsia="zh-CN"/>
                <w14:textFill>
                  <w14:solidFill>
                    <w14:schemeClr w14:val="tx1"/>
                  </w14:solidFill>
                </w14:textFill>
              </w:rPr>
              <w:t>计划</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9"/>
              <w:gridCol w:w="1931"/>
              <w:gridCol w:w="1116"/>
              <w:gridCol w:w="4148"/>
            </w:tblGrid>
            <w:tr w14:paraId="3A0E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14" w:type="pct"/>
                  <w:noWrap w:val="0"/>
                  <w:vAlign w:val="center"/>
                </w:tcPr>
                <w:p w14:paraId="45EC059E">
                  <w:pPr>
                    <w:pStyle w:val="109"/>
                    <w:keepNext w:val="0"/>
                    <w:keepLines w:val="0"/>
                    <w:widowControl/>
                    <w:suppressLineNumbers w:val="0"/>
                    <w:tabs>
                      <w:tab w:val="left" w:pos="-2848"/>
                    </w:tabs>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监测点位</w:t>
                  </w:r>
                </w:p>
              </w:tc>
              <w:tc>
                <w:tcPr>
                  <w:tcW w:w="1150" w:type="pct"/>
                  <w:noWrap w:val="0"/>
                  <w:vAlign w:val="center"/>
                </w:tcPr>
                <w:p w14:paraId="32CDD1F9">
                  <w:pPr>
                    <w:pStyle w:val="109"/>
                    <w:keepNext w:val="0"/>
                    <w:keepLines w:val="0"/>
                    <w:widowControl/>
                    <w:suppressLineNumbers w:val="0"/>
                    <w:tabs>
                      <w:tab w:val="left" w:pos="-2848"/>
                    </w:tabs>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监测指标</w:t>
                  </w:r>
                </w:p>
              </w:tc>
              <w:tc>
                <w:tcPr>
                  <w:tcW w:w="665" w:type="pct"/>
                  <w:noWrap w:val="0"/>
                  <w:vAlign w:val="center"/>
                </w:tcPr>
                <w:p w14:paraId="0C85872E">
                  <w:pPr>
                    <w:pStyle w:val="109"/>
                    <w:keepNext w:val="0"/>
                    <w:keepLines w:val="0"/>
                    <w:widowControl/>
                    <w:suppressLineNumbers w:val="0"/>
                    <w:tabs>
                      <w:tab w:val="left" w:pos="-2848"/>
                    </w:tabs>
                    <w:spacing w:before="0" w:beforeAutospacing="0" w:after="0" w:afterAutospacing="0" w:line="240" w:lineRule="auto"/>
                    <w:ind w:left="0" w:right="0"/>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监测频次</w:t>
                  </w:r>
                </w:p>
              </w:tc>
              <w:tc>
                <w:tcPr>
                  <w:tcW w:w="2469" w:type="pct"/>
                  <w:noWrap w:val="0"/>
                  <w:vAlign w:val="center"/>
                </w:tcPr>
                <w:p w14:paraId="59057676">
                  <w:pPr>
                    <w:pStyle w:val="109"/>
                    <w:keepNext w:val="0"/>
                    <w:keepLines w:val="0"/>
                    <w:widowControl/>
                    <w:suppressLineNumbers w:val="0"/>
                    <w:tabs>
                      <w:tab w:val="left" w:pos="-2848"/>
                    </w:tabs>
                    <w:spacing w:before="0" w:beforeAutospacing="0" w:after="0" w:afterAutospacing="0" w:line="240" w:lineRule="auto"/>
                    <w:ind w:left="0" w:right="0"/>
                    <w:rPr>
                      <w:rFonts w:hint="eastAsia" w:ascii="Times New Roman" w:hAnsi="Times New Roman" w:eastAsia="宋体" w:cs="Times New Roman"/>
                      <w:b/>
                      <w:bCs/>
                      <w:color w:val="000000" w:themeColor="text1"/>
                      <w:kern w:val="2"/>
                      <w:sz w:val="21"/>
                      <w:szCs w:val="21"/>
                      <w:highlight w:val="none"/>
                      <w:lang w:eastAsia="zh-CN"/>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监测</w:t>
                  </w:r>
                  <w:r>
                    <w:rPr>
                      <w:rFonts w:hint="eastAsia" w:ascii="Times New Roman" w:hAnsi="Times New Roman" w:cs="Times New Roman"/>
                      <w:b/>
                      <w:bCs/>
                      <w:color w:val="000000" w:themeColor="text1"/>
                      <w:kern w:val="2"/>
                      <w:sz w:val="21"/>
                      <w:szCs w:val="21"/>
                      <w:highlight w:val="none"/>
                      <w:lang w:val="en-US" w:eastAsia="zh-CN"/>
                      <w14:textFill>
                        <w14:solidFill>
                          <w14:schemeClr w14:val="tx1"/>
                        </w14:solidFill>
                      </w14:textFill>
                    </w:rPr>
                    <w:t>依据</w:t>
                  </w:r>
                </w:p>
              </w:tc>
            </w:tr>
            <w:tr w14:paraId="785A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14" w:type="pct"/>
                  <w:noWrap w:val="0"/>
                  <w:vAlign w:val="center"/>
                </w:tcPr>
                <w:p w14:paraId="0DAE1C57">
                  <w:pPr>
                    <w:pStyle w:val="109"/>
                    <w:keepNext w:val="0"/>
                    <w:keepLines w:val="0"/>
                    <w:widowControl/>
                    <w:suppressLineNumbers w:val="0"/>
                    <w:tabs>
                      <w:tab w:val="left" w:pos="-2848"/>
                    </w:tabs>
                    <w:spacing w:before="0" w:beforeAutospacing="0" w:after="0" w:afterAutospacing="0" w:line="240" w:lineRule="auto"/>
                    <w:ind w:left="0" w:right="0"/>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生产</w:t>
                  </w:r>
                  <w:r>
                    <w:rPr>
                      <w:rFonts w:hint="default" w:ascii="Times New Roman" w:hAnsi="Times New Roman" w:cs="Times New Roman"/>
                      <w:color w:val="000000" w:themeColor="text1"/>
                      <w:kern w:val="2"/>
                      <w:sz w:val="21"/>
                      <w:szCs w:val="21"/>
                      <w:highlight w:val="none"/>
                      <w14:textFill>
                        <w14:solidFill>
                          <w14:schemeClr w14:val="tx1"/>
                        </w14:solidFill>
                      </w14:textFill>
                    </w:rPr>
                    <w:t>废水排放口</w:t>
                  </w: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DW002</w:t>
                  </w:r>
                </w:p>
              </w:tc>
              <w:tc>
                <w:tcPr>
                  <w:tcW w:w="1150" w:type="pct"/>
                  <w:noWrap w:val="0"/>
                  <w:vAlign w:val="center"/>
                </w:tcPr>
                <w:p w14:paraId="5A0DE2F6">
                  <w:pPr>
                    <w:pStyle w:val="20"/>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eastAsia="宋体"/>
                      <w:color w:val="000000" w:themeColor="text1"/>
                      <w:sz w:val="21"/>
                      <w:szCs w:val="21"/>
                      <w:highlight w:val="none"/>
                      <w14:textFill>
                        <w14:solidFill>
                          <w14:schemeClr w14:val="tx1"/>
                        </w14:solidFill>
                      </w14:textFill>
                    </w:rPr>
                    <w:t>流量、pH、COD</w:t>
                  </w:r>
                  <w:r>
                    <w:rPr>
                      <w:rFonts w:hint="default" w:eastAsia="宋体"/>
                      <w:color w:val="000000" w:themeColor="text1"/>
                      <w:sz w:val="21"/>
                      <w:szCs w:val="21"/>
                      <w:highlight w:val="none"/>
                      <w:vertAlign w:val="subscript"/>
                      <w14:textFill>
                        <w14:solidFill>
                          <w14:schemeClr w14:val="tx1"/>
                        </w14:solidFill>
                      </w14:textFill>
                    </w:rPr>
                    <w:t>Cr</w:t>
                  </w:r>
                  <w:r>
                    <w:rPr>
                      <w:rFonts w:hint="default" w:eastAsia="宋体"/>
                      <w:color w:val="000000" w:themeColor="text1"/>
                      <w:sz w:val="21"/>
                      <w:szCs w:val="21"/>
                      <w:highlight w:val="none"/>
                      <w14:textFill>
                        <w14:solidFill>
                          <w14:schemeClr w14:val="tx1"/>
                        </w14:solidFill>
                      </w14:textFill>
                    </w:rPr>
                    <w:t>、氨氮、悬浮物、氟化物、LAS、石油类、BOD</w:t>
                  </w:r>
                  <w:r>
                    <w:rPr>
                      <w:rFonts w:hint="default" w:eastAsia="宋体"/>
                      <w:color w:val="000000" w:themeColor="text1"/>
                      <w:sz w:val="21"/>
                      <w:szCs w:val="21"/>
                      <w:highlight w:val="none"/>
                      <w:vertAlign w:val="subscript"/>
                      <w14:textFill>
                        <w14:solidFill>
                          <w14:schemeClr w14:val="tx1"/>
                        </w14:solidFill>
                      </w14:textFill>
                    </w:rPr>
                    <w:t>5</w:t>
                  </w:r>
                  <w:r>
                    <w:rPr>
                      <w:rFonts w:hint="default" w:eastAsia="宋体"/>
                      <w:color w:val="000000" w:themeColor="text1"/>
                      <w:sz w:val="21"/>
                      <w:szCs w:val="21"/>
                      <w:highlight w:val="none"/>
                      <w14:textFill>
                        <w14:solidFill>
                          <w14:schemeClr w14:val="tx1"/>
                        </w14:solidFill>
                      </w14:textFill>
                    </w:rPr>
                    <w:t>、总氮、总磷</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总铝、总锆、总钛</w:t>
                  </w:r>
                </w:p>
              </w:tc>
              <w:tc>
                <w:tcPr>
                  <w:tcW w:w="665" w:type="pct"/>
                  <w:noWrap w:val="0"/>
                  <w:vAlign w:val="center"/>
                </w:tcPr>
                <w:p w14:paraId="209D42E6">
                  <w:pPr>
                    <w:pStyle w:val="109"/>
                    <w:keepNext w:val="0"/>
                    <w:keepLines w:val="0"/>
                    <w:widowControl/>
                    <w:suppressLineNumbers w:val="0"/>
                    <w:tabs>
                      <w:tab w:val="left" w:pos="-2848"/>
                    </w:tabs>
                    <w:spacing w:before="0" w:beforeAutospacing="0" w:after="0" w:afterAutospacing="0"/>
                    <w:ind w:left="0" w:leftChars="0" w:right="0" w:rightChars="0"/>
                    <w:rPr>
                      <w:rFonts w:hint="default" w:ascii="Times New Roman" w:hAnsi="Times New Roman" w:eastAsia="宋体" w:cs="Times New Roman"/>
                      <w:color w:val="000000" w:themeColor="text1"/>
                      <w:kern w:val="2"/>
                      <w:position w:val="-1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highlight w:val="none"/>
                      <w14:textFill>
                        <w14:solidFill>
                          <w14:schemeClr w14:val="tx1"/>
                        </w14:solidFill>
                      </w14:textFill>
                    </w:rPr>
                    <w:t>1次/</w:t>
                  </w:r>
                  <w:r>
                    <w:rPr>
                      <w:rFonts w:hint="eastAsia" w:ascii="Times New Roman" w:hAnsi="Times New Roman" w:cs="Times New Roman"/>
                      <w:color w:val="000000" w:themeColor="text1"/>
                      <w:kern w:val="2"/>
                      <w:highlight w:val="none"/>
                      <w:lang w:val="en-US" w:eastAsia="zh-CN"/>
                      <w14:textFill>
                        <w14:solidFill>
                          <w14:schemeClr w14:val="tx1"/>
                        </w14:solidFill>
                      </w14:textFill>
                    </w:rPr>
                    <w:t>半</w:t>
                  </w:r>
                  <w:r>
                    <w:rPr>
                      <w:rFonts w:hint="default" w:ascii="Times New Roman" w:hAnsi="Times New Roman" w:cs="Times New Roman"/>
                      <w:color w:val="000000" w:themeColor="text1"/>
                      <w:kern w:val="2"/>
                      <w:highlight w:val="none"/>
                      <w:lang w:val="en-US" w:eastAsia="zh-CN"/>
                      <w14:textFill>
                        <w14:solidFill>
                          <w14:schemeClr w14:val="tx1"/>
                        </w14:solidFill>
                      </w14:textFill>
                    </w:rPr>
                    <w:t>年</w:t>
                  </w:r>
                </w:p>
              </w:tc>
              <w:tc>
                <w:tcPr>
                  <w:tcW w:w="2469" w:type="pct"/>
                  <w:noWrap w:val="0"/>
                  <w:vAlign w:val="center"/>
                </w:tcPr>
                <w:p w14:paraId="28E9506F">
                  <w:pPr>
                    <w:pStyle w:val="109"/>
                    <w:keepNext w:val="0"/>
                    <w:keepLines w:val="0"/>
                    <w:widowControl/>
                    <w:suppressLineNumbers w:val="0"/>
                    <w:tabs>
                      <w:tab w:val="left" w:pos="-2848"/>
                    </w:tabs>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2"/>
                      <w:position w:val="-10"/>
                      <w:sz w:val="21"/>
                      <w:szCs w:val="21"/>
                      <w:highlight w:val="none"/>
                      <w:lang w:val="en-US" w:eastAsia="zh-CN" w:bidi="ar-SA"/>
                      <w14:textFill>
                        <w14:solidFill>
                          <w14:schemeClr w14:val="tx1"/>
                        </w14:solidFill>
                      </w14:textFill>
                    </w:rPr>
                  </w:pPr>
                  <w:r>
                    <w:rPr>
                      <w:rFonts w:hint="default" w:eastAsia="宋体"/>
                      <w:color w:val="000000" w:themeColor="text1"/>
                      <w:spacing w:val="-2"/>
                      <w:sz w:val="21"/>
                      <w:szCs w:val="21"/>
                      <w:highlight w:val="none"/>
                      <w14:textFill>
                        <w14:solidFill>
                          <w14:schemeClr w14:val="tx1"/>
                        </w14:solidFill>
                      </w14:textFill>
                    </w:rPr>
                    <w:t>《排污单位自行监测技术指南 涂装》</w:t>
                  </w: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（HJ1086-2020）表1-</w:t>
                  </w:r>
                  <w:r>
                    <w:rPr>
                      <w:rFonts w:hint="eastAsia" w:eastAsia="宋体"/>
                      <w:color w:val="000000" w:themeColor="text1"/>
                      <w:spacing w:val="-2"/>
                      <w:sz w:val="21"/>
                      <w:szCs w:val="21"/>
                      <w:highlight w:val="none"/>
                      <w14:textFill>
                        <w14:solidFill>
                          <w14:schemeClr w14:val="tx1"/>
                        </w14:solidFill>
                      </w14:textFill>
                    </w:rPr>
                    <w:t>废水总排放口-非重点排污单位-间接排放</w:t>
                  </w:r>
                </w:p>
              </w:tc>
            </w:tr>
            <w:tr w14:paraId="01B46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14" w:type="pct"/>
                  <w:noWrap w:val="0"/>
                  <w:vAlign w:val="center"/>
                </w:tcPr>
                <w:p w14:paraId="0B48851D">
                  <w:pPr>
                    <w:pStyle w:val="109"/>
                    <w:keepNext w:val="0"/>
                    <w:keepLines w:val="0"/>
                    <w:widowControl/>
                    <w:suppressLineNumbers w:val="0"/>
                    <w:tabs>
                      <w:tab w:val="left" w:pos="-2848"/>
                    </w:tabs>
                    <w:spacing w:before="0" w:beforeAutospacing="0" w:after="0" w:afterAutospacing="0" w:line="240" w:lineRule="auto"/>
                    <w:ind w:left="0" w:right="0"/>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雨水排放口（YS001）</w:t>
                  </w:r>
                </w:p>
              </w:tc>
              <w:tc>
                <w:tcPr>
                  <w:tcW w:w="1150" w:type="pct"/>
                  <w:noWrap w:val="0"/>
                  <w:vAlign w:val="center"/>
                </w:tcPr>
                <w:p w14:paraId="1A164A89">
                  <w:pPr>
                    <w:pStyle w:val="177"/>
                    <w:keepNext w:val="0"/>
                    <w:keepLines w:val="0"/>
                    <w:pageBreakBefore w:val="0"/>
                    <w:suppressLineNumbers w:val="0"/>
                    <w:kinsoku/>
                    <w:wordWrap w:val="0"/>
                    <w:overflowPunct/>
                    <w:topLinePunct/>
                    <w:autoSpaceDE/>
                    <w:autoSpaceDN/>
                    <w:bidi w:val="0"/>
                    <w:spacing w:beforeAutospacing="0" w:afterAutospacing="0" w:line="240" w:lineRule="auto"/>
                    <w:ind w:left="0" w:leftChars="0" w:right="0" w:rightChars="0" w:firstLine="0" w:firstLineChars="0"/>
                    <w:jc w:val="center"/>
                    <w:textAlignment w:val="auto"/>
                    <w:rPr>
                      <w:rFonts w:hint="default" w:eastAsia="宋体"/>
                      <w:color w:val="000000" w:themeColor="text1"/>
                      <w:sz w:val="21"/>
                      <w:szCs w:val="21"/>
                      <w:highlight w:val="none"/>
                      <w14:textFill>
                        <w14:solidFill>
                          <w14:schemeClr w14:val="tx1"/>
                        </w14:solidFill>
                      </w14:textFill>
                    </w:rPr>
                  </w:pPr>
                  <w:r>
                    <w:rPr>
                      <w:rFonts w:hint="default"/>
                      <w:color w:val="000000" w:themeColor="text1"/>
                      <w:kern w:val="2"/>
                      <w:sz w:val="21"/>
                      <w:szCs w:val="21"/>
                      <w:highlight w:val="none"/>
                      <w14:textFill>
                        <w14:solidFill>
                          <w14:schemeClr w14:val="tx1"/>
                        </w14:solidFill>
                      </w14:textFill>
                    </w:rPr>
                    <w:t>pH、COD</w:t>
                  </w:r>
                  <w:r>
                    <w:rPr>
                      <w:rFonts w:hint="default"/>
                      <w:color w:val="000000" w:themeColor="text1"/>
                      <w:kern w:val="2"/>
                      <w:sz w:val="21"/>
                      <w:szCs w:val="21"/>
                      <w:highlight w:val="none"/>
                      <w:vertAlign w:val="subscript"/>
                      <w14:textFill>
                        <w14:solidFill>
                          <w14:schemeClr w14:val="tx1"/>
                        </w14:solidFill>
                      </w14:textFill>
                    </w:rPr>
                    <w:t>Cr</w:t>
                  </w:r>
                  <w:r>
                    <w:rPr>
                      <w:rFonts w:hint="default"/>
                      <w:color w:val="000000" w:themeColor="text1"/>
                      <w:kern w:val="2"/>
                      <w:sz w:val="21"/>
                      <w:szCs w:val="21"/>
                      <w:highlight w:val="none"/>
                      <w14:textFill>
                        <w14:solidFill>
                          <w14:schemeClr w14:val="tx1"/>
                        </w14:solidFill>
                      </w14:textFill>
                    </w:rPr>
                    <w:t>、SS</w:t>
                  </w:r>
                </w:p>
              </w:tc>
              <w:tc>
                <w:tcPr>
                  <w:tcW w:w="665" w:type="pct"/>
                  <w:noWrap w:val="0"/>
                  <w:vAlign w:val="center"/>
                </w:tcPr>
                <w:p w14:paraId="5738B1EB">
                  <w:pPr>
                    <w:keepNext w:val="0"/>
                    <w:keepLines w:val="0"/>
                    <w:pageBreakBefore w:val="0"/>
                    <w:suppressLineNumbers w:val="0"/>
                    <w:kinsoku/>
                    <w:wordWrap w:val="0"/>
                    <w:overflowPunct/>
                    <w:topLinePunct/>
                    <w:autoSpaceDE/>
                    <w:autoSpaceDN/>
                    <w:bidi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000000" w:themeColor="text1"/>
                      <w:kern w:val="2"/>
                      <w:highlight w:val="none"/>
                      <w14:textFill>
                        <w14:solidFill>
                          <w14:schemeClr w14:val="tx1"/>
                        </w14:solidFill>
                      </w14:textFill>
                    </w:rPr>
                  </w:pPr>
                  <w:r>
                    <w:rPr>
                      <w:rFonts w:hint="default"/>
                      <w:color w:val="000000" w:themeColor="text1"/>
                      <w:kern w:val="2"/>
                      <w:sz w:val="21"/>
                      <w:szCs w:val="21"/>
                      <w:highlight w:val="none"/>
                      <w14:textFill>
                        <w14:solidFill>
                          <w14:schemeClr w14:val="tx1"/>
                        </w14:solidFill>
                      </w14:textFill>
                    </w:rPr>
                    <w:t>1次/月</w:t>
                  </w:r>
                </w:p>
              </w:tc>
              <w:tc>
                <w:tcPr>
                  <w:tcW w:w="2469" w:type="pct"/>
                  <w:noWrap w:val="0"/>
                  <w:vAlign w:val="center"/>
                </w:tcPr>
                <w:p w14:paraId="7F0E962A">
                  <w:pPr>
                    <w:keepNext w:val="0"/>
                    <w:keepLines w:val="0"/>
                    <w:pageBreakBefore w:val="0"/>
                    <w:suppressLineNumbers w:val="0"/>
                    <w:kinsoku/>
                    <w:wordWrap w:val="0"/>
                    <w:overflowPunct/>
                    <w:topLinePunct/>
                    <w:autoSpaceDE/>
                    <w:autoSpaceDN/>
                    <w:bidi w:val="0"/>
                    <w:spacing w:beforeAutospacing="0" w:afterAutospacing="0" w:line="240" w:lineRule="auto"/>
                    <w:ind w:left="0" w:leftChars="0" w:right="0" w:rightChars="0" w:firstLine="0" w:firstLineChars="0"/>
                    <w:jc w:val="center"/>
                    <w:textAlignment w:val="auto"/>
                    <w:rPr>
                      <w:rFonts w:hint="default" w:eastAsia="宋体"/>
                      <w:color w:val="000000" w:themeColor="text1"/>
                      <w:spacing w:val="-2"/>
                      <w:sz w:val="21"/>
                      <w:szCs w:val="21"/>
                      <w:highlight w:val="none"/>
                      <w14:textFill>
                        <w14:solidFill>
                          <w14:schemeClr w14:val="tx1"/>
                        </w14:solidFill>
                      </w14:textFill>
                    </w:rPr>
                  </w:pPr>
                  <w:r>
                    <w:rPr>
                      <w:rFonts w:hint="default"/>
                      <w:color w:val="000000" w:themeColor="text1"/>
                      <w:kern w:val="2"/>
                      <w:sz w:val="21"/>
                      <w:szCs w:val="21"/>
                      <w:highlight w:val="none"/>
                      <w14:textFill>
                        <w14:solidFill>
                          <w14:schemeClr w14:val="tx1"/>
                        </w14:solidFill>
                      </w14:textFill>
                    </w:rPr>
                    <w:t>《排污单位自行监测技术指南 涂装》（HJ1086-2020）表1</w:t>
                  </w:r>
                </w:p>
              </w:tc>
            </w:tr>
            <w:tr w14:paraId="1CE37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000" w:type="pct"/>
                  <w:gridSpan w:val="4"/>
                  <w:noWrap w:val="0"/>
                  <w:vAlign w:val="center"/>
                </w:tcPr>
                <w:p w14:paraId="6EBACC07">
                  <w:pPr>
                    <w:keepNext w:val="0"/>
                    <w:keepLines w:val="0"/>
                    <w:pageBreakBefore w:val="0"/>
                    <w:suppressLineNumbers w:val="0"/>
                    <w:kinsoku/>
                    <w:wordWrap w:val="0"/>
                    <w:overflowPunct/>
                    <w:topLinePunct/>
                    <w:autoSpaceDE/>
                    <w:autoSpaceDN/>
                    <w:bidi w:val="0"/>
                    <w:spacing w:beforeAutospacing="0" w:afterAutospacing="0" w:line="240" w:lineRule="auto"/>
                    <w:ind w:left="0" w:leftChars="0" w:right="0" w:rightChars="0" w:firstLine="0" w:firstLineChars="0"/>
                    <w:jc w:val="center"/>
                    <w:textAlignment w:val="auto"/>
                    <w:rPr>
                      <w:rFonts w:hint="default"/>
                      <w:color w:val="000000" w:themeColor="text1"/>
                      <w:kern w:val="2"/>
                      <w:sz w:val="21"/>
                      <w:szCs w:val="21"/>
                      <w:highlight w:val="none"/>
                      <w14:textFill>
                        <w14:solidFill>
                          <w14:schemeClr w14:val="tx1"/>
                        </w14:solidFill>
                      </w14:textFill>
                    </w:rPr>
                  </w:pPr>
                  <w:r>
                    <w:rPr>
                      <w:rFonts w:hint="default"/>
                      <w:color w:val="000000" w:themeColor="text1"/>
                      <w:kern w:val="2"/>
                      <w:sz w:val="21"/>
                      <w:szCs w:val="21"/>
                      <w:highlight w:val="none"/>
                      <w14:textFill>
                        <w14:solidFill>
                          <w14:schemeClr w14:val="tx1"/>
                        </w14:solidFill>
                      </w14:textFill>
                    </w:rPr>
                    <w:t>注：雨水排放口每月有流动水排放时开展一次监测。如监测一年无异常情况，可放宽至每季度有流动水排放时开展一次监测。</w:t>
                  </w:r>
                </w:p>
              </w:tc>
            </w:tr>
          </w:tbl>
          <w:p w14:paraId="7BB85F93">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Times New Roman" w:hAnsi="Times New Roman" w:cs="Times New Roman"/>
                <w:color w:val="000000" w:themeColor="text1"/>
                <w:highlight w:val="none"/>
                <w14:textFill>
                  <w14:solidFill>
                    <w14:schemeClr w14:val="tx1"/>
                  </w14:solidFill>
                </w14:textFill>
              </w:rPr>
            </w:pPr>
          </w:p>
          <w:p w14:paraId="16176787">
            <w:pPr>
              <w:pStyle w:val="39"/>
              <w:spacing w:after="0" w:line="360" w:lineRule="auto"/>
              <w:ind w:firstLine="480"/>
              <w:rPr>
                <w:rFonts w:hint="default" w:ascii="Times New Roman" w:hAnsi="Times New Roman" w:eastAsia="宋体" w:cs="Times New Roman"/>
                <w:b/>
                <w:color w:val="000000" w:themeColor="text1"/>
                <w:sz w:val="24"/>
                <w:highlight w:val="none"/>
                <w14:textFill>
                  <w14:solidFill>
                    <w14:schemeClr w14:val="tx1"/>
                  </w14:solidFill>
                </w14:textFill>
              </w:rPr>
            </w:pPr>
            <w:r>
              <w:rPr>
                <w:rFonts w:hint="default" w:ascii="Times New Roman" w:hAnsi="Times New Roman" w:eastAsia="宋体" w:cs="Times New Roman"/>
                <w:b/>
                <w:color w:val="000000" w:themeColor="text1"/>
                <w:sz w:val="24"/>
                <w:highlight w:val="none"/>
                <w14:textFill>
                  <w14:solidFill>
                    <w14:schemeClr w14:val="tx1"/>
                  </w14:solidFill>
                </w14:textFill>
              </w:rPr>
              <w:t>3、噪声</w:t>
            </w:r>
          </w:p>
          <w:p w14:paraId="06786C6A">
            <w:pPr>
              <w:widowControl w:val="0"/>
              <w:kinsoku/>
              <w:autoSpaceDE/>
              <w:autoSpaceDN/>
              <w:adjustRightInd/>
              <w:snapToGrid/>
              <w:spacing w:line="360" w:lineRule="auto"/>
              <w:ind w:firstLine="480" w:firstLineChars="200"/>
              <w:jc w:val="both"/>
              <w:textAlignment w:val="auto"/>
              <w:rPr>
                <w:rFonts w:hint="default" w:ascii="Times New Roman" w:hAnsi="Times New Roman" w:eastAsia="宋体" w:cs="Times New Roman"/>
                <w:snapToGrid/>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snapToGrid/>
                <w:color w:val="000000" w:themeColor="text1"/>
                <w:kern w:val="0"/>
                <w:sz w:val="24"/>
                <w:szCs w:val="24"/>
                <w:highlight w:val="none"/>
                <w:lang w:val="en-US" w:eastAsia="zh-CN" w:bidi="ar-SA"/>
                <w14:textFill>
                  <w14:solidFill>
                    <w14:schemeClr w14:val="tx1"/>
                  </w14:solidFill>
                </w14:textFill>
              </w:rPr>
              <w:t>本项目运营期噪声污染主要是生产过程中机械设备运行产生的机械噪声，根据《噪声控制工程》（高红武武汉理工大学出版社2003年），项目设备噪声源强为60~85dB（A）。</w:t>
            </w:r>
          </w:p>
          <w:p w14:paraId="168B303E">
            <w:pPr>
              <w:widowControl w:val="0"/>
              <w:kinsoku/>
              <w:autoSpaceDE/>
              <w:autoSpaceDN/>
              <w:adjustRightInd/>
              <w:snapToGrid/>
              <w:spacing w:line="360" w:lineRule="auto"/>
              <w:ind w:firstLine="480" w:firstLineChars="200"/>
              <w:jc w:val="both"/>
              <w:textAlignment w:val="auto"/>
              <w:rPr>
                <w:rFonts w:hint="default" w:ascii="Times New Roman" w:hAnsi="Times New Roman" w:eastAsia="宋体" w:cs="Times New Roman"/>
                <w:snapToGrid/>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snapToGrid/>
                <w:color w:val="000000" w:themeColor="text1"/>
                <w:kern w:val="0"/>
                <w:sz w:val="24"/>
                <w:szCs w:val="24"/>
                <w:highlight w:val="none"/>
                <w:lang w:val="en-US" w:eastAsia="zh-CN" w:bidi="ar-SA"/>
                <w14:textFill>
                  <w14:solidFill>
                    <w14:schemeClr w14:val="tx1"/>
                  </w14:solidFill>
                </w14:textFill>
              </w:rPr>
              <w:t>根据《环境噪声控制工程》（高等教育出版社，洪宗辉）一书中第151页“表8-1一些常见单层隔声墙的隔声量”中的资料：1砖墙为双面粉刷的车间墙体，实测的隔声量为49dB（A），本项目为砖墙结构，考虑到门窗面积对隔声的负面影响时，项目车间墙体的隔声量取25dB（A）。同时噪声治理效果参考《</w:t>
            </w:r>
            <w:r>
              <w:rPr>
                <w:rFonts w:hint="default" w:ascii="Times New Roman" w:hAnsi="Times New Roman" w:eastAsia="宋体" w:cs="Times New Roman"/>
                <w:snapToGrid/>
                <w:color w:val="000000" w:themeColor="text1"/>
                <w:kern w:val="0"/>
                <w:sz w:val="24"/>
                <w:szCs w:val="24"/>
                <w:highlight w:val="none"/>
                <w:lang w:val="en-US" w:eastAsia="zh-CN" w:bidi="ar-SA"/>
                <w14:textFill>
                  <w14:solidFill>
                    <w14:schemeClr w14:val="tx1"/>
                  </w14:solidFill>
                </w14:textFill>
              </w:rPr>
              <w:fldChar w:fldCharType="begin"/>
            </w:r>
            <w:r>
              <w:rPr>
                <w:rFonts w:hint="default" w:ascii="Times New Roman" w:hAnsi="Times New Roman" w:eastAsia="宋体" w:cs="Times New Roman"/>
                <w:snapToGrid/>
                <w:color w:val="000000" w:themeColor="text1"/>
                <w:kern w:val="0"/>
                <w:sz w:val="24"/>
                <w:szCs w:val="24"/>
                <w:highlight w:val="none"/>
                <w:lang w:val="en-US" w:eastAsia="zh-CN" w:bidi="ar-SA"/>
                <w14:textFill>
                  <w14:solidFill>
                    <w14:schemeClr w14:val="tx1"/>
                  </w14:solidFill>
                </w14:textFill>
              </w:rPr>
              <w:instrText xml:space="preserve"> HYPERLINK "http://www.baidu.com/link?url=lMIZiUSAGUaTWGezb-V5XwUE0Wqiv3Ye0PU_HM_6BvYJ1tQkQoaWY8CL05C5D5SgkLOf9kyEbLBtBnUPDF_o-_" </w:instrText>
            </w:r>
            <w:r>
              <w:rPr>
                <w:rFonts w:hint="default" w:ascii="Times New Roman" w:hAnsi="Times New Roman" w:eastAsia="宋体" w:cs="Times New Roman"/>
                <w:snapToGrid/>
                <w:color w:val="000000" w:themeColor="text1"/>
                <w:kern w:val="0"/>
                <w:sz w:val="24"/>
                <w:szCs w:val="24"/>
                <w:highlight w:val="none"/>
                <w:lang w:val="en-US" w:eastAsia="zh-CN" w:bidi="ar-SA"/>
                <w14:textFill>
                  <w14:solidFill>
                    <w14:schemeClr w14:val="tx1"/>
                  </w14:solidFill>
                </w14:textFill>
              </w:rPr>
              <w:fldChar w:fldCharType="separate"/>
            </w:r>
            <w:r>
              <w:rPr>
                <w:rFonts w:hint="default" w:ascii="Times New Roman" w:hAnsi="Times New Roman" w:eastAsia="宋体" w:cs="Times New Roman"/>
                <w:snapToGrid/>
                <w:color w:val="000000" w:themeColor="text1"/>
                <w:kern w:val="0"/>
                <w:sz w:val="24"/>
                <w:szCs w:val="24"/>
                <w:highlight w:val="none"/>
                <w:lang w:val="en-US" w:eastAsia="zh-CN" w:bidi="ar-SA"/>
                <w14:textFill>
                  <w14:solidFill>
                    <w14:schemeClr w14:val="tx1"/>
                  </w14:solidFill>
                </w14:textFill>
              </w:rPr>
              <w:t>环境噪声与振动控</w:t>
            </w:r>
            <w:r>
              <w:rPr>
                <w:rFonts w:hint="default" w:ascii="Times New Roman" w:hAnsi="Times New Roman" w:eastAsia="宋体" w:cs="Times New Roman"/>
                <w:snapToGrid/>
                <w:color w:val="000000" w:themeColor="text1"/>
                <w:kern w:val="0"/>
                <w:sz w:val="24"/>
                <w:szCs w:val="24"/>
                <w:highlight w:val="none"/>
                <w:lang w:val="en-US" w:eastAsia="zh-CN" w:bidi="ar-SA"/>
                <w14:textFill>
                  <w14:solidFill>
                    <w14:schemeClr w14:val="tx1"/>
                  </w14:solidFill>
                </w14:textFill>
              </w:rPr>
              <w:fldChar w:fldCharType="end"/>
            </w:r>
            <w:r>
              <w:rPr>
                <w:rFonts w:hint="default" w:ascii="Times New Roman" w:hAnsi="Times New Roman" w:eastAsia="宋体" w:cs="Times New Roman"/>
                <w:snapToGrid/>
                <w:color w:val="000000" w:themeColor="text1"/>
                <w:kern w:val="0"/>
                <w:sz w:val="24"/>
                <w:szCs w:val="24"/>
                <w:highlight w:val="none"/>
                <w:lang w:val="en-US" w:eastAsia="zh-CN" w:bidi="ar-SA"/>
                <w14:textFill>
                  <w14:solidFill>
                    <w14:schemeClr w14:val="tx1"/>
                  </w14:solidFill>
                </w14:textFill>
              </w:rPr>
              <w:t>制工程技术导则》（HJ2034-2013），降噪效果如下表所示。</w:t>
            </w:r>
          </w:p>
          <w:p w14:paraId="655F5562">
            <w:pPr>
              <w:keepNext/>
              <w:keepLines/>
              <w:numPr>
                <w:ilvl w:val="0"/>
                <w:numId w:val="0"/>
              </w:numPr>
              <w:suppressLineNumbers w:val="0"/>
              <w:tabs>
                <w:tab w:val="left" w:pos="0"/>
              </w:tabs>
              <w:spacing w:before="0" w:beforeAutospacing="0" w:after="0" w:afterAutospacing="0"/>
              <w:ind w:left="0" w:leftChars="0" w:right="0" w:rightChars="0" w:firstLine="40" w:firstLineChars="0"/>
              <w:jc w:val="center"/>
              <w:outlineLvl w:val="3"/>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表4-3</w:t>
            </w:r>
            <w:r>
              <w:rPr>
                <w:rFonts w:hint="eastAsia" w:cs="Times New Roman"/>
                <w:b/>
                <w:bCs/>
                <w:color w:val="000000" w:themeColor="text1"/>
                <w:kern w:val="2"/>
                <w:sz w:val="21"/>
                <w:szCs w:val="21"/>
                <w:lang w:val="en-US" w:eastAsia="zh-CN" w:bidi="ar-SA"/>
                <w14:textFill>
                  <w14:solidFill>
                    <w14:schemeClr w14:val="tx1"/>
                  </w14:solidFill>
                </w14:textFill>
              </w:rPr>
              <w:t xml:space="preserve">2 </w:t>
            </w: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降噪效果一览表</w:t>
            </w:r>
          </w:p>
          <w:tbl>
            <w:tblPr>
              <w:tblStyle w:val="132"/>
              <w:tblW w:w="4998" w:type="pct"/>
              <w:tblInd w:w="0" w:type="dxa"/>
              <w:tblBorders>
                <w:top w:val="single" w:color="000000" w:sz="2" w:space="0"/>
                <w:left w:val="single" w:color="000000" w:sz="6" w:space="0"/>
                <w:bottom w:val="single" w:color="000000" w:sz="2" w:space="0"/>
                <w:right w:val="single" w:color="000000" w:sz="6" w:space="0"/>
                <w:insideH w:val="single" w:color="000000" w:sz="2" w:space="0"/>
                <w:insideV w:val="single" w:color="000000" w:sz="2" w:space="0"/>
              </w:tblBorders>
              <w:tblLayout w:type="fixed"/>
              <w:tblCellMar>
                <w:top w:w="0" w:type="dxa"/>
                <w:left w:w="0" w:type="dxa"/>
                <w:bottom w:w="0" w:type="dxa"/>
                <w:right w:w="0" w:type="dxa"/>
              </w:tblCellMar>
            </w:tblPr>
            <w:tblGrid>
              <w:gridCol w:w="1012"/>
              <w:gridCol w:w="4532"/>
              <w:gridCol w:w="2841"/>
            </w:tblGrid>
            <w:tr w14:paraId="7532A532">
              <w:tblPrEx>
                <w:tblBorders>
                  <w:top w:val="single" w:color="000000" w:sz="2" w:space="0"/>
                  <w:left w:val="single" w:color="000000" w:sz="6" w:space="0"/>
                  <w:bottom w:val="single" w:color="000000" w:sz="2" w:space="0"/>
                  <w:right w:val="single" w:color="000000" w:sz="6"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603" w:type="pct"/>
                  <w:tcBorders>
                    <w:tl2br w:val="nil"/>
                    <w:tr2bl w:val="nil"/>
                  </w:tcBorders>
                  <w:noWrap w:val="0"/>
                  <w:vAlign w:val="center"/>
                </w:tcPr>
                <w:p w14:paraId="4E864B75">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t>序号</w:t>
                  </w:r>
                </w:p>
              </w:tc>
              <w:tc>
                <w:tcPr>
                  <w:tcW w:w="2702" w:type="pct"/>
                  <w:tcBorders>
                    <w:tl2br w:val="nil"/>
                    <w:tr2bl w:val="nil"/>
                  </w:tcBorders>
                  <w:noWrap w:val="0"/>
                  <w:vAlign w:val="center"/>
                </w:tcPr>
                <w:p w14:paraId="78E5D1AA">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t>降噪方式</w:t>
                  </w:r>
                </w:p>
              </w:tc>
              <w:tc>
                <w:tcPr>
                  <w:tcW w:w="1693" w:type="pct"/>
                  <w:tcBorders>
                    <w:tl2br w:val="nil"/>
                    <w:tr2bl w:val="nil"/>
                  </w:tcBorders>
                  <w:noWrap w:val="0"/>
                  <w:vAlign w:val="center"/>
                </w:tcPr>
                <w:p w14:paraId="2968E4EE">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t>降噪效果dB（A）</w:t>
                  </w:r>
                </w:p>
              </w:tc>
            </w:tr>
            <w:tr w14:paraId="62BAD1E5">
              <w:tblPrEx>
                <w:tblBorders>
                  <w:top w:val="single" w:color="000000" w:sz="2" w:space="0"/>
                  <w:left w:val="single" w:color="000000" w:sz="6" w:space="0"/>
                  <w:bottom w:val="single" w:color="000000" w:sz="2" w:space="0"/>
                  <w:right w:val="single" w:color="000000" w:sz="6"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603" w:type="pct"/>
                  <w:tcBorders>
                    <w:tl2br w:val="nil"/>
                    <w:tr2bl w:val="nil"/>
                  </w:tcBorders>
                  <w:noWrap w:val="0"/>
                  <w:vAlign w:val="center"/>
                </w:tcPr>
                <w:p w14:paraId="7C429C84">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t>1</w:t>
                  </w:r>
                </w:p>
              </w:tc>
              <w:tc>
                <w:tcPr>
                  <w:tcW w:w="2702" w:type="pct"/>
                  <w:tcBorders>
                    <w:tl2br w:val="nil"/>
                    <w:tr2bl w:val="nil"/>
                  </w:tcBorders>
                  <w:noWrap w:val="0"/>
                  <w:vAlign w:val="center"/>
                </w:tcPr>
                <w:p w14:paraId="70DD6E22">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t>采取墙体隔声措施</w:t>
                  </w:r>
                </w:p>
              </w:tc>
              <w:tc>
                <w:tcPr>
                  <w:tcW w:w="1693" w:type="pct"/>
                  <w:tcBorders>
                    <w:tl2br w:val="nil"/>
                    <w:tr2bl w:val="nil"/>
                  </w:tcBorders>
                  <w:noWrap w:val="0"/>
                  <w:vAlign w:val="center"/>
                </w:tcPr>
                <w:p w14:paraId="1BB7998E">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t>25</w:t>
                  </w:r>
                </w:p>
              </w:tc>
            </w:tr>
            <w:tr w14:paraId="222EE00E">
              <w:tblPrEx>
                <w:tblBorders>
                  <w:top w:val="single" w:color="000000" w:sz="2" w:space="0"/>
                  <w:left w:val="single" w:color="000000" w:sz="6" w:space="0"/>
                  <w:bottom w:val="single" w:color="000000" w:sz="2" w:space="0"/>
                  <w:right w:val="single" w:color="000000" w:sz="6"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603" w:type="pct"/>
                  <w:tcBorders>
                    <w:tl2br w:val="nil"/>
                    <w:tr2bl w:val="nil"/>
                  </w:tcBorders>
                  <w:noWrap w:val="0"/>
                  <w:vAlign w:val="center"/>
                </w:tcPr>
                <w:p w14:paraId="4A56BA81">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t>2</w:t>
                  </w:r>
                </w:p>
              </w:tc>
              <w:tc>
                <w:tcPr>
                  <w:tcW w:w="2702" w:type="pct"/>
                  <w:tcBorders>
                    <w:tl2br w:val="nil"/>
                    <w:tr2bl w:val="nil"/>
                  </w:tcBorders>
                  <w:noWrap w:val="0"/>
                  <w:vAlign w:val="center"/>
                </w:tcPr>
                <w:p w14:paraId="33F190B3">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t>采取基础减振措施</w:t>
                  </w:r>
                </w:p>
              </w:tc>
              <w:tc>
                <w:tcPr>
                  <w:tcW w:w="1693" w:type="pct"/>
                  <w:tcBorders>
                    <w:tl2br w:val="nil"/>
                    <w:tr2bl w:val="nil"/>
                  </w:tcBorders>
                  <w:noWrap w:val="0"/>
                  <w:vAlign w:val="center"/>
                </w:tcPr>
                <w:p w14:paraId="2C70CE90">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t>5</w:t>
                  </w:r>
                </w:p>
              </w:tc>
            </w:tr>
            <w:tr w14:paraId="4C7B1028">
              <w:tblPrEx>
                <w:tblBorders>
                  <w:top w:val="single" w:color="000000" w:sz="2" w:space="0"/>
                  <w:left w:val="single" w:color="000000" w:sz="6" w:space="0"/>
                  <w:bottom w:val="single" w:color="000000" w:sz="2" w:space="0"/>
                  <w:right w:val="single" w:color="000000" w:sz="6"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603" w:type="pct"/>
                  <w:tcBorders>
                    <w:tl2br w:val="nil"/>
                    <w:tr2bl w:val="nil"/>
                  </w:tcBorders>
                  <w:noWrap w:val="0"/>
                  <w:vAlign w:val="center"/>
                </w:tcPr>
                <w:p w14:paraId="5DDA29D8">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t>3</w:t>
                  </w:r>
                </w:p>
              </w:tc>
              <w:tc>
                <w:tcPr>
                  <w:tcW w:w="2702" w:type="pct"/>
                  <w:tcBorders>
                    <w:tl2br w:val="nil"/>
                    <w:tr2bl w:val="nil"/>
                  </w:tcBorders>
                  <w:noWrap w:val="0"/>
                  <w:vAlign w:val="center"/>
                </w:tcPr>
                <w:p w14:paraId="36B8452F">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t>隔声罩</w:t>
                  </w:r>
                </w:p>
              </w:tc>
              <w:tc>
                <w:tcPr>
                  <w:tcW w:w="1693" w:type="pct"/>
                  <w:tcBorders>
                    <w:tl2br w:val="nil"/>
                    <w:tr2bl w:val="nil"/>
                  </w:tcBorders>
                  <w:noWrap w:val="0"/>
                  <w:vAlign w:val="center"/>
                </w:tcPr>
                <w:p w14:paraId="2BF2860F">
                  <w:pPr>
                    <w:widowControl w:val="0"/>
                    <w:kinsoku/>
                    <w:autoSpaceDE/>
                    <w:autoSpaceDN/>
                    <w:adjustRightInd w:val="0"/>
                    <w:snapToGrid w:val="0"/>
                    <w:spacing w:line="240" w:lineRule="auto"/>
                    <w:jc w:val="center"/>
                    <w:textAlignment w:val="auto"/>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eastAsia="zh-CN"/>
                      <w14:textFill>
                        <w14:solidFill>
                          <w14:schemeClr w14:val="tx1"/>
                        </w14:solidFill>
                      </w14:textFill>
                    </w:rPr>
                    <w:t>10</w:t>
                  </w:r>
                </w:p>
              </w:tc>
            </w:tr>
          </w:tbl>
          <w:p w14:paraId="2D998EEE">
            <w:pPr>
              <w:keepNext w:val="0"/>
              <w:keepLines w:val="0"/>
              <w:pageBreakBefore w:val="0"/>
              <w:widowControl w:val="0"/>
              <w:kinsoku/>
              <w:wordWrap/>
              <w:overflowPunct/>
              <w:topLinePunct w:val="0"/>
              <w:autoSpaceDE/>
              <w:autoSpaceDN/>
              <w:bidi w:val="0"/>
              <w:adjustRightInd/>
              <w:snapToGrid/>
              <w:spacing w:line="100" w:lineRule="exact"/>
              <w:ind w:firstLine="480" w:firstLineChars="200"/>
              <w:jc w:val="both"/>
              <w:textAlignment w:val="auto"/>
              <w:rPr>
                <w:rFonts w:hint="default" w:ascii="Times New Roman" w:hAnsi="Times New Roman" w:eastAsia="宋体" w:cs="Times New Roman"/>
                <w:snapToGrid/>
                <w:color w:val="000000" w:themeColor="text1"/>
                <w:kern w:val="0"/>
                <w:sz w:val="24"/>
                <w:szCs w:val="24"/>
                <w:highlight w:val="none"/>
                <w:lang w:val="en-US" w:eastAsia="zh-CN" w:bidi="ar-SA"/>
                <w14:textFill>
                  <w14:solidFill>
                    <w14:schemeClr w14:val="tx1"/>
                  </w14:solidFill>
                </w14:textFill>
              </w:rPr>
            </w:pPr>
          </w:p>
          <w:p w14:paraId="79A40CF8">
            <w:pPr>
              <w:widowControl w:val="0"/>
              <w:kinsoku/>
              <w:autoSpaceDE/>
              <w:autoSpaceDN/>
              <w:adjustRightInd/>
              <w:snapToGrid/>
              <w:spacing w:line="360" w:lineRule="auto"/>
              <w:ind w:firstLine="480" w:firstLineChars="200"/>
              <w:jc w:val="both"/>
              <w:textAlignment w:val="auto"/>
              <w:rPr>
                <w:rFonts w:hint="default" w:ascii="Times New Roman" w:hAnsi="Times New Roman" w:eastAsia="宋体" w:cs="Times New Roman"/>
                <w:snapToGrid/>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snapToGrid/>
                <w:color w:val="000000" w:themeColor="text1"/>
                <w:kern w:val="0"/>
                <w:sz w:val="24"/>
                <w:szCs w:val="24"/>
                <w:highlight w:val="none"/>
                <w:lang w:val="en-US" w:eastAsia="zh-CN" w:bidi="ar-SA"/>
                <w14:textFill>
                  <w14:solidFill>
                    <w14:schemeClr w14:val="tx1"/>
                  </w14:solidFill>
                </w14:textFill>
              </w:rPr>
              <w:t>综上，本项目噪声污染源源强核算结果见下表：</w:t>
            </w:r>
          </w:p>
          <w:p w14:paraId="529A0A66">
            <w:pPr>
              <w:keepNext/>
              <w:keepLines/>
              <w:numPr>
                <w:ilvl w:val="0"/>
                <w:numId w:val="0"/>
              </w:numPr>
              <w:suppressLineNumbers w:val="0"/>
              <w:tabs>
                <w:tab w:val="left" w:pos="0"/>
              </w:tabs>
              <w:spacing w:before="0" w:beforeAutospacing="0" w:after="0" w:afterAutospacing="0"/>
              <w:ind w:left="0" w:leftChars="0" w:right="0" w:rightChars="0" w:firstLine="40" w:firstLineChars="0"/>
              <w:jc w:val="center"/>
              <w:outlineLvl w:val="3"/>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lang w:val="en-US" w:eastAsia="zh-CN" w:bidi="ar-SA"/>
                <w14:textFill>
                  <w14:solidFill>
                    <w14:schemeClr w14:val="tx1"/>
                  </w14:solidFill>
                </w14:textFill>
              </w:rPr>
              <w:t>表4-3</w:t>
            </w:r>
            <w:r>
              <w:rPr>
                <w:rFonts w:hint="eastAsia" w:cs="Times New Roman"/>
                <w:b/>
                <w:bCs/>
                <w:snapToGrid/>
                <w:color w:val="000000" w:themeColor="text1"/>
                <w:kern w:val="2"/>
                <w:sz w:val="21"/>
                <w:szCs w:val="21"/>
                <w:lang w:val="en-US" w:eastAsia="zh-CN" w:bidi="ar-SA"/>
                <w14:textFill>
                  <w14:solidFill>
                    <w14:schemeClr w14:val="tx1"/>
                  </w14:solidFill>
                </w14:textFill>
              </w:rPr>
              <w:t>3</w:t>
            </w:r>
            <w:r>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t>工业企业噪声源强调查清单（室外声源）</w:t>
            </w:r>
          </w:p>
          <w:tbl>
            <w:tblPr>
              <w:tblStyle w:val="44"/>
              <w:tblW w:w="0" w:type="auto"/>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2"/>
              <w:gridCol w:w="874"/>
              <w:gridCol w:w="845"/>
              <w:gridCol w:w="570"/>
              <w:gridCol w:w="570"/>
              <w:gridCol w:w="410"/>
              <w:gridCol w:w="1277"/>
              <w:gridCol w:w="1066"/>
              <w:gridCol w:w="1574"/>
              <w:gridCol w:w="845"/>
            </w:tblGrid>
            <w:tr w14:paraId="72AB3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BD0310">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序号</w:t>
                  </w:r>
                </w:p>
              </w:tc>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A5ECFD">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声源名称</w:t>
                  </w:r>
                </w:p>
              </w:tc>
              <w:tc>
                <w:tcPr>
                  <w:tcW w:w="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0654CF">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设备数量</w:t>
                  </w:r>
                </w:p>
              </w:tc>
              <w:tc>
                <w:tcPr>
                  <w:tcW w:w="1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9B98B3">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空间相对位置</w:t>
                  </w:r>
                </w:p>
              </w:tc>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9CB092">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声源源强</w:t>
                  </w:r>
                </w:p>
              </w:tc>
              <w:tc>
                <w:tcPr>
                  <w:tcW w:w="15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AB73C7">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声源控制措施</w:t>
                  </w:r>
                </w:p>
              </w:tc>
              <w:tc>
                <w:tcPr>
                  <w:tcW w:w="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7036D8">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运行时段</w:t>
                  </w:r>
                </w:p>
              </w:tc>
            </w:tr>
            <w:tr w14:paraId="65598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21CCB">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5758B">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12D59">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6F028">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X</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6D65E">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Y</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4D166">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Z</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BBDA2">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声压级</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/dB(A)</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1019B">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lang w:val="en-US"/>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距声源距离m</w:t>
                  </w: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0537C">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F8DC7">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r>
            <w:tr w14:paraId="533E8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6289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095C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空压机</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621A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DD0B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975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13DC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BA3B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85</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92B5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B5CE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9B6A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r>
            <w:tr w14:paraId="5E9E0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841D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DF3F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空压机</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0E74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B188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207A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9E43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333C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85</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D3EC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2775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8BC6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r>
            <w:tr w14:paraId="1C72B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EB86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07E2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空压机</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D3A9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6774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92</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AD08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A4D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FA9C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85</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3597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71F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93D7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r>
            <w:tr w14:paraId="596AE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862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47540B">
                  <w:pPr>
                    <w:keepNext w:val="0"/>
                    <w:keepLines w:val="0"/>
                    <w:widowControl/>
                    <w:suppressLineNumbers w:val="0"/>
                    <w:jc w:val="both"/>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注：以</w:t>
                  </w:r>
                  <w:r>
                    <w:rPr>
                      <w:rFonts w:hint="eastAsia" w:cs="Times New Roman"/>
                      <w:color w:val="000000" w:themeColor="text1"/>
                      <w:spacing w:val="-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东经113°24'30.099"，北纬25°9'23.358"</w:t>
                  </w:r>
                  <w:r>
                    <w:rPr>
                      <w:rFonts w:hint="eastAsia" w:cs="Times New Roman"/>
                      <w:color w:val="000000" w:themeColor="text1"/>
                      <w:spacing w:val="-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为原点（0，0），正东向为X轴正方向、正北向为Y轴正方向建立直角坐标系。</w:t>
                  </w:r>
                </w:p>
              </w:tc>
            </w:tr>
          </w:tbl>
          <w:p w14:paraId="714AFF1B">
            <w:pPr>
              <w:pStyle w:val="2"/>
              <w:rPr>
                <w:rFonts w:hint="default" w:ascii="Times New Roman" w:hAnsi="Times New Roman" w:eastAsia="宋体" w:cs="Times New Roman"/>
                <w:b/>
                <w:bCs/>
                <w:snapToGrid/>
                <w:color w:val="000000" w:themeColor="text1"/>
                <w:kern w:val="2"/>
                <w:sz w:val="21"/>
                <w:szCs w:val="21"/>
                <w:highlight w:val="none"/>
                <w:lang w:eastAsia="zh-CN"/>
                <w14:textFill>
                  <w14:solidFill>
                    <w14:schemeClr w14:val="tx1"/>
                  </w14:solidFill>
                </w14:textFill>
              </w:rPr>
            </w:pPr>
          </w:p>
          <w:p w14:paraId="34C2F750">
            <w:pPr>
              <w:widowControl w:val="0"/>
              <w:kinsoku/>
              <w:autoSpaceDE/>
              <w:autoSpaceDN/>
              <w:adjustRightInd/>
              <w:snapToGrid/>
              <w:spacing w:line="360" w:lineRule="auto"/>
              <w:ind w:firstLine="480" w:firstLineChars="200"/>
              <w:jc w:val="both"/>
              <w:textAlignment w:val="auto"/>
              <w:rPr>
                <w:rFonts w:hint="default" w:ascii="Times New Roman" w:hAnsi="Times New Roman" w:eastAsia="宋体" w:cs="Times New Roman"/>
                <w:snapToGrid/>
                <w:color w:val="000000" w:themeColor="text1"/>
                <w:kern w:val="0"/>
                <w:sz w:val="24"/>
                <w:szCs w:val="24"/>
                <w:highlight w:val="none"/>
                <w:lang w:val="en-US" w:eastAsia="zh-CN" w:bidi="ar-SA"/>
                <w14:textFill>
                  <w14:solidFill>
                    <w14:schemeClr w14:val="tx1"/>
                  </w14:solidFill>
                </w14:textFill>
              </w:rPr>
            </w:pPr>
          </w:p>
        </w:tc>
      </w:tr>
    </w:tbl>
    <w:p w14:paraId="570C5510">
      <w:pPr>
        <w:pStyle w:val="76"/>
        <w:rPr>
          <w:rFonts w:hint="eastAsia"/>
          <w:color w:val="000000" w:themeColor="text1"/>
          <w:highlight w:val="none"/>
          <w14:textFill>
            <w14:solidFill>
              <w14:schemeClr w14:val="tx1"/>
            </w14:solidFill>
          </w14:textFill>
        </w:rPr>
        <w:sectPr>
          <w:pgSz w:w="11907" w:h="16840"/>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13204"/>
      </w:tblGrid>
      <w:tr w14:paraId="343EF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5" w:hRule="atLeast"/>
        </w:trPr>
        <w:tc>
          <w:tcPr>
            <w:tcW w:w="448" w:type="dxa"/>
            <w:noWrap w:val="0"/>
            <w:vAlign w:val="top"/>
          </w:tcPr>
          <w:p w14:paraId="5D115C26">
            <w:pPr>
              <w:pStyle w:val="41"/>
              <w:jc w:val="center"/>
              <w:outlineLvl w:val="0"/>
              <w:rPr>
                <w:rFonts w:hint="default" w:ascii="Times New Roman" w:hAnsi="Times New Roman" w:eastAsia="宋体" w:cs="Times New Roman"/>
                <w:snapToGrid w:val="0"/>
                <w:color w:val="000000" w:themeColor="text1"/>
                <w:sz w:val="30"/>
                <w:szCs w:val="30"/>
                <w:highlight w:val="none"/>
                <w:vertAlign w:val="baseline"/>
                <w14:textFill>
                  <w14:solidFill>
                    <w14:schemeClr w14:val="tx1"/>
                  </w14:solidFill>
                </w14:textFill>
              </w:rPr>
            </w:pPr>
          </w:p>
        </w:tc>
        <w:tc>
          <w:tcPr>
            <w:tcW w:w="13204" w:type="dxa"/>
            <w:noWrap w:val="0"/>
            <w:vAlign w:val="top"/>
          </w:tcPr>
          <w:p w14:paraId="7F25E2DD">
            <w:pPr>
              <w:keepNext/>
              <w:keepLines/>
              <w:numPr>
                <w:ilvl w:val="0"/>
                <w:numId w:val="0"/>
              </w:numPr>
              <w:suppressLineNumbers w:val="0"/>
              <w:tabs>
                <w:tab w:val="left" w:pos="0"/>
              </w:tabs>
              <w:spacing w:before="0" w:beforeAutospacing="0" w:after="0" w:afterAutospacing="0"/>
              <w:ind w:left="0" w:leftChars="0" w:right="0" w:rightChars="0" w:firstLine="40" w:firstLineChars="0"/>
              <w:jc w:val="center"/>
              <w:outlineLvl w:val="3"/>
              <w:rPr>
                <w:rFonts w:hint="default" w:ascii="Times New Roman" w:hAnsi="Times New Roman" w:eastAsia="宋体" w:cs="Times New Roman"/>
                <w:b/>
                <w:bCs/>
                <w:color w:val="000000" w:themeColor="text1"/>
                <w:spacing w:val="-4"/>
                <w:sz w:val="21"/>
                <w:szCs w:val="21"/>
                <w:highlight w:val="none"/>
                <w:lang w:eastAsia="zh-CN"/>
                <w14:textFill>
                  <w14:solidFill>
                    <w14:schemeClr w14:val="tx1"/>
                  </w14:solidFill>
                </w14:textFill>
              </w:rPr>
            </w:pPr>
            <w:r>
              <w:rPr>
                <w:rFonts w:hint="default" w:ascii="Times New Roman" w:hAnsi="Times New Roman" w:eastAsia="宋体" w:cs="Times New Roman"/>
                <w:b/>
                <w:bCs/>
                <w:color w:val="000000" w:themeColor="text1"/>
                <w:spacing w:val="-4"/>
                <w:kern w:val="2"/>
                <w:sz w:val="21"/>
                <w:szCs w:val="21"/>
                <w:lang w:val="en-US" w:eastAsia="zh-CN" w:bidi="ar-SA"/>
                <w14:textFill>
                  <w14:solidFill>
                    <w14:schemeClr w14:val="tx1"/>
                  </w14:solidFill>
                </w14:textFill>
              </w:rPr>
              <w:t>表4-3</w:t>
            </w:r>
            <w:r>
              <w:rPr>
                <w:rFonts w:hint="eastAsia" w:cs="Times New Roman"/>
                <w:b/>
                <w:bCs/>
                <w:color w:val="000000" w:themeColor="text1"/>
                <w:spacing w:val="-4"/>
                <w:kern w:val="2"/>
                <w:sz w:val="21"/>
                <w:szCs w:val="21"/>
                <w:lang w:val="en-US" w:eastAsia="zh-CN" w:bidi="ar-SA"/>
                <w14:textFill>
                  <w14:solidFill>
                    <w14:schemeClr w14:val="tx1"/>
                  </w14:solidFill>
                </w14:textFill>
              </w:rPr>
              <w:t>4</w:t>
            </w: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工业</w:t>
            </w:r>
            <w:r>
              <w:rPr>
                <w:rFonts w:hint="default" w:ascii="Times New Roman" w:hAnsi="Times New Roman" w:eastAsia="宋体" w:cs="Times New Roman"/>
                <w:b/>
                <w:bCs/>
                <w:color w:val="000000" w:themeColor="text1"/>
                <w:spacing w:val="-4"/>
                <w:sz w:val="21"/>
                <w:szCs w:val="21"/>
                <w:highlight w:val="none"/>
                <w14:textFill>
                  <w14:solidFill>
                    <w14:schemeClr w14:val="tx1"/>
                  </w14:solidFill>
                </w14:textFill>
              </w:rPr>
              <w:t>企业噪声源强调查清单</w:t>
            </w:r>
            <w:r>
              <w:rPr>
                <w:rFonts w:hint="default" w:ascii="Times New Roman" w:hAnsi="Times New Roman" w:eastAsia="宋体" w:cs="Times New Roman"/>
                <w:b/>
                <w:bCs/>
                <w:color w:val="000000" w:themeColor="text1"/>
                <w:spacing w:val="-4"/>
                <w:sz w:val="21"/>
                <w:szCs w:val="21"/>
                <w:highlight w:val="none"/>
                <w:lang w:eastAsia="zh-CN"/>
                <w14:textFill>
                  <w14:solidFill>
                    <w14:schemeClr w14:val="tx1"/>
                  </w14:solidFill>
                </w14:textFill>
              </w:rPr>
              <w:t>（</w:t>
            </w:r>
            <w:r>
              <w:rPr>
                <w:rFonts w:hint="default" w:ascii="Times New Roman" w:hAnsi="Times New Roman" w:eastAsia="宋体" w:cs="Times New Roman"/>
                <w:b/>
                <w:bCs/>
                <w:color w:val="000000" w:themeColor="text1"/>
                <w:spacing w:val="-4"/>
                <w:sz w:val="21"/>
                <w:szCs w:val="21"/>
                <w:highlight w:val="none"/>
                <w14:textFill>
                  <w14:solidFill>
                    <w14:schemeClr w14:val="tx1"/>
                  </w14:solidFill>
                </w14:textFill>
              </w:rPr>
              <w:t>室内声源</w:t>
            </w:r>
            <w:r>
              <w:rPr>
                <w:rFonts w:hint="default" w:ascii="Times New Roman" w:hAnsi="Times New Roman" w:eastAsia="宋体" w:cs="Times New Roman"/>
                <w:b/>
                <w:bCs/>
                <w:color w:val="000000" w:themeColor="text1"/>
                <w:spacing w:val="-4"/>
                <w:sz w:val="21"/>
                <w:szCs w:val="21"/>
                <w:highlight w:val="none"/>
                <w:lang w:eastAsia="zh-CN"/>
                <w14:textFill>
                  <w14:solidFill>
                    <w14:schemeClr w14:val="tx1"/>
                  </w14:solidFill>
                </w14:textFill>
              </w:rPr>
              <w:t>）</w:t>
            </w:r>
          </w:p>
          <w:tbl>
            <w:tblPr>
              <w:tblStyle w:val="44"/>
              <w:tblW w:w="129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47"/>
              <w:gridCol w:w="975"/>
              <w:gridCol w:w="599"/>
              <w:gridCol w:w="994"/>
              <w:gridCol w:w="874"/>
              <w:gridCol w:w="1308"/>
              <w:gridCol w:w="379"/>
              <w:gridCol w:w="338"/>
              <w:gridCol w:w="377"/>
              <w:gridCol w:w="294"/>
              <w:gridCol w:w="220"/>
              <w:gridCol w:w="324"/>
              <w:gridCol w:w="220"/>
              <w:gridCol w:w="481"/>
              <w:gridCol w:w="481"/>
              <w:gridCol w:w="481"/>
              <w:gridCol w:w="481"/>
              <w:gridCol w:w="459"/>
              <w:gridCol w:w="617"/>
              <w:gridCol w:w="482"/>
              <w:gridCol w:w="482"/>
              <w:gridCol w:w="483"/>
              <w:gridCol w:w="487"/>
              <w:gridCol w:w="805"/>
            </w:tblGrid>
            <w:tr w14:paraId="5D74E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47"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5051DF0">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序号</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4726153">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声源名称</w:t>
                  </w:r>
                </w:p>
              </w:tc>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BC7E531">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设备数量</w:t>
                  </w:r>
                </w:p>
              </w:tc>
              <w:tc>
                <w:tcPr>
                  <w:tcW w:w="1868"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DFA5478">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声源源强</w:t>
                  </w:r>
                </w:p>
              </w:tc>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E56ED6B">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声源控制措施</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2F1596C">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空间相对位置</w:t>
                  </w:r>
                </w:p>
              </w:tc>
              <w:tc>
                <w:tcPr>
                  <w:tcW w:w="1058" w:type="dxa"/>
                  <w:gridSpan w:val="4"/>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C219571">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距室内边界距离</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/m</w:t>
                  </w:r>
                </w:p>
              </w:tc>
              <w:tc>
                <w:tcPr>
                  <w:tcW w:w="1924" w:type="dxa"/>
                  <w:gridSpan w:val="4"/>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C49BDF3">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室内边界声级</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/dB(A)</w:t>
                  </w:r>
                </w:p>
              </w:tc>
              <w:tc>
                <w:tcPr>
                  <w:tcW w:w="459" w:type="dxa"/>
                  <w:vMerge w:val="restart"/>
                  <w:tcBorders>
                    <w:top w:val="single" w:color="000000" w:sz="4" w:space="0"/>
                    <w:left w:val="single" w:color="000000" w:sz="4" w:space="0"/>
                    <w:right w:val="single" w:color="000000" w:sz="4" w:space="0"/>
                  </w:tcBorders>
                  <w:shd w:val="clear" w:color="auto" w:fill="auto"/>
                  <w:tcMar>
                    <w:top w:w="0" w:type="dxa"/>
                    <w:left w:w="0" w:type="dxa"/>
                    <w:bottom w:w="0" w:type="dxa"/>
                    <w:right w:w="0" w:type="dxa"/>
                  </w:tcMar>
                  <w:vAlign w:val="center"/>
                </w:tcPr>
                <w:p w14:paraId="1981A8E9">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运行时段</w:t>
                  </w:r>
                </w:p>
              </w:tc>
              <w:tc>
                <w:tcPr>
                  <w:tcW w:w="617" w:type="dxa"/>
                  <w:vMerge w:val="restart"/>
                  <w:tcBorders>
                    <w:top w:val="single" w:color="000000" w:sz="4" w:space="0"/>
                    <w:left w:val="single" w:color="000000" w:sz="4" w:space="0"/>
                    <w:right w:val="single" w:color="000000" w:sz="4" w:space="0"/>
                  </w:tcBorders>
                  <w:shd w:val="clear" w:color="auto" w:fill="auto"/>
                  <w:tcMar>
                    <w:top w:w="0" w:type="dxa"/>
                    <w:left w:w="0" w:type="dxa"/>
                    <w:bottom w:w="0" w:type="dxa"/>
                    <w:right w:w="0" w:type="dxa"/>
                  </w:tcMar>
                  <w:vAlign w:val="center"/>
                </w:tcPr>
                <w:p w14:paraId="45A18190">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建筑物插入损失</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/dB(A)</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0C2F5CE">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建筑物外声级</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/dB(A)</w:t>
                  </w:r>
                </w:p>
              </w:tc>
              <w:tc>
                <w:tcPr>
                  <w:tcW w:w="805" w:type="dxa"/>
                  <w:vMerge w:val="restart"/>
                  <w:tcBorders>
                    <w:top w:val="single" w:color="000000" w:sz="4" w:space="0"/>
                    <w:left w:val="single" w:color="000000" w:sz="4" w:space="0"/>
                    <w:right w:val="single" w:color="000000" w:sz="4" w:space="0"/>
                  </w:tcBorders>
                  <w:shd w:val="clear" w:color="auto" w:fill="auto"/>
                  <w:tcMar>
                    <w:top w:w="0" w:type="dxa"/>
                    <w:left w:w="0" w:type="dxa"/>
                    <w:bottom w:w="0" w:type="dxa"/>
                    <w:right w:w="0" w:type="dxa"/>
                  </w:tcMar>
                  <w:vAlign w:val="center"/>
                </w:tcPr>
                <w:p w14:paraId="70A52BA6">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建筑物外距离</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/m</w:t>
                  </w:r>
                </w:p>
              </w:tc>
            </w:tr>
            <w:tr w14:paraId="541F4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9E50F35">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AD74243">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7C8CE84">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E81369B">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声压级</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/dB(A)</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00CCA9F">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距声源距离</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/m</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DD2BBC3">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EB2CAB5">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X</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A3768B4">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Y</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97B0DF8">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Z</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D80A5A0">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东</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15F2CB8">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南</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F1C3487">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西</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7E700B5">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北</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2F1F2AB">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东</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5031C87">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南</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0650262">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西</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58CE9FD">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北</w:t>
                  </w:r>
                </w:p>
              </w:tc>
              <w:tc>
                <w:tcPr>
                  <w:tcW w:w="459" w:type="dxa"/>
                  <w:vMerge w:val="continue"/>
                  <w:tcBorders>
                    <w:left w:val="single" w:color="000000" w:sz="4" w:space="0"/>
                    <w:right w:val="single" w:color="000000" w:sz="4" w:space="0"/>
                  </w:tcBorders>
                  <w:shd w:val="clear" w:color="auto" w:fill="auto"/>
                  <w:tcMar>
                    <w:top w:w="0" w:type="dxa"/>
                    <w:left w:w="0" w:type="dxa"/>
                    <w:bottom w:w="0" w:type="dxa"/>
                    <w:right w:w="0" w:type="dxa"/>
                  </w:tcMar>
                  <w:vAlign w:val="center"/>
                </w:tcPr>
                <w:p w14:paraId="33458BD3">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617" w:type="dxa"/>
                  <w:vMerge w:val="continue"/>
                  <w:tcBorders>
                    <w:left w:val="single" w:color="000000" w:sz="4" w:space="0"/>
                    <w:right w:val="single" w:color="000000" w:sz="4" w:space="0"/>
                  </w:tcBorders>
                  <w:shd w:val="clear" w:color="auto" w:fill="auto"/>
                  <w:tcMar>
                    <w:top w:w="0" w:type="dxa"/>
                    <w:left w:w="0" w:type="dxa"/>
                    <w:bottom w:w="0" w:type="dxa"/>
                    <w:right w:w="0" w:type="dxa"/>
                  </w:tcMar>
                  <w:vAlign w:val="center"/>
                </w:tcPr>
                <w:p w14:paraId="0DA9E64F">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F5C8FD8">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东</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7237A74">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南</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2EEE51E">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西</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02DAC5D">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北</w:t>
                  </w:r>
                </w:p>
              </w:tc>
              <w:tc>
                <w:tcPr>
                  <w:tcW w:w="805" w:type="dxa"/>
                  <w:vMerge w:val="continue"/>
                  <w:tcBorders>
                    <w:left w:val="single" w:color="000000" w:sz="4" w:space="0"/>
                    <w:right w:val="single" w:color="000000" w:sz="4" w:space="0"/>
                  </w:tcBorders>
                  <w:shd w:val="clear" w:color="auto" w:fill="auto"/>
                  <w:tcMar>
                    <w:top w:w="0" w:type="dxa"/>
                    <w:left w:w="0" w:type="dxa"/>
                    <w:bottom w:w="0" w:type="dxa"/>
                    <w:right w:w="0" w:type="dxa"/>
                  </w:tcMar>
                  <w:vAlign w:val="center"/>
                </w:tcPr>
                <w:p w14:paraId="5A6B6E04">
                  <w:pPr>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r>
            <w:tr w14:paraId="5C48C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232042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B6BAA0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张力机</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5A675C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416BEB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65</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6A261E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7552C5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3E208A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-88</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AF780D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66</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330B06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ADA602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205</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E3FCB0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2149F2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BD9F1E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47</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76F62A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21.78</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5E282E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42.01</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68E899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40.48</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9DF09E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47.22</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1BA76D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8574F5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CF5097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457B13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15.59</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F97507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14.12</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7FF824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20.46</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CABB45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6F81F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913336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CDC12C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烘水炉</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加热</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机</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DA26AE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26BEDE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65A1E6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79E134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E34393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554B2F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900AD3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C20B9A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77</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0F7E07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604800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152</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315626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58</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19CBE3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45.32</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0FD3DF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60.26</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07EE64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39.38</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1FE70E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58.39</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987482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B195B9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BABC50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19.21</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BAE1CF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33.65</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120B63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13.32</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DB60FD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31.89</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F07E89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39225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D775E5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16F780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牵引机</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E09E6E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BEDB39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DC2ACD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E3D8BC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93A5E5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A86B2E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64</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166D81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67E730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147</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A68DFE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33B663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82</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4E5C26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51</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A3103F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29.68</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70790A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47.94</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D91DCF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34.74</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EF7B6A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50.8</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E0B2F3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587663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5C46D7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3.62</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A930C5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21.47</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7B8C78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8.64</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B67A60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24.15</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C82FE2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4E658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67530A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816AE9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数控折弯机</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1C8022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45533E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75</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84EE4A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BAEED9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F7FA9D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-89</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8D5CE9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303969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E6A166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83</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EA0C71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EED032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0AE162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64</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B7021E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54.41</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E26540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63.52</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345281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65.98</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2B9505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63.76</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F2B196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519466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07F824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28.3</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A0727F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37.23</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8F7F99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39.6</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7A503C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37.46</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A41D33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7BFC0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3399E4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923F9A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滚压成型设备</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22948C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F9F355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75</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FBFB20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F9B4FF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BE4422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-58</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91D929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3E4712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B11FBE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52</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02265C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46CBF8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53</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D6230C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62</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B1EB17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58.54</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7AF5BD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65.31</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CC87E2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58.26</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034E40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62.35</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329346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877658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495C4E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32.37</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734059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38.95</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460B12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32.1</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07BF8B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36.09</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12473A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2FEF0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0ECF4C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3AF4AD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全自动冲孔设备</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EACF64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E15362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75</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CCCBE5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3D6CF8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D54D1D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DB6D7E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69ADA5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DB3472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C9EF44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83BD77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77</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02A43B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3E1C4E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60.78</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934AAE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61.63</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E619F0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52.08</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5216C3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59.93</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78A02D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7AE7BB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510713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34.48</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18A73D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35.3</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E6A374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25.97</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4B1C4E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33.66</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6142FE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00A66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9E1542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BB5026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数控切割机</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4DE5CF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F7FA9A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75</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DECB23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2FBB1F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468B4D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-93</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25F8F6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-57</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E1B752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B78930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87</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BE5711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655C31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EEEA82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57</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D73D53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46.23</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DE3C63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58.76</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159280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59.61</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5E7EF3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56.8</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02CFE2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53B638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638303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20.13</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C7E723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32.35</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016239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33.16</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A31657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30.47</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88B951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3DF04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A60091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6A99E8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激光切割生产线</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CC0CA7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DEE1F6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75</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6F64EB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F4E380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A5B410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-76</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3AC20B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-59</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05DD7D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73EFF7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68EEB7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1414D5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107607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56</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DD1B2F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48.12</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E674CC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58.27</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AB37A1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53.96</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BBE264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56.19</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7B1D7D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27A6E6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1F0F37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0B7EAB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31.88</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BECB9E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27.72</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C7CE81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29.88</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ED7DE8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52007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AD2DD7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6EB60F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卧式数控刨槽机</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E4D975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0F29E9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75</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22D370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4D240B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3FDFD9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4F1911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-61</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A45A3F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605DBF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115D7F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AA8127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65</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4F4F41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9C3725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47.7</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29E9A6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51.83</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7C2891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43.47</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9B67A3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50.32</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19E932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F55A32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11457E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21.48</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4ACB50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25.49</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97F059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17.34</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70937F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24.03</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8D2D52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0B9B3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CF746E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D6AED2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数控转塔冲床</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C8F960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100F7C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6E227C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CA21EE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CAD2EF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1219B2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-63</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2B331A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FC3F26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083F54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FA3C52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76</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EF64AB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66</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E29BDD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66.7</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E4CFF5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68.23</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63F787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58.38</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A4810E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66.03</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4D5CBF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4F66EA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E23725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40.41</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3F77F2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41.89</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90DD9B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32.26</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0514DE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39.76</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E7C388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24A09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B91BB7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2532B3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精密剪板机</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2D94F3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492F60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75</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90B204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9E483B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61A5BF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626FC9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-64</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65CD97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2A3DB6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0B9E5A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553218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89</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F9ACA6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E2853F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55.62</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EBC11A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52.23</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B7CE7A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40.75</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CDEFFF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49.6</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5D7FAB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6D880A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FAA3FC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29.1</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33DE48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25.87</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E300AD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14.65</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0B6681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23.34</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DA89B8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59FD7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2ED8EA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3FEC35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高速激光焊机</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0BCDA2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D8A4D9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FCC242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85DC8A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89F756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7594D8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-57</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AF1312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5D7675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99</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A69AAF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BF041B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F77B68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3C1C59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34.83</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DD9542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45.18</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A9C7AC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52.11</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A79A71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46.46</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AE0F2B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AE9912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9798BE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8.74</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BD140D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18.9</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BE6D1B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25.49</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BBE3F6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20.14</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8AB5C5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60B03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97EFD3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814880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进口氩弧焊机</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9C0F59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23015C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B3EAA6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E15707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356E1F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035F23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-58</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A2A346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1BB1DD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91</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9CE15A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704DEA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745920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DBD40E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33.84</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C4DA0A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43.69</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E2934B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46.11</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1CCBA0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44.41</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7C2D7A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A8EFCF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209BC7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7.75</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1B9FCE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17.39</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BA311A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19.73</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9E3577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18.1</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3723DD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04518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3D69ED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D05809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多功能焊机</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29DA9D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166700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409500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C89D74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6FAC8C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38</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34B6D6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-58</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2472C7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DA6C40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79</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569CB8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F42A04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CB9EAC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A0D819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35.09</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A1FA8A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43.63</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E46BC3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42.31</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DCF37B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44.48</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45F97F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7E7012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096666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8.98</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2B6509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17.34</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624C88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16.06</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427430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18.17</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BB7B9C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143FC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6B6108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A9F142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喷粉房</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5B3222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C31A91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1CFFEB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766EAB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3CDF70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51</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2D0044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6D9866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BCADE6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66</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DC7EF6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E9CEE1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47</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5237A0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1693FB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23.64</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8A9E59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36.42</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ED247E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26.58</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B9D307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27.68</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37E499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96A308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5A2309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446D5A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9.87</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900A5C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0.39</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7A4D5B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1.47</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7C4C83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0C422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E0C8CC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C7615C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lang w:val="en-US"/>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手磨机</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31860C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3</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4FD736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82D287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4B19BA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12C5F0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76</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A692A0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-61</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D9C067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B524B3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B9F044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CAAF10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72</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8173D2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E205F9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32.6</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11EE8C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36.25</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1A6BC9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27.57</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FAFA6C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35.41</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AB638D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9AD3DF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36CFC9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6.39</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4BCD83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9.93</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6988DD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1.45</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DB57E3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9.12</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88CC40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21DD4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A5D0FA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40D76E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喷粉房</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494CB4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C52C18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65</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278828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3A94AA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3F2554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91F17C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81E4C8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86414E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97</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A172FC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FA8FCF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179D3E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646277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25.27</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C43793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32.28</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F9C279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41.1</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8ACFA6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42.82</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7BE330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06AEEB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EF0F1C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E55FD3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6.08</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164D67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14.57</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808040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16.17</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C7DF99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793C8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C8530C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329048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底漆喷房</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B06311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575AFF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CE8D3B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30E1A3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DAE059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D7F20C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276269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930ED1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84</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9A2F36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42</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F41B5E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12F2E6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8A2F61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24.48</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20888B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30.55</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AD9A1B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34.04</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2394E7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39.95</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EB685C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13E565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4B4BD5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5C5B69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4.34</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4D202E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7.74</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D2F4F4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13.36</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F21C37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0F314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A6695F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DC3A27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手持喷枪</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ED901A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D004FB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9FA881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404FB8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094442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53D2A5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4B7DDA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19B1E6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75</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F0E4C5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42</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390162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22BA15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24D77C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35.48</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03D76F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40.53</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633A5C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41.58</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129707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49.94</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F7A0AB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BE6646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A2D44B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9.36</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B162FF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14.33</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51B148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15.35</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30DF43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23.35</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9D48F2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0D7A2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8410B1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20B54E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面漆喷房</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CB9E3F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A21A36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DB77A0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19A7B0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45722B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CE2CAB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8E5F50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E04386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66</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3840E7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42</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6722BB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47</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DF545C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6103C9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26.62</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24B1AA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30.63</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8A1B3E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29.64</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C25223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39.6</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09121F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8E3C52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E7F215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0.49</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F1C481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4.43</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7732F9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3.46</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946739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13.04</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8F5345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6E27D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3E704D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5266CB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清漆喷房</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EEA7F6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822756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497247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E44613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306B9A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62</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2C9153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6C05E6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34B3FB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54</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438FE4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40E12F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59</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AC7476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586F08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28.37</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0D7B59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30.87</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FC1C60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27.65</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F8C8DE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38.9</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4A64CF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B71BF2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BEE38F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2.21</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8C12FF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4.66</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558947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06C6E2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12.38</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066896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58F23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E6CAF1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756D0F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烤炉</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7A61FD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C038ED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75</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CE0B1E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015FD6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0AA1DB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82</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389BA9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12CD3F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A5D862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B2DCCF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AD7901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78</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80A8A0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53</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CAE33F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50.24</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0D5522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51.22</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B8E5E6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43.18</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626353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52.8</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C1CBE3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B73AC0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0C46FF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23.99</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9C6E45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24.94</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E5FA2A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17.07</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9B04CE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26.47</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2E4F4E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0B33D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5771AA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A4C45C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牵引机</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7403F7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F1D8D8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59A2A9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77EF94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07FB2C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73</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405E94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61</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AEBF7F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51050D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82AE51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41E7B9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185</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2BAA38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6CC703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37.16</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F566C4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46.4</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9C858E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24.67</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890CE7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46.15</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5CFD10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DD595F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BFE142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10.97</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E26CC0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19.85</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FFC01B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00310A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19.61</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9844D1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45DBA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3448AE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B88CA7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精涂机</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764357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CD9524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DC4665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660925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106443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81606F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2589AF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F9B998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77</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40A47B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F4BEB9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6626E5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88E18D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35.33</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C70E4E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48.88</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C26234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41.86</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9C193D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40.93</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F307ED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1E95B4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8A3377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9.21</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9C113C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22.35</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A1C452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15.63</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E86355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14.71</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12834D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69E19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8CD20F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E4790D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精涂机</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B442DA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13160B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AC6B3A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EEA354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637B54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73</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F0238A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1B02AD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8AF28B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BF65F4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A96A41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69</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3951C9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53</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24A40E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7EB27C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45.77</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5A7083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3F2490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53.31</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EB3F17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BE4862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303A63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18.81</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971B3F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19.56</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CFD019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14.88</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5C5148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26.8</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F02C25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r w14:paraId="4BCF6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321BC8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6304EB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各类组装设备</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1CF33F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w:t>
                  </w:r>
                </w:p>
              </w:tc>
              <w:tc>
                <w:tcPr>
                  <w:tcW w:w="9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4BF848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33A6AB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B340BC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距离衰减、减震措施</w:t>
                  </w:r>
                </w:p>
              </w:tc>
              <w:tc>
                <w:tcPr>
                  <w:tcW w:w="37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DED55D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214</w:t>
                  </w:r>
                </w:p>
              </w:tc>
              <w:tc>
                <w:tcPr>
                  <w:tcW w:w="33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754099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83</w:t>
                  </w:r>
                </w:p>
              </w:tc>
              <w:tc>
                <w:tcPr>
                  <w:tcW w:w="3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E92D78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9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628278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977C92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w:t>
                  </w:r>
                </w:p>
              </w:tc>
              <w:tc>
                <w:tcPr>
                  <w:tcW w:w="32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1598F3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92</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6A190E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05230F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48.38</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344DFC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46.11</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2E2F7F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35.52</w:t>
                  </w:r>
                </w:p>
              </w:tc>
              <w:tc>
                <w:tcPr>
                  <w:tcW w:w="48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B05F2A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45.32</w:t>
                  </w:r>
                </w:p>
              </w:tc>
              <w:tc>
                <w:tcPr>
                  <w:tcW w:w="45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8022E6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1EA562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8505A1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21.97</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84A4A1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19.79</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11348A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9.42</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415DD9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19.03</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349844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r>
          </w:tbl>
          <w:p w14:paraId="7F464690">
            <w:pPr>
              <w:rPr>
                <w:rFonts w:hint="default"/>
                <w:color w:val="000000" w:themeColor="text1"/>
                <w14:textFill>
                  <w14:solidFill>
                    <w14:schemeClr w14:val="tx1"/>
                  </w14:solidFill>
                </w14:textFill>
              </w:rPr>
            </w:pPr>
            <w:r>
              <w:rPr>
                <w:rFonts w:hint="default" w:ascii="Times New Roman" w:hAnsi="Times New Roman" w:eastAsia="宋体" w:cs="Times New Roman"/>
                <w:color w:val="000000" w:themeColor="text1"/>
                <w:spacing w:val="-1"/>
                <w:sz w:val="17"/>
                <w:szCs w:val="17"/>
                <w:highlight w:val="none"/>
                <w14:textFill>
                  <w14:solidFill>
                    <w14:schemeClr w14:val="tx1"/>
                  </w14:solidFill>
                </w14:textFill>
              </w:rPr>
              <w:t>注：以（东经113°24'30.099"，北纬25°9'23.358"）为原点（0，0），正东向为X轴正方向、正北向为Y轴正方向建立直角坐标系。</w:t>
            </w:r>
          </w:p>
        </w:tc>
      </w:tr>
    </w:tbl>
    <w:p w14:paraId="4AFA7B19">
      <w:pPr>
        <w:pStyle w:val="76"/>
        <w:rPr>
          <w:rFonts w:hint="eastAsia"/>
          <w:color w:val="000000" w:themeColor="text1"/>
          <w:highlight w:val="none"/>
          <w14:textFill>
            <w14:solidFill>
              <w14:schemeClr w14:val="tx1"/>
            </w14:solidFill>
          </w14:textFill>
        </w:rPr>
        <w:sectPr>
          <w:pgSz w:w="16840" w:h="11907"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8543"/>
      </w:tblGrid>
      <w:tr w14:paraId="7132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9" w:hRule="atLeast"/>
        </w:trPr>
        <w:tc>
          <w:tcPr>
            <w:tcW w:w="518" w:type="dxa"/>
            <w:noWrap w:val="0"/>
            <w:vAlign w:val="top"/>
          </w:tcPr>
          <w:p w14:paraId="2C258D5B">
            <w:pPr>
              <w:pStyle w:val="76"/>
              <w:rPr>
                <w:rFonts w:hint="default" w:ascii="Times New Roman" w:hAnsi="Times New Roman" w:eastAsia="宋体" w:cs="Times New Roman"/>
                <w:color w:val="000000" w:themeColor="text1"/>
                <w:highlight w:val="none"/>
                <w:vertAlign w:val="baseline"/>
                <w14:textFill>
                  <w14:solidFill>
                    <w14:schemeClr w14:val="tx1"/>
                  </w14:solidFill>
                </w14:textFill>
              </w:rPr>
            </w:pPr>
          </w:p>
        </w:tc>
        <w:tc>
          <w:tcPr>
            <w:tcW w:w="8543" w:type="dxa"/>
            <w:noWrap w:val="0"/>
            <w:vAlign w:val="top"/>
          </w:tcPr>
          <w:p w14:paraId="5D50B863">
            <w:pPr>
              <w:spacing w:line="360" w:lineRule="auto"/>
              <w:ind w:firstLine="482"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3.2</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噪声污染防治措施</w:t>
            </w:r>
          </w:p>
          <w:p w14:paraId="29190533">
            <w:pPr>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为确保厂界噪声满足《工业企业厂界环境噪声排放标准》（GB12348-2008）中的相应标准，项目拟采取以下噪声与振动治理措施：</w:t>
            </w:r>
          </w:p>
          <w:p w14:paraId="33B5E21D">
            <w:pPr>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①合理布局：尽量将高噪声设备布置在厂房中间，尽可能地选择远离厂界的位置。</w:t>
            </w:r>
          </w:p>
          <w:p w14:paraId="68F8CDC6">
            <w:pPr>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②落实设备基础减振以及厂房隔声：</w:t>
            </w:r>
          </w:p>
          <w:p w14:paraId="6F29C00C">
            <w:pPr>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A、在设备选型方面，在满足工艺生产的前提下，选用精度高、装配质量好、噪声低的设备；对设备基础进行减振；</w:t>
            </w:r>
          </w:p>
          <w:p w14:paraId="2F1571FA">
            <w:pPr>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B、重视厂房的使用状况，不设门窗或设隔声玻璃门窗。</w:t>
            </w:r>
          </w:p>
          <w:p w14:paraId="3020797E">
            <w:pPr>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③加强内部管理：建立设备定期维护、保养的管理制度，以防止设备故障形成的非生产噪声，同时确保环保措施发挥最有效的功能；加强职工环保意识教育，提倡文明生产，防止人为噪声。</w:t>
            </w:r>
          </w:p>
          <w:p w14:paraId="42D3EA80">
            <w:pPr>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④合理安排生产时间：尽可能地安排在昼间进行生产，若夜间必须生产应控制夜间生产时间，特别夜间应停止高噪声设备，减少机械的噪声影响。</w:t>
            </w:r>
          </w:p>
          <w:p w14:paraId="3BE87A79">
            <w:pPr>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⑤针对冲床、折弯机，安装减振垫（橡胶/NBR材质）或弹簧减振器，橡胶减振垫能有效吸收高频振动，</w:t>
            </w:r>
            <w:r>
              <w:rPr>
                <w:rFonts w:hint="eastAsia" w:ascii="Times New Roman" w:hAnsi="Times New Roman" w:eastAsia="宋体" w:cs="Times New Roman"/>
                <w:color w:val="000000" w:themeColor="text1"/>
                <w:kern w:val="0"/>
                <w:sz w:val="24"/>
                <w:highlight w:val="none"/>
                <w:lang w:eastAsia="zh-CN"/>
                <w14:textFill>
                  <w14:solidFill>
                    <w14:schemeClr w14:val="tx1"/>
                  </w14:solidFill>
                </w14:textFill>
              </w:rPr>
              <w:t>降低噪声</w:t>
            </w:r>
            <w:r>
              <w:rPr>
                <w:rFonts w:hint="default" w:ascii="Times New Roman" w:hAnsi="Times New Roman" w:eastAsia="宋体" w:cs="Times New Roman"/>
                <w:color w:val="000000" w:themeColor="text1"/>
                <w:kern w:val="0"/>
                <w:sz w:val="24"/>
                <w:highlight w:val="none"/>
                <w14:textFill>
                  <w14:solidFill>
                    <w14:schemeClr w14:val="tx1"/>
                  </w14:solidFill>
                </w14:textFill>
              </w:rPr>
              <w:t>15~25dB，且安装简便，无需地脚螺栓固定；弹簧减振器则适用于低频振动隔离，通过调整预紧力可适配不同吨位设备，安装时需确保减振器与设备底座紧密连接，并定期检查螺栓紧固状态。</w:t>
            </w:r>
          </w:p>
          <w:p w14:paraId="77C262B7">
            <w:pPr>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⑥通风管道采用橡胶软管或金属波纹管。橡胶软管适用于常温常压环境，但耐高温高压性较差</w:t>
            </w:r>
            <w:r>
              <w:rPr>
                <w:rFonts w:hint="eastAsia" w:ascii="Times New Roman" w:hAnsi="Times New Roman" w:eastAsia="宋体" w:cs="Times New Roman"/>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highlight w:val="none"/>
                <w14:textFill>
                  <w14:solidFill>
                    <w14:schemeClr w14:val="tx1"/>
                  </w14:solidFill>
                </w14:textFill>
              </w:rPr>
              <w:t>金属波纹管则能耐高温、高压和腐蚀，适合制冷剂管路等苛刻工况。</w:t>
            </w:r>
          </w:p>
          <w:p w14:paraId="6F37288F">
            <w:pPr>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⑦生产设备定期进行润滑处理，定期维护轴承、齿轮，使用高粘度润滑油减少轴承、齿轮摩擦噪声，并优化轴承预紧力以减少振动源。</w:t>
            </w:r>
          </w:p>
          <w:p w14:paraId="5CAB03B8">
            <w:pPr>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⑧对旋转部件（如砂轮、转子）定期进行校验，减少不平衡质量引发的振动。定期使用专业平衡机（如银箭数控设备）进行动/静平衡检测，通过添加配重块或去重调整质量分布，确保残余不平衡量符合标准。</w:t>
            </w:r>
          </w:p>
          <w:p w14:paraId="4599AE59">
            <w:pPr>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⑨针对设备外壳振动明显的设备，可在设备外壳粘贴丁基橡胶阻尼片，抑制薄板振动。</w:t>
            </w:r>
          </w:p>
          <w:p w14:paraId="6283B010">
            <w:pPr>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本项目周边50米范围内不存在声环境保护目标，经采取上述的降噪措施后，预计项目</w:t>
            </w:r>
            <w:r>
              <w:rPr>
                <w:rFonts w:hint="eastAsia" w:cs="Times New Roman"/>
                <w:color w:val="000000" w:themeColor="text1"/>
                <w:kern w:val="0"/>
                <w:sz w:val="24"/>
                <w:highlight w:val="none"/>
                <w:lang w:val="en-US" w:eastAsia="zh-CN"/>
                <w14:textFill>
                  <w14:solidFill>
                    <w14:schemeClr w14:val="tx1"/>
                  </w14:solidFill>
                </w14:textFill>
              </w:rPr>
              <w:t>西、北</w:t>
            </w:r>
            <w:r>
              <w:rPr>
                <w:rFonts w:hint="default" w:ascii="Times New Roman" w:hAnsi="Times New Roman" w:eastAsia="宋体" w:cs="Times New Roman"/>
                <w:color w:val="000000" w:themeColor="text1"/>
                <w:kern w:val="0"/>
                <w:sz w:val="24"/>
                <w:highlight w:val="none"/>
                <w14:textFill>
                  <w14:solidFill>
                    <w14:schemeClr w14:val="tx1"/>
                  </w14:solidFill>
                </w14:textFill>
              </w:rPr>
              <w:t>厂界噪声排放可达到《工业企业厂界环境噪声排放标准》（GB12348-2008）3类标准</w:t>
            </w:r>
            <w:r>
              <w:rPr>
                <w:rFonts w:hint="eastAsia" w:cs="Times New Roman"/>
                <w:color w:val="000000" w:themeColor="text1"/>
                <w:kern w:val="0"/>
                <w:sz w:val="24"/>
                <w:highlight w:val="none"/>
                <w:lang w:eastAsia="zh-CN"/>
                <w14:textFill>
                  <w14:solidFill>
                    <w14:schemeClr w14:val="tx1"/>
                  </w14:solidFill>
                </w14:textFill>
              </w:rPr>
              <w:t>，</w:t>
            </w:r>
            <w:r>
              <w:rPr>
                <w:rFonts w:hint="eastAsia" w:cs="Times New Roman"/>
                <w:color w:val="000000" w:themeColor="text1"/>
                <w:kern w:val="0"/>
                <w:sz w:val="24"/>
                <w:highlight w:val="none"/>
                <w:lang w:val="en-US" w:eastAsia="zh-CN"/>
                <w14:textFill>
                  <w14:solidFill>
                    <w14:schemeClr w14:val="tx1"/>
                  </w14:solidFill>
                </w14:textFill>
              </w:rPr>
              <w:t>东、南厂界可满足4a类标准</w:t>
            </w:r>
            <w:r>
              <w:rPr>
                <w:rFonts w:hint="default" w:ascii="Times New Roman" w:hAnsi="Times New Roman" w:eastAsia="宋体" w:cs="Times New Roman"/>
                <w:color w:val="000000" w:themeColor="text1"/>
                <w:kern w:val="0"/>
                <w:sz w:val="24"/>
                <w:highlight w:val="none"/>
                <w14:textFill>
                  <w14:solidFill>
                    <w14:schemeClr w14:val="tx1"/>
                  </w14:solidFill>
                </w14:textFill>
              </w:rPr>
              <w:t>，噪声对声环境影响不大。</w:t>
            </w:r>
          </w:p>
          <w:p w14:paraId="453B18D3">
            <w:pPr>
              <w:spacing w:line="360" w:lineRule="auto"/>
              <w:ind w:firstLine="482"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3.3厂界达标情况分析</w:t>
            </w:r>
          </w:p>
          <w:p w14:paraId="360E4684">
            <w:pPr>
              <w:pStyle w:val="139"/>
              <w:keepLines w:val="0"/>
              <w:pageBreakBefore w:val="0"/>
              <w:kinsoku/>
              <w:wordWrap/>
              <w:overflowPunct/>
              <w:topLinePunct w:val="0"/>
              <w:bidi w:val="0"/>
              <w:spacing w:line="360" w:lineRule="auto"/>
              <w:ind w:firstLine="48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根据《环境影响评价技术导则 声环境》（HJ2.4-2021）的要求，预测和评价建设项目在运营期厂界噪声贡献值，评价其超标和达标情况。随距离的衰减变化规律。预测模式采用“附录B.1 工业噪声预测计算模型”，来模拟预测项目主要声源排放噪声</w:t>
            </w:r>
          </w:p>
          <w:p w14:paraId="07B2619E">
            <w:pPr>
              <w:pStyle w:val="139"/>
              <w:keepLines w:val="0"/>
              <w:pageBreakBefore w:val="0"/>
              <w:kinsoku/>
              <w:wordWrap/>
              <w:overflowPunct/>
              <w:topLinePunct w:val="0"/>
              <w:bidi w:val="0"/>
              <w:spacing w:line="360" w:lineRule="auto"/>
              <w:ind w:firstLine="480"/>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14:textFill>
                  <w14:solidFill>
                    <w14:schemeClr w14:val="tx1"/>
                  </w14:solidFill>
                </w14:textFill>
              </w:rPr>
              <w:t>（</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）预测模式</w:t>
            </w:r>
          </w:p>
          <w:p w14:paraId="0AB385AB">
            <w:pPr>
              <w:pStyle w:val="139"/>
              <w:keepLines w:val="0"/>
              <w:pageBreakBefore w:val="0"/>
              <w:kinsoku/>
              <w:wordWrap/>
              <w:overflowPunct/>
              <w:topLinePunct w:val="0"/>
              <w:bidi w:val="0"/>
              <w:spacing w:line="360" w:lineRule="auto"/>
              <w:ind w:firstLine="480"/>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根据《环境影响评价技术导则-声环境》（HJ2.4-2021）要求，本评价选择点声源预测模式，模拟声源排放噪声随距离的衰减变化规律。噪声的衰减主要与声传播距离、空气吸收、阻挡物的反射与屏障等因素有关。从安全角度出发，本预测从各点源包络线开始，只考虑声传播距离这一主要因素，各噪声源可近似作为点声源处理</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p>
          <w:p w14:paraId="5305326A">
            <w:pPr>
              <w:pStyle w:val="139"/>
              <w:keepLines w:val="0"/>
              <w:pageBreakBefore w:val="0"/>
              <w:kinsoku/>
              <w:wordWrap/>
              <w:overflowPunct/>
              <w:topLinePunct w:val="0"/>
              <w:bidi w:val="0"/>
              <w:spacing w:line="360" w:lineRule="auto"/>
              <w:ind w:firstLine="48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①室内声源等效室外声源声功率级计算</w:t>
            </w:r>
          </w:p>
          <w:p w14:paraId="6D6DE20B">
            <w:pPr>
              <w:spacing w:line="360" w:lineRule="auto"/>
              <w:ind w:firstLine="480" w:firstLineChars="200"/>
              <w:rPr>
                <w:rFonts w:hint="default" w:ascii="Times New Roman" w:hAnsi="Times New Roman" w:eastAsia="宋体" w:cs="Times New Roman"/>
                <w:b w:val="0"/>
                <w:bCs/>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如图4-</w:t>
            </w:r>
            <w:r>
              <w:rPr>
                <w:rFonts w:hint="eastAsia"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所示，声源位于室内，</w:t>
            </w:r>
            <w:r>
              <w:rPr>
                <w:rFonts w:hint="default" w:ascii="Times New Roman" w:hAnsi="Times New Roman" w:eastAsia="宋体" w:cs="Times New Roman"/>
                <w:color w:val="000000" w:themeColor="text1"/>
                <w:sz w:val="24"/>
                <w:szCs w:val="24"/>
                <w:highlight w:val="none"/>
                <w14:textFill>
                  <w14:solidFill>
                    <w14:schemeClr w14:val="tx1"/>
                  </w14:solidFill>
                </w14:textFill>
              </w:rPr>
              <w:t>室内声源可采用等效室外声源声功率级法进行计算。设靠近开口处（或窗户）室内、室外某倍频带的</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声</w:t>
            </w:r>
            <w:r>
              <w:rPr>
                <w:rFonts w:hint="default" w:ascii="Times New Roman" w:hAnsi="Times New Roman" w:eastAsia="宋体" w:cs="Times New Roman"/>
                <w:color w:val="000000" w:themeColor="text1"/>
                <w:sz w:val="24"/>
                <w:szCs w:val="24"/>
                <w:highlight w:val="none"/>
                <w14:textFill>
                  <w14:solidFill>
                    <w14:schemeClr w14:val="tx1"/>
                  </w14:solidFill>
                </w14:textFill>
              </w:rPr>
              <w:t>压级分为L</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p</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1</w:t>
            </w:r>
            <w:r>
              <w:rPr>
                <w:rFonts w:hint="default" w:ascii="Times New Roman" w:hAnsi="Times New Roman" w:eastAsia="宋体" w:cs="Times New Roman"/>
                <w:color w:val="000000" w:themeColor="text1"/>
                <w:sz w:val="24"/>
                <w:szCs w:val="24"/>
                <w:highlight w:val="none"/>
                <w14:textFill>
                  <w14:solidFill>
                    <w14:schemeClr w14:val="tx1"/>
                  </w14:solidFill>
                </w14:textFill>
              </w:rPr>
              <w:t>和L</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p</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。若声源所在室内声场为近似扩散声场，则室外的倍频带声压级可按（公式1）近似求出：</w:t>
            </w:r>
          </w:p>
          <w:p w14:paraId="37BBA7EF">
            <w:pPr>
              <w:spacing w:line="360" w:lineRule="auto"/>
              <w:jc w:val="cente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position w:val="-14"/>
                <w:sz w:val="24"/>
                <w:szCs w:val="24"/>
                <w:highlight w:val="none"/>
                <w:lang w:val="en-GB" w:eastAsia="zh-CN"/>
                <w14:textFill>
                  <w14:solidFill>
                    <w14:schemeClr w14:val="tx1"/>
                  </w14:solidFill>
                </w14:textFill>
              </w:rPr>
              <w:object>
                <v:shape id="_x0000_i1030" o:spt="75" type="#_x0000_t75" style="height:19pt;width:96pt;" o:ole="t" filled="f" o:preferrelative="t" stroked="f" coordsize="21600,21600">
                  <v:path/>
                  <v:fill on="f" focussize="0,0"/>
                  <v:stroke on="f"/>
                  <v:imagedata r:id="rId34" o:title=""/>
                  <o:lock v:ext="edit" aspectratio="t"/>
                  <w10:wrap type="none"/>
                  <w10:anchorlock/>
                </v:shape>
                <o:OLEObject Type="Embed" ProgID="Equation.KSEE3" ShapeID="_x0000_i1030" DrawAspect="Content" ObjectID="_1468075730" r:id="rId33">
                  <o:LockedField>false</o:LockedField>
                </o:OLEObject>
              </w:objec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（公式1）</w:t>
            </w:r>
          </w:p>
          <w:p w14:paraId="5E1E9259">
            <w:pPr>
              <w:spacing w:line="360" w:lineRule="auto"/>
              <w:ind w:firstLine="480" w:firstLineChars="200"/>
              <w:rPr>
                <w:rFonts w:hint="default" w:ascii="Times New Roman" w:hAnsi="Times New Roman" w:eastAsia="宋体" w:cs="Times New Roman"/>
                <w:color w:val="000000" w:themeColor="text1"/>
                <w:highlight w:val="none"/>
                <w:lang w:val="en-GB"/>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式中：TL—隔墙（或窗户）倍频带的隔声量，dB(A)，</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本评价</w:t>
            </w:r>
            <w:r>
              <w:rPr>
                <w:rFonts w:hint="eastAsia" w:cs="Times New Roman"/>
                <w:color w:val="000000" w:themeColor="text1"/>
                <w:sz w:val="24"/>
                <w:szCs w:val="24"/>
                <w:highlight w:val="none"/>
                <w:lang w:val="en-US" w:eastAsia="zh-CN"/>
                <w14:textFill>
                  <w14:solidFill>
                    <w14:schemeClr w14:val="tx1"/>
                  </w14:solidFill>
                </w14:textFill>
              </w:rPr>
              <w:t>保守</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取值20</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dB(A)</w:t>
            </w:r>
            <w:r>
              <w:rPr>
                <w:rFonts w:hint="default" w:ascii="Times New Roman" w:hAnsi="Times New Roman" w:eastAsia="宋体" w:cs="Times New Roman"/>
                <w:color w:val="000000" w:themeColor="text1"/>
                <w:highlight w:val="none"/>
                <w:lang w:val="en-GB"/>
                <w14:textFill>
                  <w14:solidFill>
                    <w14:schemeClr w14:val="tx1"/>
                  </w14:solidFill>
                </w14:textFill>
              </w:rPr>
              <w:t>；</w:t>
            </w:r>
          </w:p>
          <w:p w14:paraId="0C8B49F1">
            <w:pPr>
              <w:autoSpaceDE/>
              <w:autoSpaceDN/>
              <w:spacing w:before="0" w:after="0" w:line="360" w:lineRule="auto"/>
              <w:ind w:right="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drawing>
                <wp:inline distT="0" distB="0" distL="114300" distR="114300">
                  <wp:extent cx="3429000" cy="1461135"/>
                  <wp:effectExtent l="0" t="0" r="0" b="5715"/>
                  <wp:docPr id="103" name="图片 506" descr="2da37041a5be59b1e262ed0737642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506" descr="2da37041a5be59b1e262ed0737642a9"/>
                          <pic:cNvPicPr>
                            <a:picLocks noChangeAspect="1"/>
                          </pic:cNvPicPr>
                        </pic:nvPicPr>
                        <pic:blipFill>
                          <a:blip r:embed="rId35"/>
                          <a:stretch>
                            <a:fillRect/>
                          </a:stretch>
                        </pic:blipFill>
                        <pic:spPr>
                          <a:xfrm>
                            <a:off x="0" y="0"/>
                            <a:ext cx="3429000" cy="1461135"/>
                          </a:xfrm>
                          <a:prstGeom prst="rect">
                            <a:avLst/>
                          </a:prstGeom>
                          <a:noFill/>
                          <a:ln>
                            <a:noFill/>
                          </a:ln>
                        </pic:spPr>
                      </pic:pic>
                    </a:graphicData>
                  </a:graphic>
                </wp:inline>
              </w:drawing>
            </w:r>
          </w:p>
          <w:p w14:paraId="4D7E2945">
            <w:pPr>
              <w:autoSpaceDE/>
              <w:autoSpaceDN/>
              <w:spacing w:before="0" w:after="0" w:line="360" w:lineRule="auto"/>
              <w:ind w:right="0"/>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图4-</w:t>
            </w:r>
            <w:r>
              <w:rPr>
                <w:rFonts w:hint="eastAsia" w:cs="Times New Roman"/>
                <w:b/>
                <w:bCs/>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 xml:space="preserve">  室内声源等效为室外声源图例</w:t>
            </w:r>
          </w:p>
          <w:p w14:paraId="33EC0011">
            <w:pPr>
              <w:autoSpaceDE/>
              <w:autoSpaceDN/>
              <w:spacing w:before="0" w:after="0" w:line="360" w:lineRule="auto"/>
              <w:ind w:left="0" w:right="0" w:firstLine="480" w:firstLineChars="200"/>
              <w:jc w:val="both"/>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也可按（公式2）计算某一室内声源靠近转护结构处产生的倍频带声压级：</w:t>
            </w:r>
          </w:p>
          <w:p w14:paraId="7FCD8AA6">
            <w:pPr>
              <w:pStyle w:val="2"/>
              <w:numPr>
                <w:ilvl w:val="0"/>
                <w:numId w:val="0"/>
              </w:numPr>
              <w:spacing w:line="360" w:lineRule="auto"/>
              <w:ind w:left="1560" w:leftChars="0" w:firstLine="0" w:firstLineChars="0"/>
              <w:jc w:val="center"/>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eastAsia="宋体" w:cs="Times New Roman"/>
                <w:color w:val="000000" w:themeColor="text1"/>
                <w:highlight w:val="none"/>
                <w:lang w:eastAsia="zh-CN"/>
                <w14:textFill>
                  <w14:solidFill>
                    <w14:schemeClr w14:val="tx1"/>
                  </w14:solidFill>
                </w14:textFill>
              </w:rPr>
              <w:drawing>
                <wp:inline distT="0" distB="0" distL="114300" distR="114300">
                  <wp:extent cx="2867025" cy="542925"/>
                  <wp:effectExtent l="0" t="0" r="9525" b="9525"/>
                  <wp:docPr id="104" name="图片 507" descr="a283611caf2b045e9ca721db4b85a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507" descr="a283611caf2b045e9ca721db4b85abe"/>
                          <pic:cNvPicPr>
                            <a:picLocks noChangeAspect="1"/>
                          </pic:cNvPicPr>
                        </pic:nvPicPr>
                        <pic:blipFill>
                          <a:blip r:embed="rId36"/>
                          <a:stretch>
                            <a:fillRect/>
                          </a:stretch>
                        </pic:blipFill>
                        <pic:spPr>
                          <a:xfrm>
                            <a:off x="0" y="0"/>
                            <a:ext cx="2867025" cy="542925"/>
                          </a:xfrm>
                          <a:prstGeom prst="rect">
                            <a:avLst/>
                          </a:prstGeom>
                          <a:noFill/>
                          <a:ln>
                            <a:noFill/>
                          </a:ln>
                        </pic:spPr>
                      </pic:pic>
                    </a:graphicData>
                  </a:graphic>
                </wp:inline>
              </w:drawing>
            </w:r>
          </w:p>
          <w:p w14:paraId="29DE648B">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式中：Q—指向性因数；通常对无指向性声源，当声源放在房间中心时，Q=1；当入在一面墙的中心时，Q=2；当放在两面墙夹角处时，Q=4；当放在三面墙夹角处时，Q=8；R—房间常数；R=Sα/(1-α)，S为房间内表面面积，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，取生产厂房</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内表面面积</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；α为平均吸声系数；r—声源到靠近围护结构某点处的距离，m。</w:t>
            </w:r>
          </w:p>
          <w:p w14:paraId="3DA13CC7">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然后按（公式3）计算出所有室内声源在围护结构处产生的i倍频带叠加声压级：</w:t>
            </w:r>
          </w:p>
          <w:p w14:paraId="10F539E2">
            <w:pPr>
              <w:spacing w:line="360" w:lineRule="auto"/>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drawing>
                <wp:inline distT="0" distB="0" distL="114300" distR="114300">
                  <wp:extent cx="2907665" cy="539750"/>
                  <wp:effectExtent l="0" t="0" r="6985" b="12700"/>
                  <wp:docPr id="105" name="图片 508" descr="d314ef6d08cecde198e12dbd6563a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508" descr="d314ef6d08cecde198e12dbd6563ab1"/>
                          <pic:cNvPicPr>
                            <a:picLocks noChangeAspect="1"/>
                          </pic:cNvPicPr>
                        </pic:nvPicPr>
                        <pic:blipFill>
                          <a:blip r:embed="rId37"/>
                          <a:stretch>
                            <a:fillRect/>
                          </a:stretch>
                        </pic:blipFill>
                        <pic:spPr>
                          <a:xfrm>
                            <a:off x="0" y="0"/>
                            <a:ext cx="2907665" cy="539750"/>
                          </a:xfrm>
                          <a:prstGeom prst="rect">
                            <a:avLst/>
                          </a:prstGeom>
                          <a:noFill/>
                          <a:ln>
                            <a:noFill/>
                          </a:ln>
                        </pic:spPr>
                      </pic:pic>
                    </a:graphicData>
                  </a:graphic>
                </wp:inline>
              </w:drawing>
            </w:r>
          </w:p>
          <w:p w14:paraId="749A542C">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式中：L</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p1i</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（T）—靠近围护结构处室内N个声源i倍频带的叠加声压级，dB；L</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p1ij</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—室内j声源i倍频带的声压级，dB；N—室内声源总数。</w:t>
            </w:r>
          </w:p>
          <w:p w14:paraId="0CBD1AC7">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在室内近似为扩散声场时，按（公式4）计算出靠近室外围护结构处的声压级：</w:t>
            </w:r>
          </w:p>
          <w:p w14:paraId="5C4FE143">
            <w:pPr>
              <w:spacing w:line="360" w:lineRule="auto"/>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position w:val="-14"/>
                <w:sz w:val="24"/>
                <w:szCs w:val="24"/>
                <w:highlight w:val="none"/>
                <w:lang w:val="en-US" w:eastAsia="zh-CN"/>
                <w14:textFill>
                  <w14:solidFill>
                    <w14:schemeClr w14:val="tx1"/>
                  </w14:solidFill>
                </w14:textFill>
              </w:rPr>
              <w:object>
                <v:shape id="_x0000_i1031" o:spt="75" type="#_x0000_t75" style="height:19pt;width:135pt;" o:ole="t" filled="f" o:preferrelative="t" stroked="f" coordsize="21600,21600">
                  <v:path/>
                  <v:fill on="f" focussize="0,0"/>
                  <v:stroke on="f"/>
                  <v:imagedata r:id="rId39" o:title=""/>
                  <o:lock v:ext="edit" aspectratio="t"/>
                  <w10:wrap type="none"/>
                  <w10:anchorlock/>
                </v:shape>
                <o:OLEObject Type="Embed" ProgID="Equation.KSEE3" ShapeID="_x0000_i1031" DrawAspect="Content" ObjectID="_1468075731" r:id="rId38">
                  <o:LockedField>false</o:LockedField>
                </o:OLEObject>
              </w:objec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   （公式4）</w:t>
            </w:r>
          </w:p>
          <w:p w14:paraId="5E17FB39">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式中：L</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p2i</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（T）—靠近围护结构处室外N个声源i倍频带的叠加声压级，dB； TL</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i</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—围护结构i倍频带的隔声量，dB；</w:t>
            </w:r>
          </w:p>
          <w:p w14:paraId="23E9EE78">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然后按（公式5）将室外声源的声压级和透过面积换算成等效的室外声源，计算出中心位置于透声面积（S）处的等效声源的倍频带声功率级：</w:t>
            </w:r>
          </w:p>
          <w:p w14:paraId="32B38CC7">
            <w:pPr>
              <w:spacing w:line="360" w:lineRule="auto"/>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position w:val="-14"/>
                <w:sz w:val="24"/>
                <w:szCs w:val="24"/>
                <w:highlight w:val="none"/>
                <w:lang w:val="en-US" w:eastAsia="zh-CN"/>
                <w14:textFill>
                  <w14:solidFill>
                    <w14:schemeClr w14:val="tx1"/>
                  </w14:solidFill>
                </w14:textFill>
              </w:rPr>
              <w:object>
                <v:shape id="_x0000_i1032" o:spt="75" type="#_x0000_t75" style="height:19pt;width:103.95pt;" o:ole="t" filled="f" o:preferrelative="t" stroked="f" coordsize="21600,21600">
                  <v:path/>
                  <v:fill on="f" focussize="0,0"/>
                  <v:stroke on="f"/>
                  <v:imagedata r:id="rId41" o:title=""/>
                  <o:lock v:ext="edit" aspectratio="t"/>
                  <w10:wrap type="none"/>
                  <w10:anchorlock/>
                </v:shape>
                <o:OLEObject Type="Embed" ProgID="Equation.KSEE3" ShapeID="_x0000_i1032" DrawAspect="Content" ObjectID="_1468075732" r:id="rId40">
                  <o:LockedField>false</o:LockedField>
                </o:OLEObject>
              </w:objec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  （公式5）</w:t>
            </w:r>
          </w:p>
          <w:p w14:paraId="237CB1B6">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式中：L</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W</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—中心位置位于透声面积（S）处的等效声源的倍频带声功率级，dB；L</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p2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(T)—靠近围护结构处室外声源的声压级，dB；S—透声面积，m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22B9D0EF">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然后按室外声源预测方法计出预测点处的A声级。</w:t>
            </w:r>
          </w:p>
          <w:p w14:paraId="4058FB6B">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②室外声源衰减模式</w:t>
            </w:r>
          </w:p>
          <w:p w14:paraId="7DCF1DB5">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预测点的声压级可按下式计算：</w:t>
            </w:r>
          </w:p>
          <w:p w14:paraId="4479B3A5">
            <w:pPr>
              <w:spacing w:line="360" w:lineRule="auto"/>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position w:val="-14"/>
                <w:sz w:val="24"/>
                <w:szCs w:val="24"/>
                <w:highlight w:val="none"/>
                <w:lang w:val="en-US" w:eastAsia="zh-CN"/>
                <w14:textFill>
                  <w14:solidFill>
                    <w14:schemeClr w14:val="tx1"/>
                  </w14:solidFill>
                </w14:textFill>
              </w:rPr>
              <w:object>
                <v:shape id="_x0000_i1033" o:spt="75" type="#_x0000_t75" style="height:19pt;width:253pt;" o:ole="t" filled="f" o:preferrelative="t" stroked="f" coordsize="21600,21600">
                  <v:path/>
                  <v:fill on="f" focussize="0,0"/>
                  <v:stroke on="f"/>
                  <v:imagedata r:id="rId43" o:title=""/>
                  <o:lock v:ext="edit" aspectratio="t"/>
                  <w10:wrap type="none"/>
                  <w10:anchorlock/>
                </v:shape>
                <o:OLEObject Type="Embed" ProgID="Equation.KSEE3" ShapeID="_x0000_i1033" DrawAspect="Content" ObjectID="_1468075733" r:id="rId42">
                  <o:LockedField>false</o:LockedField>
                </o:OLEObject>
              </w:objec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   （公式6）</w:t>
            </w:r>
          </w:p>
          <w:p w14:paraId="313D011D">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式中：Lp(r)—预测点处声压级，dB；Lp(r</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)—参考位置r</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处的声压级，dB；D</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C</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—指向性校正，它描述点声源的等效连续声压级与产生声功率级L</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w</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的全向点声源在规定方向的声级的偏差程度，dB；A</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div</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—几何发散引起的衰减，dB；A</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atm</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—大气吸收引起的衰减，dB；A</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gr</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—地面效应引起的衰减，dB；A</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bar</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—障碍物屏蔽引起的衰减，dB；A</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misc</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其他多方面效应引起的衰减，dB。在预测时，为留有较大余地，以噪声对环境最不利的情况为前提，只考虑几何发散引起的衰减，而其他因素的衰减，如大气吸收、地面效应等均作为预测计算的安全系数而不计，综上分析，公式6可简化为：</w:t>
            </w:r>
            <w:r>
              <w:rPr>
                <w:rFonts w:hint="default" w:ascii="Times New Roman" w:hAnsi="Times New Roman" w:eastAsia="宋体" w:cs="Times New Roman"/>
                <w:color w:val="000000" w:themeColor="text1"/>
                <w:position w:val="-14"/>
                <w:sz w:val="24"/>
                <w:szCs w:val="24"/>
                <w:highlight w:val="none"/>
                <w:lang w:val="en-US" w:eastAsia="zh-CN"/>
                <w14:textFill>
                  <w14:solidFill>
                    <w14:schemeClr w14:val="tx1"/>
                  </w14:solidFill>
                </w14:textFill>
              </w:rPr>
              <w:object>
                <v:shape id="_x0000_i1034" o:spt="75" type="#_x0000_t75" style="height:19pt;width:132.95pt;" o:ole="t" filled="f" o:preferrelative="t" stroked="f" coordsize="21600,21600">
                  <v:path/>
                  <v:fill on="f" focussize="0,0"/>
                  <v:stroke on="f"/>
                  <v:imagedata r:id="rId45" o:title=""/>
                  <o:lock v:ext="edit" aspectratio="t"/>
                  <w10:wrap type="none"/>
                  <w10:anchorlock/>
                </v:shape>
                <o:OLEObject Type="Embed" ProgID="Equation.KSEE3" ShapeID="_x0000_i1034" DrawAspect="Content" ObjectID="_1468075734" r:id="rId44">
                  <o:LockedField>false</o:LockedField>
                </o:OLEObject>
              </w:objec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592678D5">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③工业企业噪声贡献值计算</w:t>
            </w:r>
          </w:p>
          <w:p w14:paraId="0746CC1E">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设第i个室外声源在预测点产生的A声级为L</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Ai</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，在T时间内该声源工作时间为t</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i</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；第j个等效室外声源在预测点产生的A声级为L</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Aj</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，在T时间内该声源工作时间为t</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j</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，则拟建工程声源对预测点产生的贡献值（L</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eqg</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）为：</w:t>
            </w:r>
          </w:p>
          <w:p w14:paraId="70F4F2D9">
            <w:pPr>
              <w:spacing w:line="360" w:lineRule="auto"/>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position w:val="-34"/>
                <w:sz w:val="24"/>
                <w:szCs w:val="24"/>
                <w:highlight w:val="none"/>
                <w:lang w:val="en-US" w:eastAsia="zh-CN"/>
                <w14:textFill>
                  <w14:solidFill>
                    <w14:schemeClr w14:val="tx1"/>
                  </w14:solidFill>
                </w14:textFill>
              </w:rPr>
              <w:object>
                <v:shape id="_x0000_i1035" o:spt="75" type="#_x0000_t75" style="height:40pt;width:204.95pt;" o:ole="t" filled="f" o:preferrelative="t" stroked="f" coordsize="21600,21600">
                  <v:path/>
                  <v:fill on="f" focussize="0,0"/>
                  <v:stroke on="f"/>
                  <v:imagedata r:id="rId47" o:title=""/>
                  <o:lock v:ext="edit" aspectratio="t"/>
                  <w10:wrap type="none"/>
                  <w10:anchorlock/>
                </v:shape>
                <o:OLEObject Type="Embed" ProgID="Equation.KSEE3" ShapeID="_x0000_i1035" DrawAspect="Content" ObjectID="_1468075735" r:id="rId46">
                  <o:LockedField>false</o:LockedField>
                </o:OLEObject>
              </w:object>
            </w:r>
          </w:p>
          <w:p w14:paraId="09A72513">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式中：L</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eqg</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——建设项目声源在预测点产生的噪声贡献值，dB；T——用于计算等效声级的时间，s；N——室外声源个数；t</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i</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——在T时间内i声源工作时间，s；M——等效室外声源个数；t</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j</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——在T时间内j声源工作时间，s。</w:t>
            </w:r>
          </w:p>
          <w:p w14:paraId="7A291D73">
            <w:pPr>
              <w:spacing w:line="360" w:lineRule="auto"/>
              <w:ind w:firstLine="482" w:firstLineChars="200"/>
              <w:rPr>
                <w:rFonts w:hint="default" w:ascii="Times New Roman" w:hAnsi="Times New Roman" w:eastAsia="宋体" w:cs="Times New Roman"/>
                <w:b/>
                <w:bCs/>
                <w:color w:val="000000" w:themeColor="text1"/>
                <w:sz w:val="24"/>
                <w:szCs w:val="24"/>
                <w:highlight w:val="none"/>
                <w:lang w:val="en-GB"/>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GB"/>
                <w14:textFill>
                  <w14:solidFill>
                    <w14:schemeClr w14:val="tx1"/>
                  </w14:solidFill>
                </w14:textFill>
              </w:rPr>
              <w:t>（</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highlight w:val="none"/>
                <w:lang w:val="en-GB"/>
                <w14:textFill>
                  <w14:solidFill>
                    <w14:schemeClr w14:val="tx1"/>
                  </w14:solidFill>
                </w14:textFill>
              </w:rPr>
              <w:t>）预测结果分析</w:t>
            </w:r>
          </w:p>
          <w:p w14:paraId="4A500B1B">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根据上述噪声源强调查清单及预测公式，项目噪声贡献值见下表。</w:t>
            </w:r>
          </w:p>
          <w:p w14:paraId="164102FD">
            <w:pPr>
              <w:keepNext/>
              <w:keepLines/>
              <w:numPr>
                <w:ilvl w:val="0"/>
                <w:numId w:val="0"/>
              </w:numPr>
              <w:suppressLineNumbers w:val="0"/>
              <w:tabs>
                <w:tab w:val="left" w:pos="0"/>
              </w:tabs>
              <w:spacing w:before="0" w:beforeAutospacing="0" w:after="0" w:afterAutospacing="0"/>
              <w:ind w:left="0" w:leftChars="0" w:right="0" w:rightChars="0" w:firstLine="40" w:firstLineChars="0"/>
              <w:jc w:val="center"/>
              <w:outlineLvl w:val="3"/>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表4-3</w:t>
            </w:r>
            <w:r>
              <w:rPr>
                <w:rFonts w:hint="eastAsia" w:cs="Times New Roman"/>
                <w:b/>
                <w:bCs/>
                <w:color w:val="000000" w:themeColor="text1"/>
                <w:kern w:val="2"/>
                <w:sz w:val="21"/>
                <w:szCs w:val="21"/>
                <w:lang w:val="en-US" w:eastAsia="zh-CN" w:bidi="ar-SA"/>
                <w14:textFill>
                  <w14:solidFill>
                    <w14:schemeClr w14:val="tx1"/>
                  </w14:solidFill>
                </w14:textFill>
              </w:rPr>
              <w:t>5</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厂界预测结果与达标分析表</w:t>
            </w:r>
          </w:p>
          <w:tbl>
            <w:tblPr>
              <w:tblStyle w:val="44"/>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59"/>
              <w:gridCol w:w="1243"/>
              <w:gridCol w:w="1153"/>
              <w:gridCol w:w="1342"/>
              <w:gridCol w:w="1347"/>
              <w:gridCol w:w="883"/>
              <w:gridCol w:w="887"/>
            </w:tblGrid>
            <w:tr w14:paraId="39AEE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9" w:hRule="atLeast"/>
                <w:jc w:val="center"/>
              </w:trPr>
              <w:tc>
                <w:tcPr>
                  <w:tcW w:w="877" w:type="pct"/>
                  <w:vMerge w:val="restart"/>
                  <w:tcBorders>
                    <w:tl2br w:val="nil"/>
                    <w:tr2bl w:val="nil"/>
                  </w:tcBorders>
                  <w:noWrap w:val="0"/>
                  <w:vAlign w:val="center"/>
                </w:tcPr>
                <w:p w14:paraId="7EF45CA3">
                  <w:pPr>
                    <w:adjustRightInd w:val="0"/>
                    <w:snapToGrid w:val="0"/>
                    <w:spacing w:line="240" w:lineRule="auto"/>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预测点</w:t>
                  </w:r>
                </w:p>
              </w:tc>
              <w:tc>
                <w:tcPr>
                  <w:tcW w:w="1440" w:type="pct"/>
                  <w:gridSpan w:val="2"/>
                  <w:tcBorders>
                    <w:tl2br w:val="nil"/>
                    <w:tr2bl w:val="nil"/>
                  </w:tcBorders>
                  <w:noWrap w:val="0"/>
                  <w:vAlign w:val="center"/>
                </w:tcPr>
                <w:p w14:paraId="5958C65C">
                  <w:pPr>
                    <w:adjustRightInd w:val="0"/>
                    <w:snapToGrid w:val="0"/>
                    <w:spacing w:line="240" w:lineRule="auto"/>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贡献值dB（A）</w:t>
                  </w:r>
                </w:p>
              </w:tc>
              <w:tc>
                <w:tcPr>
                  <w:tcW w:w="1617" w:type="pct"/>
                  <w:gridSpan w:val="2"/>
                  <w:tcBorders>
                    <w:tl2br w:val="nil"/>
                    <w:tr2bl w:val="nil"/>
                  </w:tcBorders>
                  <w:noWrap w:val="0"/>
                  <w:vAlign w:val="center"/>
                </w:tcPr>
                <w:p w14:paraId="1593DBDC">
                  <w:pPr>
                    <w:adjustRightInd w:val="0"/>
                    <w:snapToGrid w:val="0"/>
                    <w:spacing w:line="240" w:lineRule="auto"/>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噪声标准</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dB（A）</w:t>
                  </w:r>
                </w:p>
              </w:tc>
              <w:tc>
                <w:tcPr>
                  <w:tcW w:w="1064" w:type="pct"/>
                  <w:gridSpan w:val="2"/>
                  <w:tcBorders>
                    <w:tl2br w:val="nil"/>
                    <w:tr2bl w:val="nil"/>
                  </w:tcBorders>
                  <w:noWrap w:val="0"/>
                  <w:vAlign w:val="center"/>
                </w:tcPr>
                <w:p w14:paraId="4A13BCE1">
                  <w:pPr>
                    <w:adjustRightInd w:val="0"/>
                    <w:snapToGrid w:val="0"/>
                    <w:spacing w:line="240" w:lineRule="auto"/>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val="en-US" w:eastAsia="zh-CN" w:bidi="ar-SA"/>
                      <w14:textFill>
                        <w14:solidFill>
                          <w14:schemeClr w14:val="tx1"/>
                        </w14:solidFill>
                      </w14:textFill>
                    </w:rPr>
                    <w:t>达标情况</w:t>
                  </w:r>
                </w:p>
              </w:tc>
            </w:tr>
            <w:tr w14:paraId="200FB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9" w:hRule="atLeast"/>
                <w:jc w:val="center"/>
              </w:trPr>
              <w:tc>
                <w:tcPr>
                  <w:tcW w:w="877" w:type="pct"/>
                  <w:vMerge w:val="continue"/>
                  <w:tcBorders>
                    <w:tl2br w:val="nil"/>
                    <w:tr2bl w:val="nil"/>
                  </w:tcBorders>
                  <w:noWrap w:val="0"/>
                  <w:vAlign w:val="center"/>
                </w:tcPr>
                <w:p w14:paraId="0D1D8452">
                  <w:pPr>
                    <w:adjustRightInd w:val="0"/>
                    <w:snapToGrid w:val="0"/>
                    <w:spacing w:line="240" w:lineRule="auto"/>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p>
              </w:tc>
              <w:tc>
                <w:tcPr>
                  <w:tcW w:w="747" w:type="pct"/>
                  <w:tcBorders>
                    <w:tl2br w:val="nil"/>
                    <w:tr2bl w:val="nil"/>
                  </w:tcBorders>
                  <w:noWrap w:val="0"/>
                  <w:vAlign w:val="center"/>
                </w:tcPr>
                <w:p w14:paraId="6A2DFA59">
                  <w:pPr>
                    <w:adjustRightInd w:val="0"/>
                    <w:snapToGrid w:val="0"/>
                    <w:spacing w:line="240" w:lineRule="auto"/>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昼间</w:t>
                  </w:r>
                </w:p>
              </w:tc>
              <w:tc>
                <w:tcPr>
                  <w:tcW w:w="692" w:type="pct"/>
                  <w:tcBorders>
                    <w:tl2br w:val="nil"/>
                    <w:tr2bl w:val="nil"/>
                  </w:tcBorders>
                  <w:noWrap w:val="0"/>
                  <w:vAlign w:val="center"/>
                </w:tcPr>
                <w:p w14:paraId="72503828">
                  <w:pPr>
                    <w:adjustRightInd w:val="0"/>
                    <w:snapToGrid w:val="0"/>
                    <w:spacing w:line="240" w:lineRule="auto"/>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夜间</w:t>
                  </w:r>
                </w:p>
              </w:tc>
              <w:tc>
                <w:tcPr>
                  <w:tcW w:w="807" w:type="pct"/>
                  <w:tcBorders>
                    <w:tl2br w:val="nil"/>
                    <w:tr2bl w:val="nil"/>
                  </w:tcBorders>
                  <w:noWrap w:val="0"/>
                  <w:vAlign w:val="center"/>
                </w:tcPr>
                <w:p w14:paraId="1FA95347">
                  <w:pPr>
                    <w:adjustRightInd w:val="0"/>
                    <w:snapToGrid w:val="0"/>
                    <w:spacing w:line="240" w:lineRule="auto"/>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昼间</w:t>
                  </w:r>
                </w:p>
              </w:tc>
              <w:tc>
                <w:tcPr>
                  <w:tcW w:w="809" w:type="pct"/>
                  <w:tcBorders>
                    <w:tl2br w:val="nil"/>
                    <w:tr2bl w:val="nil"/>
                  </w:tcBorders>
                  <w:noWrap w:val="0"/>
                  <w:vAlign w:val="center"/>
                </w:tcPr>
                <w:p w14:paraId="1556CD6E">
                  <w:pPr>
                    <w:adjustRightInd w:val="0"/>
                    <w:snapToGrid w:val="0"/>
                    <w:spacing w:line="240" w:lineRule="auto"/>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夜间</w:t>
                  </w:r>
                </w:p>
              </w:tc>
              <w:tc>
                <w:tcPr>
                  <w:tcW w:w="531" w:type="pct"/>
                  <w:tcBorders>
                    <w:tl2br w:val="nil"/>
                    <w:tr2bl w:val="nil"/>
                  </w:tcBorders>
                  <w:noWrap w:val="0"/>
                  <w:vAlign w:val="center"/>
                </w:tcPr>
                <w:p w14:paraId="114221E0">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val="en-US" w:eastAsia="zh-CN" w:bidi="ar-SA"/>
                      <w14:textFill>
                        <w14:solidFill>
                          <w14:schemeClr w14:val="tx1"/>
                        </w14:solidFill>
                      </w14:textFill>
                    </w:rPr>
                    <w:t>昼间</w:t>
                  </w:r>
                </w:p>
              </w:tc>
              <w:tc>
                <w:tcPr>
                  <w:tcW w:w="533" w:type="pct"/>
                  <w:tcBorders>
                    <w:tl2br w:val="nil"/>
                    <w:tr2bl w:val="nil"/>
                  </w:tcBorders>
                  <w:noWrap w:val="0"/>
                  <w:vAlign w:val="center"/>
                </w:tcPr>
                <w:p w14:paraId="0D58552B">
                  <w:pPr>
                    <w:widowControl w:val="0"/>
                    <w:kinsoku/>
                    <w:autoSpaceDE/>
                    <w:autoSpaceDN/>
                    <w:adjustRightInd w:val="0"/>
                    <w:snapToGrid w:val="0"/>
                    <w:spacing w:line="240" w:lineRule="auto"/>
                    <w:jc w:val="center"/>
                    <w:textAlignment w:val="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snapToGrid/>
                      <w:color w:val="000000" w:themeColor="text1"/>
                      <w:kern w:val="2"/>
                      <w:sz w:val="21"/>
                      <w:szCs w:val="21"/>
                      <w:highlight w:val="none"/>
                      <w:lang w:val="en-US" w:eastAsia="zh-CN" w:bidi="ar-SA"/>
                      <w14:textFill>
                        <w14:solidFill>
                          <w14:schemeClr w14:val="tx1"/>
                        </w14:solidFill>
                      </w14:textFill>
                    </w:rPr>
                    <w:t>夜间</w:t>
                  </w:r>
                </w:p>
              </w:tc>
            </w:tr>
            <w:tr w14:paraId="3E818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9" w:hRule="atLeast"/>
                <w:jc w:val="center"/>
              </w:trPr>
              <w:tc>
                <w:tcPr>
                  <w:tcW w:w="877" w:type="pct"/>
                  <w:tcBorders>
                    <w:tl2br w:val="nil"/>
                    <w:tr2bl w:val="nil"/>
                  </w:tcBorders>
                  <w:noWrap w:val="0"/>
                  <w:vAlign w:val="center"/>
                </w:tcPr>
                <w:p w14:paraId="11452258">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东侧边界</w:t>
                  </w:r>
                </w:p>
              </w:tc>
              <w:tc>
                <w:tcPr>
                  <w:tcW w:w="747" w:type="pct"/>
                  <w:tcBorders>
                    <w:tl2br w:val="nil"/>
                    <w:tr2bl w:val="nil"/>
                  </w:tcBorders>
                  <w:noWrap w:val="0"/>
                  <w:vAlign w:val="center"/>
                </w:tcPr>
                <w:p w14:paraId="33F1A76A">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olor w:val="000000" w:themeColor="text1"/>
                      <w14:textFill>
                        <w14:solidFill>
                          <w14:schemeClr w14:val="tx1"/>
                        </w14:solidFill>
                      </w14:textFill>
                    </w:rPr>
                    <w:t>25.59</w:t>
                  </w:r>
                </w:p>
              </w:tc>
              <w:tc>
                <w:tcPr>
                  <w:tcW w:w="692" w:type="pct"/>
                  <w:tcBorders>
                    <w:tl2br w:val="nil"/>
                    <w:tr2bl w:val="nil"/>
                  </w:tcBorders>
                  <w:noWrap w:val="0"/>
                  <w:vAlign w:val="center"/>
                </w:tcPr>
                <w:p w14:paraId="7587B5FE">
                  <w:pPr>
                    <w:widowControl w:val="0"/>
                    <w:kinsoku/>
                    <w:autoSpaceDE/>
                    <w:autoSpaceDN/>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w:t>
                  </w:r>
                </w:p>
              </w:tc>
              <w:tc>
                <w:tcPr>
                  <w:tcW w:w="807" w:type="pct"/>
                  <w:tcBorders>
                    <w:tl2br w:val="nil"/>
                    <w:tr2bl w:val="nil"/>
                  </w:tcBorders>
                  <w:noWrap w:val="0"/>
                  <w:vAlign w:val="center"/>
                </w:tcPr>
                <w:p w14:paraId="52149ABD">
                  <w:pPr>
                    <w:keepNext w:val="0"/>
                    <w:keepLines w:val="0"/>
                    <w:widowControl/>
                    <w:suppressLineNumbers w:val="0"/>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color w:val="000000" w:themeColor="text1"/>
                      <w:lang w:val="en-US" w:eastAsia="zh-CN"/>
                      <w14:textFill>
                        <w14:solidFill>
                          <w14:schemeClr w14:val="tx1"/>
                        </w14:solidFill>
                      </w14:textFill>
                    </w:rPr>
                    <w:t>70</w:t>
                  </w:r>
                </w:p>
              </w:tc>
              <w:tc>
                <w:tcPr>
                  <w:tcW w:w="809" w:type="pct"/>
                  <w:tcBorders>
                    <w:tl2br w:val="nil"/>
                    <w:tr2bl w:val="nil"/>
                  </w:tcBorders>
                  <w:noWrap w:val="0"/>
                  <w:vAlign w:val="center"/>
                </w:tcPr>
                <w:p w14:paraId="6803E65E">
                  <w:pPr>
                    <w:widowControl w:val="0"/>
                    <w:kinsoku/>
                    <w:autoSpaceDE/>
                    <w:autoSpaceDN/>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w:t>
                  </w:r>
                </w:p>
              </w:tc>
              <w:tc>
                <w:tcPr>
                  <w:tcW w:w="531" w:type="pct"/>
                  <w:tcBorders>
                    <w:tl2br w:val="nil"/>
                    <w:tr2bl w:val="nil"/>
                  </w:tcBorders>
                  <w:noWrap w:val="0"/>
                  <w:vAlign w:val="center"/>
                </w:tcPr>
                <w:p w14:paraId="5F187C07">
                  <w:pPr>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达标</w:t>
                  </w:r>
                </w:p>
              </w:tc>
              <w:tc>
                <w:tcPr>
                  <w:tcW w:w="533" w:type="pct"/>
                  <w:tcBorders>
                    <w:tl2br w:val="nil"/>
                    <w:tr2bl w:val="nil"/>
                  </w:tcBorders>
                  <w:noWrap w:val="0"/>
                  <w:vAlign w:val="center"/>
                </w:tcPr>
                <w:p w14:paraId="15CC25A0">
                  <w:pPr>
                    <w:widowControl w:val="0"/>
                    <w:kinsoku/>
                    <w:autoSpaceDE/>
                    <w:autoSpaceDN/>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w:t>
                  </w:r>
                </w:p>
              </w:tc>
            </w:tr>
            <w:tr w14:paraId="57215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1" w:hRule="atLeast"/>
                <w:jc w:val="center"/>
              </w:trPr>
              <w:tc>
                <w:tcPr>
                  <w:tcW w:w="877" w:type="pct"/>
                  <w:tcBorders>
                    <w:tl2br w:val="nil"/>
                    <w:tr2bl w:val="nil"/>
                  </w:tcBorders>
                  <w:noWrap w:val="0"/>
                  <w:vAlign w:val="center"/>
                </w:tcPr>
                <w:p w14:paraId="5077A84F">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南侧边界</w:t>
                  </w:r>
                </w:p>
              </w:tc>
              <w:tc>
                <w:tcPr>
                  <w:tcW w:w="747" w:type="pct"/>
                  <w:tcBorders>
                    <w:tl2br w:val="nil"/>
                    <w:tr2bl w:val="nil"/>
                  </w:tcBorders>
                  <w:noWrap w:val="0"/>
                  <w:vAlign w:val="center"/>
                </w:tcPr>
                <w:p w14:paraId="16B10884">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olor w:val="000000" w:themeColor="text1"/>
                      <w14:textFill>
                        <w14:solidFill>
                          <w14:schemeClr w14:val="tx1"/>
                        </w14:solidFill>
                      </w14:textFill>
                    </w:rPr>
                    <w:t>38.13</w:t>
                  </w:r>
                </w:p>
              </w:tc>
              <w:tc>
                <w:tcPr>
                  <w:tcW w:w="692" w:type="pct"/>
                  <w:tcBorders>
                    <w:tl2br w:val="nil"/>
                    <w:tr2bl w:val="nil"/>
                  </w:tcBorders>
                  <w:noWrap w:val="0"/>
                  <w:vAlign w:val="center"/>
                </w:tcPr>
                <w:p w14:paraId="668B1CC2">
                  <w:pPr>
                    <w:widowControl w:val="0"/>
                    <w:kinsoku/>
                    <w:autoSpaceDE/>
                    <w:autoSpaceDN/>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w:t>
                  </w:r>
                </w:p>
              </w:tc>
              <w:tc>
                <w:tcPr>
                  <w:tcW w:w="807" w:type="pct"/>
                  <w:tcBorders>
                    <w:tl2br w:val="nil"/>
                    <w:tr2bl w:val="nil"/>
                  </w:tcBorders>
                  <w:noWrap w:val="0"/>
                  <w:vAlign w:val="center"/>
                </w:tcPr>
                <w:p w14:paraId="5FF4D7B1">
                  <w:pPr>
                    <w:keepNext w:val="0"/>
                    <w:keepLines w:val="0"/>
                    <w:widowControl/>
                    <w:suppressLineNumbers w:val="0"/>
                    <w:spacing w:line="240" w:lineRule="auto"/>
                    <w:jc w:val="center"/>
                    <w:textAlignment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70</w:t>
                  </w:r>
                </w:p>
              </w:tc>
              <w:tc>
                <w:tcPr>
                  <w:tcW w:w="809" w:type="pct"/>
                  <w:tcBorders>
                    <w:tl2br w:val="nil"/>
                    <w:tr2bl w:val="nil"/>
                  </w:tcBorders>
                  <w:noWrap w:val="0"/>
                  <w:vAlign w:val="center"/>
                </w:tcPr>
                <w:p w14:paraId="054A2298">
                  <w:pPr>
                    <w:widowControl w:val="0"/>
                    <w:kinsoku/>
                    <w:autoSpaceDE/>
                    <w:autoSpaceDN/>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w:t>
                  </w:r>
                </w:p>
              </w:tc>
              <w:tc>
                <w:tcPr>
                  <w:tcW w:w="531" w:type="pct"/>
                  <w:tcBorders>
                    <w:tl2br w:val="nil"/>
                    <w:tr2bl w:val="nil"/>
                  </w:tcBorders>
                  <w:noWrap w:val="0"/>
                  <w:vAlign w:val="center"/>
                </w:tcPr>
                <w:p w14:paraId="2E657FE4">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达标</w:t>
                  </w:r>
                </w:p>
              </w:tc>
              <w:tc>
                <w:tcPr>
                  <w:tcW w:w="533" w:type="pct"/>
                  <w:tcBorders>
                    <w:tl2br w:val="nil"/>
                    <w:tr2bl w:val="nil"/>
                  </w:tcBorders>
                  <w:noWrap w:val="0"/>
                  <w:vAlign w:val="center"/>
                </w:tcPr>
                <w:p w14:paraId="660CA952">
                  <w:pPr>
                    <w:widowControl w:val="0"/>
                    <w:kinsoku/>
                    <w:autoSpaceDE/>
                    <w:autoSpaceDN/>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w:t>
                  </w:r>
                </w:p>
              </w:tc>
            </w:tr>
            <w:tr w14:paraId="7E7F7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9" w:hRule="atLeast"/>
                <w:jc w:val="center"/>
              </w:trPr>
              <w:tc>
                <w:tcPr>
                  <w:tcW w:w="877" w:type="pct"/>
                  <w:tcBorders>
                    <w:tl2br w:val="nil"/>
                    <w:tr2bl w:val="nil"/>
                  </w:tcBorders>
                  <w:noWrap w:val="0"/>
                  <w:vAlign w:val="center"/>
                </w:tcPr>
                <w:p w14:paraId="2D3D221A">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西侧边界</w:t>
                  </w:r>
                </w:p>
              </w:tc>
              <w:tc>
                <w:tcPr>
                  <w:tcW w:w="747" w:type="pct"/>
                  <w:tcBorders>
                    <w:tl2br w:val="nil"/>
                    <w:tr2bl w:val="nil"/>
                  </w:tcBorders>
                  <w:noWrap w:val="0"/>
                  <w:vAlign w:val="center"/>
                </w:tcPr>
                <w:p w14:paraId="6E9FB49B">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olor w:val="000000" w:themeColor="text1"/>
                      <w14:textFill>
                        <w14:solidFill>
                          <w14:schemeClr w14:val="tx1"/>
                        </w14:solidFill>
                      </w14:textFill>
                    </w:rPr>
                    <w:t>32.91</w:t>
                  </w:r>
                </w:p>
              </w:tc>
              <w:tc>
                <w:tcPr>
                  <w:tcW w:w="692" w:type="pct"/>
                  <w:tcBorders>
                    <w:tl2br w:val="nil"/>
                    <w:tr2bl w:val="nil"/>
                  </w:tcBorders>
                  <w:noWrap w:val="0"/>
                  <w:vAlign w:val="center"/>
                </w:tcPr>
                <w:p w14:paraId="12C94D68">
                  <w:pPr>
                    <w:widowControl w:val="0"/>
                    <w:kinsoku/>
                    <w:autoSpaceDE/>
                    <w:autoSpaceDN/>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w:t>
                  </w:r>
                </w:p>
              </w:tc>
              <w:tc>
                <w:tcPr>
                  <w:tcW w:w="807" w:type="pct"/>
                  <w:tcBorders>
                    <w:tl2br w:val="nil"/>
                    <w:tr2bl w:val="nil"/>
                  </w:tcBorders>
                  <w:noWrap w:val="0"/>
                  <w:vAlign w:val="center"/>
                </w:tcPr>
                <w:p w14:paraId="32DCC251">
                  <w:pPr>
                    <w:keepNext w:val="0"/>
                    <w:keepLines w:val="0"/>
                    <w:widowControl/>
                    <w:suppressLineNumbers w:val="0"/>
                    <w:spacing w:line="240" w:lineRule="auto"/>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≤65</w:t>
                  </w:r>
                </w:p>
              </w:tc>
              <w:tc>
                <w:tcPr>
                  <w:tcW w:w="809" w:type="pct"/>
                  <w:tcBorders>
                    <w:tl2br w:val="nil"/>
                    <w:tr2bl w:val="nil"/>
                  </w:tcBorders>
                  <w:noWrap w:val="0"/>
                  <w:vAlign w:val="center"/>
                </w:tcPr>
                <w:p w14:paraId="2CC1EADB">
                  <w:pPr>
                    <w:widowControl w:val="0"/>
                    <w:kinsoku/>
                    <w:autoSpaceDE/>
                    <w:autoSpaceDN/>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w:t>
                  </w:r>
                </w:p>
              </w:tc>
              <w:tc>
                <w:tcPr>
                  <w:tcW w:w="531" w:type="pct"/>
                  <w:tcBorders>
                    <w:tl2br w:val="nil"/>
                    <w:tr2bl w:val="nil"/>
                  </w:tcBorders>
                  <w:noWrap w:val="0"/>
                  <w:vAlign w:val="center"/>
                </w:tcPr>
                <w:p w14:paraId="5D5F3037">
                  <w:pPr>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达标</w:t>
                  </w:r>
                </w:p>
              </w:tc>
              <w:tc>
                <w:tcPr>
                  <w:tcW w:w="533" w:type="pct"/>
                  <w:tcBorders>
                    <w:tl2br w:val="nil"/>
                    <w:tr2bl w:val="nil"/>
                  </w:tcBorders>
                  <w:noWrap w:val="0"/>
                  <w:vAlign w:val="center"/>
                </w:tcPr>
                <w:p w14:paraId="4C8C6AA9">
                  <w:pPr>
                    <w:widowControl w:val="0"/>
                    <w:kinsoku/>
                    <w:autoSpaceDE/>
                    <w:autoSpaceDN/>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w:t>
                  </w:r>
                </w:p>
              </w:tc>
            </w:tr>
            <w:tr w14:paraId="54BB1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877" w:type="pct"/>
                  <w:tcBorders>
                    <w:tl2br w:val="nil"/>
                    <w:tr2bl w:val="nil"/>
                  </w:tcBorders>
                  <w:noWrap w:val="0"/>
                  <w:vAlign w:val="center"/>
                </w:tcPr>
                <w:p w14:paraId="63DA0E63">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北侧边界</w:t>
                  </w:r>
                </w:p>
              </w:tc>
              <w:tc>
                <w:tcPr>
                  <w:tcW w:w="747" w:type="pct"/>
                  <w:tcBorders>
                    <w:tl2br w:val="nil"/>
                    <w:tr2bl w:val="nil"/>
                  </w:tcBorders>
                  <w:noWrap w:val="0"/>
                  <w:vAlign w:val="center"/>
                </w:tcPr>
                <w:p w14:paraId="12E0383C">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olor w:val="000000" w:themeColor="text1"/>
                      <w14:textFill>
                        <w14:solidFill>
                          <w14:schemeClr w14:val="tx1"/>
                        </w14:solidFill>
                      </w14:textFill>
                    </w:rPr>
                    <w:t>28.74</w:t>
                  </w:r>
                </w:p>
              </w:tc>
              <w:tc>
                <w:tcPr>
                  <w:tcW w:w="692" w:type="pct"/>
                  <w:tcBorders>
                    <w:tl2br w:val="nil"/>
                    <w:tr2bl w:val="nil"/>
                  </w:tcBorders>
                  <w:noWrap w:val="0"/>
                  <w:vAlign w:val="center"/>
                </w:tcPr>
                <w:p w14:paraId="739A776E">
                  <w:pPr>
                    <w:widowControl w:val="0"/>
                    <w:kinsoku/>
                    <w:autoSpaceDE/>
                    <w:autoSpaceDN/>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w:t>
                  </w:r>
                </w:p>
              </w:tc>
              <w:tc>
                <w:tcPr>
                  <w:tcW w:w="807" w:type="pct"/>
                  <w:tcBorders>
                    <w:tl2br w:val="nil"/>
                    <w:tr2bl w:val="nil"/>
                  </w:tcBorders>
                  <w:noWrap w:val="0"/>
                  <w:vAlign w:val="center"/>
                </w:tcPr>
                <w:p w14:paraId="16ECF10A">
                  <w:pPr>
                    <w:keepNext w:val="0"/>
                    <w:keepLines w:val="0"/>
                    <w:widowControl/>
                    <w:suppressLineNumbers w:val="0"/>
                    <w:spacing w:line="240" w:lineRule="auto"/>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≤65</w:t>
                  </w:r>
                </w:p>
              </w:tc>
              <w:tc>
                <w:tcPr>
                  <w:tcW w:w="809" w:type="pct"/>
                  <w:tcBorders>
                    <w:tl2br w:val="nil"/>
                    <w:tr2bl w:val="nil"/>
                  </w:tcBorders>
                  <w:noWrap w:val="0"/>
                  <w:vAlign w:val="center"/>
                </w:tcPr>
                <w:p w14:paraId="2BC8BCF9">
                  <w:pPr>
                    <w:widowControl w:val="0"/>
                    <w:kinsoku/>
                    <w:autoSpaceDE/>
                    <w:autoSpaceDN/>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w:t>
                  </w:r>
                </w:p>
              </w:tc>
              <w:tc>
                <w:tcPr>
                  <w:tcW w:w="531" w:type="pct"/>
                  <w:tcBorders>
                    <w:tl2br w:val="nil"/>
                    <w:tr2bl w:val="nil"/>
                  </w:tcBorders>
                  <w:noWrap w:val="0"/>
                  <w:vAlign w:val="center"/>
                </w:tcPr>
                <w:p w14:paraId="7D0A4526">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达标</w:t>
                  </w:r>
                </w:p>
              </w:tc>
              <w:tc>
                <w:tcPr>
                  <w:tcW w:w="533" w:type="pct"/>
                  <w:tcBorders>
                    <w:tl2br w:val="nil"/>
                    <w:tr2bl w:val="nil"/>
                  </w:tcBorders>
                  <w:noWrap w:val="0"/>
                  <w:vAlign w:val="center"/>
                </w:tcPr>
                <w:p w14:paraId="37CF7407">
                  <w:pPr>
                    <w:widowControl w:val="0"/>
                    <w:kinsoku/>
                    <w:autoSpaceDE/>
                    <w:autoSpaceDN/>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color w:val="000000" w:themeColor="text1"/>
                      <w:kern w:val="2"/>
                      <w:sz w:val="21"/>
                      <w:szCs w:val="21"/>
                      <w:highlight w:val="none"/>
                      <w:lang w:val="en-US" w:eastAsia="zh-CN" w:bidi="ar-SA"/>
                      <w14:textFill>
                        <w14:solidFill>
                          <w14:schemeClr w14:val="tx1"/>
                        </w14:solidFill>
                      </w14:textFill>
                    </w:rPr>
                    <w:t>/</w:t>
                  </w:r>
                </w:p>
              </w:tc>
            </w:tr>
          </w:tbl>
          <w:p w14:paraId="3DBB9F9E">
            <w:pPr>
              <w:pStyle w:val="39"/>
              <w:keepNext w:val="0"/>
              <w:keepLines w:val="0"/>
              <w:pageBreakBefore w:val="0"/>
              <w:widowControl w:val="0"/>
              <w:kinsoku/>
              <w:wordWrap/>
              <w:overflowPunct/>
              <w:topLinePunct w:val="0"/>
              <w:autoSpaceDE/>
              <w:autoSpaceDN/>
              <w:bidi w:val="0"/>
              <w:adjustRightInd/>
              <w:snapToGrid/>
              <w:spacing w:after="0" w:line="100" w:lineRule="exact"/>
              <w:textAlignment w:val="auto"/>
              <w:rPr>
                <w:rFonts w:hint="default" w:ascii="Times New Roman" w:hAnsi="Times New Roman" w:eastAsia="宋体" w:cs="Times New Roman"/>
                <w:b/>
                <w:bCs/>
                <w:color w:val="000000" w:themeColor="text1"/>
                <w:kern w:val="0"/>
                <w:sz w:val="24"/>
                <w:highlight w:val="none"/>
                <w:lang w:eastAsia="zh-CN"/>
                <w14:textFill>
                  <w14:solidFill>
                    <w14:schemeClr w14:val="tx1"/>
                  </w14:solidFill>
                </w14:textFill>
              </w:rPr>
            </w:pPr>
          </w:p>
          <w:p w14:paraId="61940CBD">
            <w:pPr>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根据预测结果，项目</w:t>
            </w:r>
            <w:r>
              <w:rPr>
                <w:rFonts w:hint="default" w:ascii="Times New Roman" w:hAnsi="Times New Roman" w:eastAsia="宋体" w:cs="Times New Roman"/>
                <w:color w:val="000000" w:themeColor="text1"/>
                <w:sz w:val="24"/>
                <w:highlight w:val="none"/>
                <w14:textFill>
                  <w14:solidFill>
                    <w14:schemeClr w14:val="tx1"/>
                  </w14:solidFill>
                </w14:textFill>
              </w:rPr>
              <w:t>经</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采取厂房隔声、基础减震、</w:t>
            </w:r>
            <w:r>
              <w:rPr>
                <w:rFonts w:hint="default" w:ascii="Times New Roman" w:hAnsi="Times New Roman" w:eastAsia="宋体" w:cs="Times New Roman"/>
                <w:color w:val="000000" w:themeColor="text1"/>
                <w:kern w:val="0"/>
                <w:sz w:val="24"/>
                <w:highlight w:val="none"/>
                <w14:textFill>
                  <w14:solidFill>
                    <w14:schemeClr w14:val="tx1"/>
                  </w14:solidFill>
                </w14:textFill>
              </w:rPr>
              <w:t>合理布置生产设备</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等降噪措施和</w:t>
            </w:r>
            <w:r>
              <w:rPr>
                <w:rFonts w:hint="default" w:ascii="Times New Roman" w:hAnsi="Times New Roman" w:eastAsia="宋体" w:cs="Times New Roman"/>
                <w:color w:val="000000" w:themeColor="text1"/>
                <w:sz w:val="24"/>
                <w:highlight w:val="none"/>
                <w14:textFill>
                  <w14:solidFill>
                    <w14:schemeClr w14:val="tx1"/>
                  </w14:solidFill>
                </w14:textFill>
              </w:rPr>
              <w:t>距离衰减后</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项目</w:t>
            </w:r>
            <w:r>
              <w:rPr>
                <w:rFonts w:hint="eastAsia" w:cs="Times New Roman"/>
                <w:color w:val="000000" w:themeColor="text1"/>
                <w:sz w:val="24"/>
                <w:highlight w:val="none"/>
                <w:lang w:val="en-US" w:eastAsia="zh-CN"/>
                <w14:textFill>
                  <w14:solidFill>
                    <w14:schemeClr w14:val="tx1"/>
                  </w14:solidFill>
                </w14:textFill>
              </w:rPr>
              <w:t>东、南</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面</w:t>
            </w:r>
            <w:r>
              <w:rPr>
                <w:rFonts w:hint="default" w:ascii="Times New Roman" w:hAnsi="Times New Roman" w:eastAsia="宋体" w:cs="Times New Roman"/>
                <w:color w:val="000000" w:themeColor="text1"/>
                <w:sz w:val="24"/>
                <w:highlight w:val="none"/>
                <w14:textFill>
                  <w14:solidFill>
                    <w14:schemeClr w14:val="tx1"/>
                  </w14:solidFill>
                </w14:textFill>
              </w:rPr>
              <w:t>厂界噪声可达到《工业企业厂界环境噪声排放标准》（GB12348-2008）</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4</w:t>
            </w:r>
            <w:r>
              <w:rPr>
                <w:rFonts w:hint="eastAsia" w:cs="Times New Roman"/>
                <w:color w:val="000000" w:themeColor="text1"/>
                <w:sz w:val="24"/>
                <w:highlight w:val="none"/>
                <w:lang w:val="en-US" w:eastAsia="zh-CN"/>
                <w14:textFill>
                  <w14:solidFill>
                    <w14:schemeClr w14:val="tx1"/>
                  </w14:solidFill>
                </w14:textFill>
              </w:rPr>
              <w:t>a</w:t>
            </w:r>
            <w:r>
              <w:rPr>
                <w:rFonts w:hint="default" w:ascii="Times New Roman" w:hAnsi="Times New Roman" w:eastAsia="宋体" w:cs="Times New Roman"/>
                <w:color w:val="000000" w:themeColor="text1"/>
                <w:sz w:val="24"/>
                <w:highlight w:val="none"/>
                <w14:textFill>
                  <w14:solidFill>
                    <w14:schemeClr w14:val="tx1"/>
                  </w14:solidFill>
                </w14:textFill>
              </w:rPr>
              <w:t>类标准（昼间≤</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70</w:t>
            </w:r>
            <w:r>
              <w:rPr>
                <w:rFonts w:hint="default" w:ascii="Times New Roman" w:hAnsi="Times New Roman" w:eastAsia="宋体" w:cs="Times New Roman"/>
                <w:color w:val="000000" w:themeColor="text1"/>
                <w:sz w:val="24"/>
                <w:highlight w:val="none"/>
                <w14:textFill>
                  <w14:solidFill>
                    <w14:schemeClr w14:val="tx1"/>
                  </w14:solidFill>
                </w14:textFill>
              </w:rPr>
              <w:t>dB(A)）的要求</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其余</w:t>
            </w:r>
            <w:r>
              <w:rPr>
                <w:rFonts w:hint="default" w:ascii="Times New Roman" w:hAnsi="Times New Roman" w:eastAsia="宋体" w:cs="Times New Roman"/>
                <w:color w:val="000000" w:themeColor="text1"/>
                <w:sz w:val="24"/>
                <w:highlight w:val="none"/>
                <w14:textFill>
                  <w14:solidFill>
                    <w14:schemeClr w14:val="tx1"/>
                  </w14:solidFill>
                </w14:textFill>
              </w:rPr>
              <w:t>厂界噪声</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均</w:t>
            </w:r>
            <w:r>
              <w:rPr>
                <w:rFonts w:hint="default" w:ascii="Times New Roman" w:hAnsi="Times New Roman" w:eastAsia="宋体" w:cs="Times New Roman"/>
                <w:color w:val="000000" w:themeColor="text1"/>
                <w:sz w:val="24"/>
                <w:highlight w:val="none"/>
                <w14:textFill>
                  <w14:solidFill>
                    <w14:schemeClr w14:val="tx1"/>
                  </w14:solidFill>
                </w14:textFill>
              </w:rPr>
              <w:t>可达到《工业企业厂界环境噪声排放标准》（GB12348-2008）</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类标准（昼间≤6</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14:textFill>
                  <w14:solidFill>
                    <w14:schemeClr w14:val="tx1"/>
                  </w14:solidFill>
                </w14:textFill>
              </w:rPr>
              <w:t>dB(A)）的要求。</w:t>
            </w:r>
          </w:p>
          <w:p w14:paraId="3AC1FA23">
            <w:pPr>
              <w:tabs>
                <w:tab w:val="left" w:pos="3615"/>
              </w:tabs>
              <w:spacing w:line="360" w:lineRule="auto"/>
              <w:ind w:firstLine="482"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3.4噪声监测计划</w:t>
            </w:r>
          </w:p>
          <w:p w14:paraId="2FEEF8CD">
            <w:pPr>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bCs/>
                <w:snapToGrid/>
                <w:color w:val="000000" w:themeColor="text1"/>
                <w:kern w:val="0"/>
                <w:sz w:val="24"/>
                <w:szCs w:val="24"/>
                <w:highlight w:val="none"/>
                <w:lang w:val="en-US" w:eastAsia="zh-CN" w:bidi="ar-SA"/>
                <w14:textFill>
                  <w14:solidFill>
                    <w14:schemeClr w14:val="tx1"/>
                  </w14:solidFill>
                </w14:textFill>
              </w:rPr>
              <w:t>根据《排污许可证申请与核发技术规范 工业噪声》</w:t>
            </w:r>
            <w:r>
              <w:rPr>
                <w:rFonts w:hint="default" w:ascii="Times New Roman" w:hAnsi="Times New Roman" w:eastAsia="宋体" w:cs="Times New Roman"/>
                <w:bCs/>
                <w:snapToGrid/>
                <w:color w:val="000000" w:themeColor="text1"/>
                <w:kern w:val="0"/>
                <w:sz w:val="24"/>
                <w:szCs w:val="24"/>
                <w:highlight w:val="none"/>
                <w:lang w:val="en-US" w:eastAsia="zh-CN" w:bidi="ar-SA"/>
                <w14:textFill>
                  <w14:solidFill>
                    <w14:schemeClr w14:val="tx1"/>
                  </w14:solidFill>
                </w14:textFill>
              </w:rPr>
              <w:fldChar w:fldCharType="begin"/>
            </w:r>
            <w:r>
              <w:rPr>
                <w:rFonts w:hint="default" w:ascii="Times New Roman" w:hAnsi="Times New Roman" w:eastAsia="宋体" w:cs="Times New Roman"/>
                <w:bCs/>
                <w:snapToGrid/>
                <w:color w:val="000000" w:themeColor="text1"/>
                <w:kern w:val="0"/>
                <w:sz w:val="24"/>
                <w:szCs w:val="24"/>
                <w:highlight w:val="none"/>
                <w:lang w:val="en-US" w:eastAsia="zh-CN" w:bidi="ar-SA"/>
                <w14:textFill>
                  <w14:solidFill>
                    <w14:schemeClr w14:val="tx1"/>
                  </w14:solidFill>
                </w14:textFill>
              </w:rPr>
              <w:instrText xml:space="preserve"> HYPERLINK "https://www.mee.gov.cn/ywgz/fgbz/bz/bzwb/pwxk/202308/W020230919349861394526.pdf" </w:instrText>
            </w:r>
            <w:r>
              <w:rPr>
                <w:rFonts w:hint="default" w:ascii="Times New Roman" w:hAnsi="Times New Roman" w:eastAsia="宋体" w:cs="Times New Roman"/>
                <w:bCs/>
                <w:snapToGrid/>
                <w:color w:val="000000" w:themeColor="text1"/>
                <w:kern w:val="0"/>
                <w:sz w:val="24"/>
                <w:szCs w:val="24"/>
                <w:highlight w:val="none"/>
                <w:lang w:val="en-US" w:eastAsia="zh-CN" w:bidi="ar-SA"/>
                <w14:textFill>
                  <w14:solidFill>
                    <w14:schemeClr w14:val="tx1"/>
                  </w14:solidFill>
                </w14:textFill>
              </w:rPr>
              <w:fldChar w:fldCharType="separate"/>
            </w:r>
            <w:r>
              <w:rPr>
                <w:rFonts w:hint="default" w:ascii="Times New Roman" w:hAnsi="Times New Roman" w:eastAsia="宋体" w:cs="Times New Roman"/>
                <w:bCs/>
                <w:snapToGrid/>
                <w:color w:val="000000" w:themeColor="text1"/>
                <w:kern w:val="0"/>
                <w:sz w:val="24"/>
                <w:szCs w:val="24"/>
                <w:highlight w:val="none"/>
                <w:lang w:val="en-US" w:eastAsia="zh-CN" w:bidi="ar-SA"/>
                <w14:textFill>
                  <w14:solidFill>
                    <w14:schemeClr w14:val="tx1"/>
                  </w14:solidFill>
                </w14:textFill>
              </w:rPr>
              <w:t>（HJ 1301—2023）</w:t>
            </w:r>
            <w:r>
              <w:rPr>
                <w:rFonts w:hint="default" w:ascii="Times New Roman" w:hAnsi="Times New Roman" w:eastAsia="宋体" w:cs="Times New Roman"/>
                <w:bCs/>
                <w:snapToGrid/>
                <w:color w:val="000000" w:themeColor="text1"/>
                <w:kern w:val="0"/>
                <w:sz w:val="24"/>
                <w:szCs w:val="24"/>
                <w:highlight w:val="none"/>
                <w:lang w:val="en-US" w:eastAsia="zh-CN" w:bidi="ar-SA"/>
                <w14:textFill>
                  <w14:solidFill>
                    <w14:schemeClr w14:val="tx1"/>
                  </w14:solidFill>
                </w14:textFill>
              </w:rPr>
              <w:fldChar w:fldCharType="end"/>
            </w:r>
            <w:r>
              <w:rPr>
                <w:rFonts w:hint="default" w:ascii="Times New Roman" w:hAnsi="Times New Roman" w:eastAsia="宋体" w:cs="Times New Roman"/>
                <w:color w:val="000000" w:themeColor="text1"/>
                <w:sz w:val="24"/>
                <w:highlight w:val="none"/>
                <w14:textFill>
                  <w14:solidFill>
                    <w14:schemeClr w14:val="tx1"/>
                  </w14:solidFill>
                </w14:textFill>
              </w:rPr>
              <w:t>，噪声监测要求详见</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下表</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5A883189">
            <w:pPr>
              <w:keepNext/>
              <w:keepLines/>
              <w:numPr>
                <w:ilvl w:val="0"/>
                <w:numId w:val="0"/>
              </w:numPr>
              <w:suppressLineNumbers w:val="0"/>
              <w:tabs>
                <w:tab w:val="left" w:pos="0"/>
              </w:tabs>
              <w:spacing w:before="0" w:beforeAutospacing="0" w:after="0" w:afterAutospacing="0"/>
              <w:ind w:left="0" w:leftChars="0" w:right="0" w:rightChars="0" w:firstLine="40" w:firstLineChars="0"/>
              <w:jc w:val="center"/>
              <w:outlineLvl w:val="3"/>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表4-3</w:t>
            </w:r>
            <w:r>
              <w:rPr>
                <w:rFonts w:hint="eastAsia" w:cs="Times New Roman"/>
                <w:b/>
                <w:bCs/>
                <w:color w:val="000000" w:themeColor="text1"/>
                <w:kern w:val="2"/>
                <w:sz w:val="21"/>
                <w:szCs w:val="21"/>
                <w:lang w:val="en-US" w:eastAsia="zh-CN" w:bidi="ar-SA"/>
                <w14:textFill>
                  <w14:solidFill>
                    <w14:schemeClr w14:val="tx1"/>
                  </w14:solidFill>
                </w14:textFill>
              </w:rPr>
              <w:t>6</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噪声监测计划一览表</w:t>
            </w:r>
          </w:p>
          <w:tbl>
            <w:tblPr>
              <w:tblStyle w:val="44"/>
              <w:tblW w:w="4998" w:type="pct"/>
              <w:tblInd w:w="-3" w:type="dxa"/>
              <w:tblBorders>
                <w:top w:val="single" w:color="000000" w:sz="4" w:space="0"/>
                <w:left w:val="single" w:color="000000" w:sz="4" w:space="0"/>
                <w:bottom w:val="single" w:color="000000" w:sz="4" w:space="0"/>
                <w:right w:val="single" w:color="000000" w:sz="4" w:space="0"/>
                <w:insideH w:val="single" w:color="000000" w:sz="4" w:space="0"/>
                <w:insideV w:val="single" w:color="000000" w:sz="6" w:space="0"/>
              </w:tblBorders>
              <w:tblLayout w:type="fixed"/>
              <w:tblCellMar>
                <w:top w:w="0" w:type="dxa"/>
                <w:left w:w="0" w:type="dxa"/>
                <w:bottom w:w="0" w:type="dxa"/>
                <w:right w:w="0" w:type="dxa"/>
              </w:tblCellMar>
            </w:tblPr>
            <w:tblGrid>
              <w:gridCol w:w="1328"/>
              <w:gridCol w:w="1251"/>
              <w:gridCol w:w="1221"/>
              <w:gridCol w:w="1231"/>
              <w:gridCol w:w="3283"/>
            </w:tblGrid>
            <w:tr w14:paraId="2BEB0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6" w:space="0"/>
                </w:tblBorders>
                <w:tblCellMar>
                  <w:top w:w="0" w:type="dxa"/>
                  <w:left w:w="0" w:type="dxa"/>
                  <w:bottom w:w="0" w:type="dxa"/>
                  <w:right w:w="0" w:type="dxa"/>
                </w:tblCellMar>
              </w:tblPrEx>
              <w:trPr>
                <w:trHeight w:val="369" w:hRule="atLeast"/>
              </w:trPr>
              <w:tc>
                <w:tcPr>
                  <w:tcW w:w="799" w:type="pct"/>
                  <w:tcBorders>
                    <w:tl2br w:val="nil"/>
                    <w:tr2bl w:val="nil"/>
                  </w:tcBorders>
                  <w:noWrap w:val="0"/>
                  <w:vAlign w:val="center"/>
                </w:tcPr>
                <w:p w14:paraId="5E5FB3BB">
                  <w:pPr>
                    <w:widowControl/>
                    <w:jc w:val="center"/>
                    <w:textAlignment w:val="center"/>
                    <w:rPr>
                      <w:rFonts w:hint="default" w:ascii="Times New Roman" w:hAnsi="Times New Roman" w:eastAsia="宋体" w:cs="Times New Roman"/>
                      <w:b/>
                      <w:bCs/>
                      <w:color w:val="000000" w:themeColor="text1"/>
                      <w:kern w:val="0"/>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Cs w:val="21"/>
                      <w:highlight w:val="none"/>
                      <w:lang w:bidi="ar"/>
                      <w14:textFill>
                        <w14:solidFill>
                          <w14:schemeClr w14:val="tx1"/>
                        </w14:solidFill>
                      </w14:textFill>
                    </w:rPr>
                    <w:t>监测点位</w:t>
                  </w:r>
                </w:p>
              </w:tc>
              <w:tc>
                <w:tcPr>
                  <w:tcW w:w="752" w:type="pct"/>
                  <w:tcBorders>
                    <w:tl2br w:val="nil"/>
                    <w:tr2bl w:val="nil"/>
                  </w:tcBorders>
                  <w:noWrap w:val="0"/>
                  <w:vAlign w:val="center"/>
                </w:tcPr>
                <w:p w14:paraId="1BEDC50B">
                  <w:pPr>
                    <w:widowControl/>
                    <w:jc w:val="center"/>
                    <w:textAlignment w:val="center"/>
                    <w:rPr>
                      <w:rFonts w:hint="default" w:ascii="Times New Roman" w:hAnsi="Times New Roman" w:eastAsia="宋体" w:cs="Times New Roman"/>
                      <w:b/>
                      <w:bCs/>
                      <w:color w:val="000000" w:themeColor="text1"/>
                      <w:kern w:val="0"/>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Cs w:val="21"/>
                      <w:highlight w:val="none"/>
                      <w:lang w:bidi="ar"/>
                      <w14:textFill>
                        <w14:solidFill>
                          <w14:schemeClr w14:val="tx1"/>
                        </w14:solidFill>
                      </w14:textFill>
                    </w:rPr>
                    <w:t>监测指标</w:t>
                  </w:r>
                </w:p>
              </w:tc>
              <w:tc>
                <w:tcPr>
                  <w:tcW w:w="734" w:type="pct"/>
                  <w:tcBorders>
                    <w:tl2br w:val="nil"/>
                    <w:tr2bl w:val="nil"/>
                  </w:tcBorders>
                  <w:noWrap w:val="0"/>
                  <w:vAlign w:val="center"/>
                </w:tcPr>
                <w:p w14:paraId="64587E77">
                  <w:pPr>
                    <w:widowControl/>
                    <w:jc w:val="center"/>
                    <w:textAlignment w:val="center"/>
                    <w:rPr>
                      <w:rFonts w:hint="default" w:ascii="Times New Roman" w:hAnsi="Times New Roman" w:eastAsia="宋体" w:cs="Times New Roman"/>
                      <w:b/>
                      <w:bCs/>
                      <w:color w:val="000000" w:themeColor="text1"/>
                      <w:kern w:val="0"/>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Cs w:val="21"/>
                      <w:highlight w:val="none"/>
                      <w:lang w:bidi="ar"/>
                      <w14:textFill>
                        <w14:solidFill>
                          <w14:schemeClr w14:val="tx1"/>
                        </w14:solidFill>
                      </w14:textFill>
                    </w:rPr>
                    <w:t>监测时段</w:t>
                  </w:r>
                </w:p>
              </w:tc>
              <w:tc>
                <w:tcPr>
                  <w:tcW w:w="740" w:type="pct"/>
                  <w:tcBorders>
                    <w:tl2br w:val="nil"/>
                    <w:tr2bl w:val="nil"/>
                  </w:tcBorders>
                  <w:noWrap w:val="0"/>
                  <w:vAlign w:val="center"/>
                </w:tcPr>
                <w:p w14:paraId="76F2BD55">
                  <w:pPr>
                    <w:widowControl/>
                    <w:jc w:val="center"/>
                    <w:textAlignment w:val="center"/>
                    <w:rPr>
                      <w:rFonts w:hint="default" w:ascii="Times New Roman" w:hAnsi="Times New Roman" w:eastAsia="宋体" w:cs="Times New Roman"/>
                      <w:b/>
                      <w:bCs/>
                      <w:color w:val="000000" w:themeColor="text1"/>
                      <w:kern w:val="0"/>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Cs w:val="21"/>
                      <w:highlight w:val="none"/>
                      <w:lang w:bidi="ar"/>
                      <w14:textFill>
                        <w14:solidFill>
                          <w14:schemeClr w14:val="tx1"/>
                        </w14:solidFill>
                      </w14:textFill>
                    </w:rPr>
                    <w:t>监测频次</w:t>
                  </w:r>
                </w:p>
              </w:tc>
              <w:tc>
                <w:tcPr>
                  <w:tcW w:w="1974" w:type="pct"/>
                  <w:tcBorders>
                    <w:tl2br w:val="nil"/>
                    <w:tr2bl w:val="nil"/>
                  </w:tcBorders>
                  <w:noWrap w:val="0"/>
                  <w:vAlign w:val="center"/>
                </w:tcPr>
                <w:p w14:paraId="5F0B7B49">
                  <w:pPr>
                    <w:widowControl/>
                    <w:jc w:val="center"/>
                    <w:textAlignment w:val="center"/>
                    <w:rPr>
                      <w:rFonts w:hint="default" w:ascii="Times New Roman" w:hAnsi="Times New Roman" w:eastAsia="宋体" w:cs="Times New Roman"/>
                      <w:b/>
                      <w:bCs/>
                      <w:color w:val="000000" w:themeColor="text1"/>
                      <w:kern w:val="0"/>
                      <w:szCs w:val="21"/>
                      <w:highlight w:val="none"/>
                      <w:lang w:val="en-US" w:eastAsia="zh-CN" w:bidi="ar"/>
                      <w14:textFill>
                        <w14:solidFill>
                          <w14:schemeClr w14:val="tx1"/>
                        </w14:solidFill>
                      </w14:textFill>
                    </w:rPr>
                  </w:pPr>
                  <w:r>
                    <w:rPr>
                      <w:rFonts w:hint="default" w:ascii="Times New Roman" w:hAnsi="Times New Roman" w:cs="Times New Roman"/>
                      <w:b/>
                      <w:bCs/>
                      <w:color w:val="000000" w:themeColor="text1"/>
                      <w:kern w:val="0"/>
                      <w:szCs w:val="21"/>
                      <w:highlight w:val="none"/>
                      <w:lang w:val="en-US" w:eastAsia="zh-CN" w:bidi="ar"/>
                      <w14:textFill>
                        <w14:solidFill>
                          <w14:schemeClr w14:val="tx1"/>
                        </w14:solidFill>
                      </w14:textFill>
                    </w:rPr>
                    <w:t>依据</w:t>
                  </w:r>
                </w:p>
              </w:tc>
            </w:tr>
            <w:tr w14:paraId="0B812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6" w:space="0"/>
                </w:tblBorders>
                <w:tblCellMar>
                  <w:top w:w="0" w:type="dxa"/>
                  <w:left w:w="0" w:type="dxa"/>
                  <w:bottom w:w="0" w:type="dxa"/>
                  <w:right w:w="0" w:type="dxa"/>
                </w:tblCellMar>
              </w:tblPrEx>
              <w:trPr>
                <w:trHeight w:val="369" w:hRule="atLeast"/>
              </w:trPr>
              <w:tc>
                <w:tcPr>
                  <w:tcW w:w="799" w:type="pct"/>
                  <w:tcBorders>
                    <w:tl2br w:val="nil"/>
                    <w:tr2bl w:val="nil"/>
                  </w:tcBorders>
                  <w:noWrap w:val="0"/>
                  <w:vAlign w:val="center"/>
                </w:tcPr>
                <w:p w14:paraId="57B4B323">
                  <w:pPr>
                    <w:widowControl/>
                    <w:jc w:val="center"/>
                    <w:textAlignment w:val="center"/>
                    <w:rPr>
                      <w:rFonts w:hint="default" w:ascii="Times New Roman" w:hAnsi="Times New Roman" w:eastAsia="宋体" w:cs="Times New Roman"/>
                      <w:color w:val="000000" w:themeColor="text1"/>
                      <w:kern w:val="0"/>
                      <w:szCs w:val="21"/>
                      <w:highlight w:val="none"/>
                      <w:lang w:val="en-US" w:bidi="ar"/>
                      <w14:textFill>
                        <w14:solidFill>
                          <w14:schemeClr w14:val="tx1"/>
                        </w14:solidFill>
                      </w14:textFill>
                    </w:rPr>
                  </w:pPr>
                  <w:r>
                    <w:rPr>
                      <w:rFonts w:hint="default" w:ascii="Times New Roman" w:hAnsi="Times New Roman" w:cs="Times New Roman"/>
                      <w:color w:val="000000" w:themeColor="text1"/>
                      <w:kern w:val="0"/>
                      <w:szCs w:val="21"/>
                      <w:highlight w:val="none"/>
                      <w:lang w:val="en-US" w:eastAsia="zh-CN" w:bidi="ar"/>
                      <w14:textFill>
                        <w14:solidFill>
                          <w14:schemeClr w14:val="tx1"/>
                        </w14:solidFill>
                      </w14:textFill>
                    </w:rPr>
                    <w:t>厂区 各边界外1米</w:t>
                  </w:r>
                </w:p>
              </w:tc>
              <w:tc>
                <w:tcPr>
                  <w:tcW w:w="752" w:type="pct"/>
                  <w:tcBorders>
                    <w:tl2br w:val="nil"/>
                    <w:tr2bl w:val="nil"/>
                  </w:tcBorders>
                  <w:noWrap w:val="0"/>
                  <w:vAlign w:val="center"/>
                </w:tcPr>
                <w:p w14:paraId="02E9AB4C">
                  <w:pPr>
                    <w:widowControl/>
                    <w:jc w:val="center"/>
                    <w:textAlignment w:val="center"/>
                    <w:rPr>
                      <w:rFonts w:hint="default" w:ascii="Times New Roman" w:hAnsi="Times New Roman" w:eastAsia="宋体" w:cs="Times New Roman"/>
                      <w:color w:val="000000" w:themeColor="text1"/>
                      <w:kern w:val="0"/>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Cs w:val="21"/>
                      <w:highlight w:val="none"/>
                      <w:lang w:bidi="ar"/>
                      <w14:textFill>
                        <w14:solidFill>
                          <w14:schemeClr w14:val="tx1"/>
                        </w14:solidFill>
                      </w14:textFill>
                    </w:rPr>
                    <w:t>等效连续A声级</w:t>
                  </w:r>
                </w:p>
              </w:tc>
              <w:tc>
                <w:tcPr>
                  <w:tcW w:w="734" w:type="pct"/>
                  <w:tcBorders>
                    <w:tl2br w:val="nil"/>
                    <w:tr2bl w:val="nil"/>
                  </w:tcBorders>
                  <w:noWrap w:val="0"/>
                  <w:vAlign w:val="center"/>
                </w:tcPr>
                <w:p w14:paraId="32B82984">
                  <w:pPr>
                    <w:widowControl/>
                    <w:jc w:val="center"/>
                    <w:textAlignment w:val="center"/>
                    <w:rPr>
                      <w:rFonts w:hint="default" w:ascii="Times New Roman" w:hAnsi="Times New Roman" w:eastAsia="宋体" w:cs="Times New Roman"/>
                      <w:color w:val="000000" w:themeColor="text1"/>
                      <w:kern w:val="0"/>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Cs w:val="21"/>
                      <w:highlight w:val="none"/>
                      <w:lang w:bidi="ar"/>
                      <w14:textFill>
                        <w14:solidFill>
                          <w14:schemeClr w14:val="tx1"/>
                        </w14:solidFill>
                      </w14:textFill>
                    </w:rPr>
                    <w:t>昼间</w:t>
                  </w:r>
                </w:p>
              </w:tc>
              <w:tc>
                <w:tcPr>
                  <w:tcW w:w="1247" w:type="dxa"/>
                  <w:tcBorders>
                    <w:tl2br w:val="nil"/>
                    <w:tr2bl w:val="nil"/>
                  </w:tcBorders>
                  <w:noWrap w:val="0"/>
                  <w:vAlign w:val="center"/>
                </w:tcPr>
                <w:p w14:paraId="73B52783">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Cs w:val="21"/>
                      <w:highlight w:val="none"/>
                      <w:lang w:bidi="ar"/>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1次/季度</w:t>
                  </w:r>
                </w:p>
              </w:tc>
              <w:tc>
                <w:tcPr>
                  <w:tcW w:w="3326" w:type="dxa"/>
                  <w:tcBorders>
                    <w:tl2br w:val="nil"/>
                    <w:tr2bl w:val="nil"/>
                  </w:tcBorders>
                  <w:noWrap w:val="0"/>
                  <w:vAlign w:val="center"/>
                </w:tcPr>
                <w:p w14:paraId="270D14F4">
                  <w:pPr>
                    <w:pStyle w:val="88"/>
                    <w:keepNext w:val="0"/>
                    <w:keepLines w:val="0"/>
                    <w:pageBreakBefore w:val="0"/>
                    <w:suppressLineNumbers w:val="0"/>
                    <w:kinsoku/>
                    <w:wordWrap w:val="0"/>
                    <w:overflowPunct/>
                    <w:topLinePunct/>
                    <w:autoSpaceDE/>
                    <w:autoSpaceDN/>
                    <w:bidi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Cs w:val="21"/>
                      <w:highlight w:val="none"/>
                      <w:lang w:bidi="ar"/>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《排污单位自行监测技术指南 涂装》（HJ1086-2020）表4</w:t>
                  </w:r>
                </w:p>
              </w:tc>
            </w:tr>
          </w:tbl>
          <w:p w14:paraId="6AB77A0E">
            <w:pPr>
              <w:pStyle w:val="39"/>
              <w:spacing w:after="0" w:line="120" w:lineRule="auto"/>
              <w:ind w:firstLine="482"/>
              <w:rPr>
                <w:rFonts w:hint="default" w:ascii="Times New Roman" w:hAnsi="Times New Roman" w:eastAsia="宋体" w:cs="Times New Roman"/>
                <w:b/>
                <w:color w:val="000000" w:themeColor="text1"/>
                <w:szCs w:val="21"/>
                <w:highlight w:val="none"/>
                <w14:textFill>
                  <w14:solidFill>
                    <w14:schemeClr w14:val="tx1"/>
                  </w14:solidFill>
                </w14:textFill>
              </w:rPr>
            </w:pPr>
          </w:p>
          <w:p w14:paraId="5BE33848">
            <w:pPr>
              <w:pStyle w:val="39"/>
              <w:spacing w:after="0" w:line="360" w:lineRule="auto"/>
              <w:ind w:firstLine="480"/>
              <w:rPr>
                <w:rFonts w:hint="default" w:ascii="Times New Roman" w:hAnsi="Times New Roman" w:eastAsia="宋体" w:cs="Times New Roman"/>
                <w:b/>
                <w:color w:val="000000" w:themeColor="text1"/>
                <w:sz w:val="24"/>
                <w:highlight w:val="none"/>
                <w14:textFill>
                  <w14:solidFill>
                    <w14:schemeClr w14:val="tx1"/>
                  </w14:solidFill>
                </w14:textFill>
              </w:rPr>
            </w:pPr>
            <w:r>
              <w:rPr>
                <w:rFonts w:hint="default" w:ascii="Times New Roman" w:hAnsi="Times New Roman" w:eastAsia="宋体" w:cs="Times New Roman"/>
                <w:b/>
                <w:color w:val="000000" w:themeColor="text1"/>
                <w:sz w:val="24"/>
                <w:highlight w:val="none"/>
                <w14:textFill>
                  <w14:solidFill>
                    <w14:schemeClr w14:val="tx1"/>
                  </w14:solidFill>
                </w14:textFill>
              </w:rPr>
              <w:t>4、固体废物</w:t>
            </w:r>
          </w:p>
          <w:p w14:paraId="73ADA6F4">
            <w:pPr>
              <w:spacing w:line="360" w:lineRule="auto"/>
              <w:ind w:firstLine="482"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4.1、固体废物产排情况</w:t>
            </w:r>
          </w:p>
          <w:p w14:paraId="33154EF6">
            <w:pPr>
              <w:spacing w:line="360" w:lineRule="auto"/>
              <w:ind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本项目营运期产生的固体废物主要为生活垃圾</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含废油脂</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一般工业固废（边角料</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包装废料、</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沉降金属粉尘</w:t>
            </w:r>
            <w:r>
              <w:rPr>
                <w:rFonts w:hint="eastAsia" w:cs="Times New Roman"/>
                <w:color w:val="000000" w:themeColor="text1"/>
                <w:sz w:val="24"/>
                <w:szCs w:val="24"/>
                <w:highlight w:val="none"/>
                <w:lang w:val="en-US" w:eastAsia="zh-CN"/>
                <w14:textFill>
                  <w14:solidFill>
                    <w14:schemeClr w14:val="tx1"/>
                  </w14:solidFill>
                </w14:textFill>
              </w:rPr>
              <w:t>、废催化剂、废滤芯</w:t>
            </w:r>
            <w:r>
              <w:rPr>
                <w:rFonts w:hint="default" w:ascii="Times New Roman" w:hAnsi="Times New Roman" w:cs="Times New Roman"/>
                <w:color w:val="000000" w:themeColor="text1"/>
                <w:sz w:val="24"/>
                <w:szCs w:val="24"/>
                <w:highlight w:val="none"/>
                <w14:textFill>
                  <w14:solidFill>
                    <w14:schemeClr w14:val="tx1"/>
                  </w14:solidFill>
                </w14:textFill>
              </w:rPr>
              <w:t>）、危险废物（废表面处理剂包装桶</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eastAsia="zh-CN"/>
                <w14:textFill>
                  <w14:solidFill>
                    <w14:schemeClr w14:val="tx1"/>
                  </w14:solidFill>
                </w14:textFill>
              </w:rPr>
              <w:t>预处理池泥渣及管道循环装置废物</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无铬钝化池废槽液</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废水处理站污泥</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废pH调整剂包装桶</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废机油桶</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废机油</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废含油抹布手套</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废液压油桶</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废液压油</w:t>
            </w:r>
            <w:r>
              <w:rPr>
                <w:rFonts w:hint="eastAsia"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喷淋废液及沉渣</w:t>
            </w:r>
            <w:r>
              <w:rPr>
                <w:rFonts w:hint="eastAsia" w:cs="Times New Roman"/>
                <w:color w:val="000000" w:themeColor="text1"/>
                <w:sz w:val="24"/>
                <w:szCs w:val="24"/>
                <w:highlight w:val="none"/>
                <w:lang w:eastAsia="zh-CN"/>
                <w14:textFill>
                  <w14:solidFill>
                    <w14:schemeClr w14:val="tx1"/>
                  </w14:solidFill>
                </w14:textFill>
              </w:rPr>
              <w:t>、喷枪清洗废液、废原料桶、废静电喷粉滤芯、废过滤棉、废活性炭、废粉末涂料</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w:t>
            </w:r>
          </w:p>
          <w:p w14:paraId="0C5BE356">
            <w:pPr>
              <w:keepNext/>
              <w:keepLines/>
              <w:numPr>
                <w:ilvl w:val="0"/>
                <w:numId w:val="0"/>
              </w:numPr>
              <w:suppressLineNumbers w:val="0"/>
              <w:tabs>
                <w:tab w:val="left" w:pos="0"/>
              </w:tabs>
              <w:spacing w:before="0" w:beforeAutospacing="0" w:after="0" w:afterAutospacing="0"/>
              <w:ind w:left="0" w:leftChars="0" w:right="0" w:rightChars="0" w:firstLine="40" w:firstLineChars="0"/>
              <w:jc w:val="center"/>
              <w:outlineLvl w:val="3"/>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表4-3</w:t>
            </w:r>
            <w:r>
              <w:rPr>
                <w:rFonts w:hint="eastAsia" w:cs="Times New Roman"/>
                <w:b/>
                <w:bCs/>
                <w:color w:val="000000" w:themeColor="text1"/>
                <w:kern w:val="2"/>
                <w:sz w:val="21"/>
                <w:szCs w:val="21"/>
                <w:lang w:val="en-US" w:eastAsia="zh-CN" w:bidi="ar-SA"/>
                <w14:textFill>
                  <w14:solidFill>
                    <w14:schemeClr w14:val="tx1"/>
                  </w14:solidFill>
                </w14:textFill>
              </w:rPr>
              <w:t>7</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固废产排污节点、污染物及污染治理设施信息表</w:t>
            </w:r>
          </w:p>
          <w:tbl>
            <w:tblPr>
              <w:tblStyle w:val="44"/>
              <w:tblW w:w="499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35"/>
              <w:gridCol w:w="848"/>
              <w:gridCol w:w="358"/>
              <w:gridCol w:w="1404"/>
              <w:gridCol w:w="742"/>
              <w:gridCol w:w="512"/>
              <w:gridCol w:w="566"/>
              <w:gridCol w:w="805"/>
              <w:gridCol w:w="705"/>
              <w:gridCol w:w="918"/>
              <w:gridCol w:w="816"/>
            </w:tblGrid>
            <w:tr w14:paraId="3BA61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tcBorders>
                    <w:top w:val="single" w:color="000000" w:sz="4" w:space="0"/>
                    <w:left w:val="single" w:color="000000" w:sz="4" w:space="0"/>
                    <w:bottom w:val="single" w:color="000000" w:sz="4" w:space="0"/>
                    <w:right w:val="single" w:color="000000" w:sz="4" w:space="0"/>
                  </w:tcBorders>
                  <w:noWrap w:val="0"/>
                  <w:vAlign w:val="center"/>
                </w:tcPr>
                <w:p w14:paraId="7307E8C3">
                  <w:pPr>
                    <w:widowControl/>
                    <w:spacing w:line="240" w:lineRule="auto"/>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产生环节</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02393252">
                  <w:pPr>
                    <w:widowControl/>
                    <w:spacing w:line="240" w:lineRule="auto"/>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名称</w:t>
                  </w:r>
                </w:p>
              </w:tc>
              <w:tc>
                <w:tcPr>
                  <w:tcW w:w="215" w:type="pct"/>
                  <w:tcBorders>
                    <w:top w:val="single" w:color="000000" w:sz="4" w:space="0"/>
                    <w:left w:val="single" w:color="000000" w:sz="4" w:space="0"/>
                    <w:bottom w:val="single" w:color="000000" w:sz="4" w:space="0"/>
                    <w:right w:val="single" w:color="000000" w:sz="4" w:space="0"/>
                  </w:tcBorders>
                  <w:noWrap w:val="0"/>
                  <w:vAlign w:val="center"/>
                </w:tcPr>
                <w:p w14:paraId="54C19F4C">
                  <w:pPr>
                    <w:widowControl/>
                    <w:spacing w:line="240" w:lineRule="auto"/>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属性</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73ABF064">
                  <w:pPr>
                    <w:widowControl/>
                    <w:spacing w:line="240" w:lineRule="auto"/>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废物分类代码</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0013C941">
                  <w:pPr>
                    <w:widowControl/>
                    <w:spacing w:line="240" w:lineRule="auto"/>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主要有毒有害物质</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14:paraId="681F7754">
                  <w:pPr>
                    <w:widowControl/>
                    <w:spacing w:line="240" w:lineRule="auto"/>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物理性状</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1044AE37">
                  <w:pPr>
                    <w:widowControl/>
                    <w:spacing w:line="240" w:lineRule="auto"/>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环境危险特性</w:t>
                  </w:r>
                </w:p>
              </w:tc>
              <w:tc>
                <w:tcPr>
                  <w:tcW w:w="484" w:type="pct"/>
                  <w:tcBorders>
                    <w:top w:val="single" w:color="000000" w:sz="4" w:space="0"/>
                    <w:left w:val="single" w:color="000000" w:sz="4" w:space="0"/>
                    <w:bottom w:val="single" w:color="000000" w:sz="4" w:space="0"/>
                    <w:right w:val="single" w:color="000000" w:sz="4" w:space="0"/>
                  </w:tcBorders>
                  <w:noWrap w:val="0"/>
                  <w:vAlign w:val="center"/>
                </w:tcPr>
                <w:p w14:paraId="31798AC1">
                  <w:pPr>
                    <w:widowControl/>
                    <w:spacing w:line="240" w:lineRule="auto"/>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年度产生量（t/a）</w:t>
                  </w:r>
                </w:p>
              </w:tc>
              <w:tc>
                <w:tcPr>
                  <w:tcW w:w="424" w:type="pct"/>
                  <w:tcBorders>
                    <w:top w:val="single" w:color="000000" w:sz="4" w:space="0"/>
                    <w:left w:val="single" w:color="000000" w:sz="4" w:space="0"/>
                    <w:bottom w:val="single" w:color="000000" w:sz="4" w:space="0"/>
                    <w:right w:val="single" w:color="000000" w:sz="4" w:space="0"/>
                  </w:tcBorders>
                  <w:noWrap w:val="0"/>
                  <w:vAlign w:val="center"/>
                </w:tcPr>
                <w:p w14:paraId="0222FF7A">
                  <w:pPr>
                    <w:widowControl/>
                    <w:spacing w:line="240" w:lineRule="auto"/>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贮存方式</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716EF6C5">
                  <w:pPr>
                    <w:widowControl/>
                    <w:spacing w:line="240" w:lineRule="auto"/>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利用处置方式和去向</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14:paraId="70037C23">
                  <w:pPr>
                    <w:widowControl/>
                    <w:spacing w:line="240" w:lineRule="auto"/>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利用或处置量（t/a）</w:t>
                  </w:r>
                </w:p>
              </w:tc>
            </w:tr>
            <w:tr w14:paraId="168D9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vMerge w:val="restart"/>
                  <w:tcBorders>
                    <w:top w:val="single" w:color="000000" w:sz="4" w:space="0"/>
                    <w:left w:val="single" w:color="000000" w:sz="4" w:space="0"/>
                    <w:right w:val="single" w:color="000000" w:sz="4" w:space="0"/>
                  </w:tcBorders>
                  <w:noWrap w:val="0"/>
                  <w:vAlign w:val="center"/>
                </w:tcPr>
                <w:p w14:paraId="3ECFE17E">
                  <w:pPr>
                    <w:widowControl/>
                    <w:spacing w:line="240" w:lineRule="auto"/>
                    <w:jc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员工生活办公</w:t>
                  </w:r>
                </w:p>
              </w:tc>
              <w:tc>
                <w:tcPr>
                  <w:tcW w:w="510" w:type="pct"/>
                  <w:tcBorders>
                    <w:top w:val="single" w:color="000000" w:sz="4" w:space="0"/>
                    <w:left w:val="single" w:color="000000" w:sz="4" w:space="0"/>
                    <w:bottom w:val="single" w:color="auto" w:sz="4" w:space="0"/>
                    <w:right w:val="single" w:color="000000" w:sz="4" w:space="0"/>
                  </w:tcBorders>
                  <w:noWrap w:val="0"/>
                  <w:vAlign w:val="center"/>
                </w:tcPr>
                <w:p w14:paraId="40A7F461">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生活垃圾</w:t>
                  </w:r>
                </w:p>
              </w:tc>
              <w:tc>
                <w:tcPr>
                  <w:tcW w:w="215" w:type="pct"/>
                  <w:vMerge w:val="restart"/>
                  <w:tcBorders>
                    <w:top w:val="single" w:color="000000" w:sz="4" w:space="0"/>
                    <w:left w:val="single" w:color="000000" w:sz="4" w:space="0"/>
                    <w:right w:val="single" w:color="000000" w:sz="4" w:space="0"/>
                  </w:tcBorders>
                  <w:noWrap w:val="0"/>
                  <w:vAlign w:val="center"/>
                </w:tcPr>
                <w:p w14:paraId="0D5CA0F7">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生活垃圾</w:t>
                  </w:r>
                </w:p>
              </w:tc>
              <w:tc>
                <w:tcPr>
                  <w:tcW w:w="844" w:type="pct"/>
                  <w:tcBorders>
                    <w:top w:val="single" w:color="000000" w:sz="4" w:space="0"/>
                    <w:left w:val="single" w:color="000000" w:sz="4" w:space="0"/>
                    <w:bottom w:val="single" w:color="auto" w:sz="4" w:space="0"/>
                    <w:right w:val="single" w:color="000000" w:sz="4" w:space="0"/>
                  </w:tcBorders>
                  <w:noWrap w:val="0"/>
                  <w:vAlign w:val="center"/>
                </w:tcPr>
                <w:p w14:paraId="550205E5">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eastAsia="zh-CN"/>
                      <w14:textFill>
                        <w14:solidFill>
                          <w14:schemeClr w14:val="tx1"/>
                        </w14:solidFill>
                      </w14:textFill>
                    </w:rPr>
                    <w:t>900-099-S64</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113F0705">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14:paraId="354975D9">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1A91E280">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484" w:type="pct"/>
                  <w:tcBorders>
                    <w:top w:val="single" w:color="000000" w:sz="4" w:space="0"/>
                    <w:left w:val="single" w:color="000000" w:sz="4" w:space="0"/>
                    <w:bottom w:val="single" w:color="000000" w:sz="4" w:space="0"/>
                    <w:right w:val="single" w:color="000000" w:sz="4" w:space="0"/>
                  </w:tcBorders>
                  <w:noWrap w:val="0"/>
                  <w:vAlign w:val="center"/>
                </w:tcPr>
                <w:p w14:paraId="53310331">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36.15</w:t>
                  </w:r>
                </w:p>
              </w:tc>
              <w:tc>
                <w:tcPr>
                  <w:tcW w:w="424" w:type="pct"/>
                  <w:tcBorders>
                    <w:top w:val="single" w:color="000000" w:sz="4" w:space="0"/>
                    <w:left w:val="single" w:color="000000" w:sz="4" w:space="0"/>
                    <w:bottom w:val="single" w:color="auto" w:sz="4" w:space="0"/>
                    <w:right w:val="single" w:color="000000" w:sz="4" w:space="0"/>
                  </w:tcBorders>
                  <w:noWrap w:val="0"/>
                  <w:vAlign w:val="center"/>
                </w:tcPr>
                <w:p w14:paraId="11565371">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定点存放</w:t>
                  </w:r>
                </w:p>
              </w:tc>
              <w:tc>
                <w:tcPr>
                  <w:tcW w:w="552" w:type="pct"/>
                  <w:tcBorders>
                    <w:top w:val="single" w:color="000000" w:sz="4" w:space="0"/>
                    <w:left w:val="single" w:color="000000" w:sz="4" w:space="0"/>
                    <w:bottom w:val="single" w:color="auto" w:sz="4" w:space="0"/>
                    <w:right w:val="single" w:color="000000" w:sz="4" w:space="0"/>
                  </w:tcBorders>
                  <w:noWrap w:val="0"/>
                  <w:vAlign w:val="center"/>
                </w:tcPr>
                <w:p w14:paraId="73568124">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环卫部门清运</w:t>
                  </w:r>
                </w:p>
              </w:tc>
              <w:tc>
                <w:tcPr>
                  <w:tcW w:w="490" w:type="pct"/>
                  <w:tcBorders>
                    <w:top w:val="single" w:color="000000" w:sz="4" w:space="0"/>
                    <w:left w:val="single" w:color="000000" w:sz="4" w:space="0"/>
                    <w:bottom w:val="single" w:color="auto" w:sz="4" w:space="0"/>
                    <w:right w:val="single" w:color="000000" w:sz="4" w:space="0"/>
                  </w:tcBorders>
                  <w:noWrap w:val="0"/>
                  <w:vAlign w:val="center"/>
                </w:tcPr>
                <w:p w14:paraId="2889D6A6">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36.15</w:t>
                  </w:r>
                </w:p>
              </w:tc>
            </w:tr>
            <w:tr w14:paraId="0C3E1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vMerge w:val="continue"/>
                  <w:tcBorders>
                    <w:left w:val="single" w:color="000000" w:sz="4" w:space="0"/>
                    <w:bottom w:val="single" w:color="000000" w:sz="4" w:space="0"/>
                    <w:right w:val="single" w:color="000000" w:sz="4" w:space="0"/>
                  </w:tcBorders>
                  <w:noWrap w:val="0"/>
                  <w:vAlign w:val="center"/>
                </w:tcPr>
                <w:p w14:paraId="4AEE5F7E">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10" w:type="pct"/>
                  <w:tcBorders>
                    <w:top w:val="single" w:color="000000" w:sz="4" w:space="0"/>
                    <w:left w:val="single" w:color="000000" w:sz="4" w:space="0"/>
                    <w:bottom w:val="single" w:color="auto" w:sz="4" w:space="0"/>
                    <w:right w:val="single" w:color="000000" w:sz="4" w:space="0"/>
                  </w:tcBorders>
                  <w:noWrap w:val="0"/>
                  <w:vAlign w:val="center"/>
                </w:tcPr>
                <w:p w14:paraId="4299DED9">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废油脂</w:t>
                  </w:r>
                </w:p>
              </w:tc>
              <w:tc>
                <w:tcPr>
                  <w:tcW w:w="215" w:type="pct"/>
                  <w:vMerge w:val="continue"/>
                  <w:tcBorders>
                    <w:left w:val="single" w:color="000000" w:sz="4" w:space="0"/>
                    <w:bottom w:val="single" w:color="auto" w:sz="4" w:space="0"/>
                    <w:right w:val="single" w:color="000000" w:sz="4" w:space="0"/>
                  </w:tcBorders>
                  <w:noWrap w:val="0"/>
                  <w:vAlign w:val="center"/>
                </w:tcPr>
                <w:p w14:paraId="6E525D3C">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44" w:type="pct"/>
                  <w:tcBorders>
                    <w:top w:val="single" w:color="000000" w:sz="4" w:space="0"/>
                    <w:left w:val="single" w:color="000000" w:sz="4" w:space="0"/>
                    <w:bottom w:val="single" w:color="auto" w:sz="4" w:space="0"/>
                    <w:right w:val="single" w:color="000000" w:sz="4" w:space="0"/>
                  </w:tcBorders>
                  <w:noWrap w:val="0"/>
                  <w:vAlign w:val="center"/>
                </w:tcPr>
                <w:p w14:paraId="4C7FDD54">
                  <w:pPr>
                    <w:widowControl/>
                    <w:spacing w:line="240" w:lineRule="auto"/>
                    <w:jc w:val="center"/>
                    <w:rPr>
                      <w:rFonts w:hint="default" w:ascii="Times New Roman" w:hAnsi="Times New Roman" w:eastAsia="宋体" w:cs="Times New Roman"/>
                      <w:i w:val="0"/>
                      <w:iCs w:val="0"/>
                      <w:color w:val="000000" w:themeColor="text1"/>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900-002-S61</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07060FD5">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14:paraId="30EFF12B">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液态</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04BB68A3">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484" w:type="pct"/>
                  <w:tcBorders>
                    <w:top w:val="single" w:color="000000" w:sz="4" w:space="0"/>
                    <w:left w:val="single" w:color="000000" w:sz="4" w:space="0"/>
                    <w:bottom w:val="single" w:color="000000" w:sz="4" w:space="0"/>
                    <w:right w:val="single" w:color="000000" w:sz="4" w:space="0"/>
                  </w:tcBorders>
                  <w:noWrap w:val="0"/>
                  <w:vAlign w:val="center"/>
                </w:tcPr>
                <w:p w14:paraId="6706AEEB">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0.166 </w:t>
                  </w:r>
                </w:p>
              </w:tc>
              <w:tc>
                <w:tcPr>
                  <w:tcW w:w="424" w:type="pct"/>
                  <w:tcBorders>
                    <w:top w:val="single" w:color="000000" w:sz="4" w:space="0"/>
                    <w:left w:val="single" w:color="000000" w:sz="4" w:space="0"/>
                    <w:bottom w:val="single" w:color="auto" w:sz="4" w:space="0"/>
                    <w:right w:val="single" w:color="000000" w:sz="4" w:space="0"/>
                  </w:tcBorders>
                  <w:noWrap w:val="0"/>
                  <w:vAlign w:val="center"/>
                </w:tcPr>
                <w:p w14:paraId="55573DD8">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定点存放</w:t>
                  </w:r>
                </w:p>
              </w:tc>
              <w:tc>
                <w:tcPr>
                  <w:tcW w:w="552" w:type="pct"/>
                  <w:tcBorders>
                    <w:top w:val="single" w:color="000000" w:sz="4" w:space="0"/>
                    <w:left w:val="single" w:color="000000" w:sz="4" w:space="0"/>
                    <w:bottom w:val="single" w:color="auto" w:sz="4" w:space="0"/>
                    <w:right w:val="single" w:color="000000" w:sz="4" w:space="0"/>
                  </w:tcBorders>
                  <w:noWrap w:val="0"/>
                  <w:vAlign w:val="center"/>
                </w:tcPr>
                <w:p w14:paraId="13676C5D">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专业单位进行回收处置</w:t>
                  </w:r>
                </w:p>
              </w:tc>
              <w:tc>
                <w:tcPr>
                  <w:tcW w:w="490" w:type="pct"/>
                  <w:tcBorders>
                    <w:top w:val="single" w:color="000000" w:sz="4" w:space="0"/>
                    <w:left w:val="single" w:color="000000" w:sz="4" w:space="0"/>
                    <w:bottom w:val="single" w:color="auto" w:sz="4" w:space="0"/>
                    <w:right w:val="single" w:color="000000" w:sz="4" w:space="0"/>
                  </w:tcBorders>
                  <w:noWrap w:val="0"/>
                  <w:vAlign w:val="center"/>
                </w:tcPr>
                <w:p w14:paraId="38399B74">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0.166 </w:t>
                  </w:r>
                </w:p>
              </w:tc>
            </w:tr>
            <w:tr w14:paraId="3641E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tcBorders>
                    <w:top w:val="single" w:color="000000" w:sz="4" w:space="0"/>
                    <w:left w:val="single" w:color="000000" w:sz="4" w:space="0"/>
                    <w:bottom w:val="single" w:color="000000" w:sz="4" w:space="0"/>
                    <w:right w:val="single" w:color="000000" w:sz="4" w:space="0"/>
                  </w:tcBorders>
                  <w:noWrap w:val="0"/>
                  <w:vAlign w:val="center"/>
                </w:tcPr>
                <w:p w14:paraId="5F05D030">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钣金加工</w:t>
                  </w:r>
                </w:p>
              </w:tc>
              <w:tc>
                <w:tcPr>
                  <w:tcW w:w="510" w:type="pct"/>
                  <w:tcBorders>
                    <w:top w:val="single" w:color="auto" w:sz="4" w:space="0"/>
                    <w:left w:val="single" w:color="000000" w:sz="4" w:space="0"/>
                    <w:bottom w:val="single" w:color="000000" w:sz="4" w:space="0"/>
                    <w:right w:val="single" w:color="000000" w:sz="4" w:space="0"/>
                  </w:tcBorders>
                  <w:noWrap w:val="0"/>
                  <w:vAlign w:val="center"/>
                </w:tcPr>
                <w:p w14:paraId="7F1ECF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边角料</w:t>
                  </w:r>
                </w:p>
              </w:tc>
              <w:tc>
                <w:tcPr>
                  <w:tcW w:w="215" w:type="pct"/>
                  <w:vMerge w:val="restart"/>
                  <w:tcBorders>
                    <w:top w:val="single" w:color="auto" w:sz="4" w:space="0"/>
                    <w:left w:val="single" w:color="000000" w:sz="4" w:space="0"/>
                    <w:right w:val="single" w:color="000000" w:sz="4" w:space="0"/>
                  </w:tcBorders>
                  <w:noWrap w:val="0"/>
                  <w:vAlign w:val="center"/>
                </w:tcPr>
                <w:p w14:paraId="6B36FE18">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一般工业固体废物</w:t>
                  </w:r>
                </w:p>
              </w:tc>
              <w:tc>
                <w:tcPr>
                  <w:tcW w:w="844" w:type="pct"/>
                  <w:tcBorders>
                    <w:top w:val="single" w:color="auto" w:sz="4" w:space="0"/>
                    <w:left w:val="single" w:color="000000" w:sz="4" w:space="0"/>
                    <w:bottom w:val="single" w:color="000000" w:sz="4" w:space="0"/>
                    <w:right w:val="single" w:color="000000" w:sz="4" w:space="0"/>
                  </w:tcBorders>
                  <w:noWrap w:val="0"/>
                  <w:vAlign w:val="center"/>
                </w:tcPr>
                <w:p w14:paraId="27A73B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t>900-002-S17</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526A52B9">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14:paraId="1CDF21BC">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7EACB5DE">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484" w:type="pct"/>
                  <w:tcBorders>
                    <w:top w:val="single" w:color="000000" w:sz="4" w:space="0"/>
                    <w:left w:val="single" w:color="000000" w:sz="4" w:space="0"/>
                    <w:bottom w:val="single" w:color="000000" w:sz="4" w:space="0"/>
                    <w:right w:val="single" w:color="000000" w:sz="4" w:space="0"/>
                  </w:tcBorders>
                  <w:noWrap w:val="0"/>
                  <w:vAlign w:val="center"/>
                </w:tcPr>
                <w:p w14:paraId="6C8957BD">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45.395</w:t>
                  </w:r>
                </w:p>
              </w:tc>
              <w:tc>
                <w:tcPr>
                  <w:tcW w:w="424" w:type="pct"/>
                  <w:vMerge w:val="restart"/>
                  <w:tcBorders>
                    <w:top w:val="single" w:color="auto" w:sz="4" w:space="0"/>
                    <w:left w:val="single" w:color="000000" w:sz="4" w:space="0"/>
                    <w:right w:val="single" w:color="000000" w:sz="4" w:space="0"/>
                  </w:tcBorders>
                  <w:noWrap w:val="0"/>
                  <w:vAlign w:val="center"/>
                </w:tcPr>
                <w:p w14:paraId="316498B1">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固废间暂存</w:t>
                  </w:r>
                </w:p>
              </w:tc>
              <w:tc>
                <w:tcPr>
                  <w:tcW w:w="552" w:type="pct"/>
                  <w:vMerge w:val="restart"/>
                  <w:tcBorders>
                    <w:top w:val="single" w:color="auto" w:sz="4" w:space="0"/>
                    <w:left w:val="single" w:color="000000" w:sz="4" w:space="0"/>
                    <w:right w:val="single" w:color="000000" w:sz="4" w:space="0"/>
                  </w:tcBorders>
                  <w:noWrap w:val="0"/>
                  <w:vAlign w:val="center"/>
                </w:tcPr>
                <w:p w14:paraId="6C76BCFB">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交由资源回收利用单位</w:t>
                  </w:r>
                </w:p>
              </w:tc>
              <w:tc>
                <w:tcPr>
                  <w:tcW w:w="490" w:type="pct"/>
                  <w:tcBorders>
                    <w:top w:val="single" w:color="auto" w:sz="4" w:space="0"/>
                    <w:left w:val="single" w:color="000000" w:sz="4" w:space="0"/>
                    <w:bottom w:val="single" w:color="000000" w:sz="4" w:space="0"/>
                    <w:right w:val="single" w:color="000000" w:sz="4" w:space="0"/>
                  </w:tcBorders>
                  <w:noWrap w:val="0"/>
                  <w:vAlign w:val="center"/>
                </w:tcPr>
                <w:p w14:paraId="7D5FE3AA">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45.395</w:t>
                  </w:r>
                </w:p>
              </w:tc>
            </w:tr>
            <w:tr w14:paraId="3875F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tcBorders>
                    <w:top w:val="single" w:color="000000" w:sz="4" w:space="0"/>
                    <w:left w:val="single" w:color="000000" w:sz="4" w:space="0"/>
                    <w:bottom w:val="single" w:color="000000" w:sz="4" w:space="0"/>
                    <w:right w:val="single" w:color="000000" w:sz="4" w:space="0"/>
                  </w:tcBorders>
                  <w:noWrap w:val="0"/>
                  <w:vAlign w:val="center"/>
                </w:tcPr>
                <w:p w14:paraId="0E8412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辅料拆包</w:t>
                  </w:r>
                </w:p>
              </w:tc>
              <w:tc>
                <w:tcPr>
                  <w:tcW w:w="510" w:type="pct"/>
                  <w:tcBorders>
                    <w:top w:val="single" w:color="auto" w:sz="4" w:space="0"/>
                    <w:left w:val="single" w:color="000000" w:sz="4" w:space="0"/>
                    <w:bottom w:val="single" w:color="000000" w:sz="4" w:space="0"/>
                    <w:right w:val="single" w:color="000000" w:sz="4" w:space="0"/>
                  </w:tcBorders>
                  <w:noWrap w:val="0"/>
                  <w:vAlign w:val="center"/>
                </w:tcPr>
                <w:p w14:paraId="19F983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包装废料</w:t>
                  </w:r>
                </w:p>
              </w:tc>
              <w:tc>
                <w:tcPr>
                  <w:tcW w:w="215" w:type="pct"/>
                  <w:vMerge w:val="continue"/>
                  <w:tcBorders>
                    <w:left w:val="single" w:color="000000" w:sz="4" w:space="0"/>
                    <w:right w:val="single" w:color="000000" w:sz="4" w:space="0"/>
                  </w:tcBorders>
                  <w:noWrap w:val="0"/>
                  <w:vAlign w:val="center"/>
                </w:tcPr>
                <w:p w14:paraId="60E834B3">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44" w:type="pct"/>
                  <w:tcBorders>
                    <w:top w:val="single" w:color="auto" w:sz="4" w:space="0"/>
                    <w:left w:val="single" w:color="000000" w:sz="4" w:space="0"/>
                    <w:bottom w:val="single" w:color="000000" w:sz="4" w:space="0"/>
                    <w:right w:val="single" w:color="000000" w:sz="4" w:space="0"/>
                  </w:tcBorders>
                  <w:noWrap w:val="0"/>
                  <w:vAlign w:val="center"/>
                </w:tcPr>
                <w:p w14:paraId="0ECC19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eastAsia="zh-CN"/>
                      <w14:textFill>
                        <w14:solidFill>
                          <w14:schemeClr w14:val="tx1"/>
                        </w14:solidFill>
                      </w14:textFill>
                    </w:rPr>
                    <w:t>900-003-S17、</w:t>
                  </w: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900-005-S17</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567292D1">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14:paraId="16373989">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44880CD7">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484" w:type="pct"/>
                  <w:tcBorders>
                    <w:top w:val="single" w:color="000000" w:sz="4" w:space="0"/>
                    <w:left w:val="single" w:color="000000" w:sz="4" w:space="0"/>
                    <w:bottom w:val="single" w:color="000000" w:sz="4" w:space="0"/>
                    <w:right w:val="single" w:color="000000" w:sz="4" w:space="0"/>
                  </w:tcBorders>
                  <w:noWrap w:val="0"/>
                  <w:vAlign w:val="center"/>
                </w:tcPr>
                <w:p w14:paraId="6938B300">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424" w:type="pct"/>
                  <w:vMerge w:val="continue"/>
                  <w:tcBorders>
                    <w:left w:val="single" w:color="000000" w:sz="4" w:space="0"/>
                    <w:right w:val="single" w:color="000000" w:sz="4" w:space="0"/>
                  </w:tcBorders>
                  <w:noWrap w:val="0"/>
                  <w:vAlign w:val="center"/>
                </w:tcPr>
                <w:p w14:paraId="63F2FD5A">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52" w:type="pct"/>
                  <w:vMerge w:val="continue"/>
                  <w:tcBorders>
                    <w:left w:val="single" w:color="000000" w:sz="4" w:space="0"/>
                    <w:right w:val="single" w:color="000000" w:sz="4" w:space="0"/>
                  </w:tcBorders>
                  <w:noWrap w:val="0"/>
                  <w:vAlign w:val="center"/>
                </w:tcPr>
                <w:p w14:paraId="6AD2245B">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90" w:type="pct"/>
                  <w:tcBorders>
                    <w:top w:val="single" w:color="auto" w:sz="4" w:space="0"/>
                    <w:left w:val="single" w:color="000000" w:sz="4" w:space="0"/>
                    <w:bottom w:val="single" w:color="000000" w:sz="4" w:space="0"/>
                    <w:right w:val="single" w:color="000000" w:sz="4" w:space="0"/>
                  </w:tcBorders>
                  <w:noWrap w:val="0"/>
                  <w:vAlign w:val="center"/>
                </w:tcPr>
                <w:p w14:paraId="6722DBC1">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r>
            <w:tr w14:paraId="35FFB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tcBorders>
                    <w:top w:val="single" w:color="000000" w:sz="4" w:space="0"/>
                    <w:left w:val="single" w:color="000000" w:sz="4" w:space="0"/>
                    <w:right w:val="single" w:color="000000" w:sz="4" w:space="0"/>
                  </w:tcBorders>
                  <w:noWrap w:val="0"/>
                  <w:vAlign w:val="center"/>
                </w:tcPr>
                <w:p w14:paraId="6675EB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废气处理</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63B88E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沉降金属粉尘</w:t>
                  </w:r>
                </w:p>
              </w:tc>
              <w:tc>
                <w:tcPr>
                  <w:tcW w:w="215" w:type="pct"/>
                  <w:vMerge w:val="continue"/>
                  <w:tcBorders>
                    <w:left w:val="single" w:color="000000" w:sz="4" w:space="0"/>
                    <w:right w:val="single" w:color="000000" w:sz="4" w:space="0"/>
                  </w:tcBorders>
                  <w:noWrap w:val="0"/>
                  <w:vAlign w:val="center"/>
                </w:tcPr>
                <w:p w14:paraId="2B56FB5B">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BCA1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t>900-002-S17</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E6FB30">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DBDF4A">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FD8D57">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EA5A65">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11.18</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424" w:type="pct"/>
                  <w:vMerge w:val="continue"/>
                  <w:tcBorders>
                    <w:left w:val="single" w:color="000000" w:sz="4" w:space="0"/>
                    <w:right w:val="single" w:color="000000" w:sz="4" w:space="0"/>
                  </w:tcBorders>
                  <w:noWrap w:val="0"/>
                  <w:vAlign w:val="center"/>
                </w:tcPr>
                <w:p w14:paraId="7221AE5B">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552" w:type="pct"/>
                  <w:vMerge w:val="continue"/>
                  <w:tcBorders>
                    <w:left w:val="single" w:color="000000" w:sz="4" w:space="0"/>
                    <w:right w:val="single" w:color="000000" w:sz="4" w:space="0"/>
                  </w:tcBorders>
                  <w:noWrap w:val="0"/>
                  <w:vAlign w:val="center"/>
                </w:tcPr>
                <w:p w14:paraId="6E8F4390">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490" w:type="pct"/>
                  <w:tcBorders>
                    <w:top w:val="single" w:color="000000" w:sz="4" w:space="0"/>
                    <w:left w:val="single" w:color="000000" w:sz="4" w:space="0"/>
                    <w:bottom w:val="single" w:color="000000" w:sz="4" w:space="0"/>
                    <w:right w:val="single" w:color="000000" w:sz="4" w:space="0"/>
                  </w:tcBorders>
                  <w:noWrap w:val="0"/>
                  <w:vAlign w:val="center"/>
                </w:tcPr>
                <w:p w14:paraId="254AC314">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11.18</w:t>
                  </w:r>
                </w:p>
              </w:tc>
            </w:tr>
            <w:tr w14:paraId="59A67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tcBorders>
                    <w:left w:val="single" w:color="000000" w:sz="4" w:space="0"/>
                    <w:right w:val="single" w:color="000000" w:sz="4" w:space="0"/>
                  </w:tcBorders>
                  <w:noWrap w:val="0"/>
                  <w:vAlign w:val="center"/>
                </w:tcPr>
                <w:p w14:paraId="25C850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cs="Times New Roman"/>
                      <w:i w:val="0"/>
                      <w:iCs w:val="0"/>
                      <w:color w:val="000000" w:themeColor="text1"/>
                      <w:kern w:val="2"/>
                      <w:sz w:val="21"/>
                      <w:szCs w:val="21"/>
                      <w:highlight w:val="none"/>
                      <w:u w:val="none"/>
                      <w:lang w:val="en-US" w:eastAsia="zh-CN" w:bidi="ar-SA"/>
                      <w14:textFill>
                        <w14:solidFill>
                          <w14:schemeClr w14:val="tx1"/>
                        </w14:solidFill>
                      </w14:textFill>
                    </w:rPr>
                    <w:t>废气处理</w:t>
                  </w:r>
                </w:p>
              </w:tc>
              <w:tc>
                <w:tcPr>
                  <w:tcW w:w="510" w:type="pct"/>
                  <w:tcBorders>
                    <w:top w:val="single" w:color="000000" w:sz="4" w:space="0"/>
                    <w:left w:val="single" w:color="000000" w:sz="4" w:space="0"/>
                    <w:bottom w:val="single" w:color="auto" w:sz="4" w:space="0"/>
                    <w:right w:val="single" w:color="000000" w:sz="4" w:space="0"/>
                  </w:tcBorders>
                  <w:noWrap w:val="0"/>
                  <w:vAlign w:val="center"/>
                </w:tcPr>
                <w:p w14:paraId="5FC8B2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cs="Times New Roman"/>
                      <w:i w:val="0"/>
                      <w:iCs w:val="0"/>
                      <w:color w:val="000000" w:themeColor="text1"/>
                      <w:sz w:val="21"/>
                      <w:szCs w:val="21"/>
                      <w:highlight w:val="none"/>
                      <w:u w:val="none"/>
                      <w:lang w:val="en-US" w:eastAsia="zh-CN"/>
                      <w14:textFill>
                        <w14:solidFill>
                          <w14:schemeClr w14:val="tx1"/>
                        </w14:solidFill>
                      </w14:textFill>
                    </w:rPr>
                    <w:t>废滤芯</w:t>
                  </w:r>
                </w:p>
              </w:tc>
              <w:tc>
                <w:tcPr>
                  <w:tcW w:w="215" w:type="pct"/>
                  <w:vMerge w:val="continue"/>
                  <w:tcBorders>
                    <w:left w:val="single" w:color="000000" w:sz="4" w:space="0"/>
                    <w:right w:val="single" w:color="000000" w:sz="4" w:space="0"/>
                  </w:tcBorders>
                  <w:noWrap w:val="0"/>
                  <w:vAlign w:val="center"/>
                </w:tcPr>
                <w:p w14:paraId="55A42A61">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44" w:type="pct"/>
                  <w:tcBorders>
                    <w:top w:val="single" w:color="000000" w:sz="4" w:space="0"/>
                    <w:left w:val="single" w:color="000000" w:sz="4" w:space="0"/>
                    <w:bottom w:val="single" w:color="auto" w:sz="4" w:space="0"/>
                    <w:right w:val="single" w:color="000000" w:sz="4" w:space="0"/>
                  </w:tcBorders>
                  <w:noWrap w:val="0"/>
                  <w:vAlign w:val="center"/>
                </w:tcPr>
                <w:p w14:paraId="0FEB20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color w:val="000000" w:themeColor="text1"/>
                      <w14:textFill>
                        <w14:solidFill>
                          <w14:schemeClr w14:val="tx1"/>
                        </w14:solidFill>
                      </w14:textFill>
                    </w:rPr>
                    <w:t>900-099-S59</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21DCBD6F">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14:paraId="1AC9C3A9">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4433F43B">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484" w:type="pct"/>
                  <w:tcBorders>
                    <w:top w:val="single" w:color="000000" w:sz="4" w:space="0"/>
                    <w:left w:val="single" w:color="000000" w:sz="4" w:space="0"/>
                    <w:bottom w:val="single" w:color="auto" w:sz="4" w:space="0"/>
                    <w:right w:val="single" w:color="000000" w:sz="4" w:space="0"/>
                  </w:tcBorders>
                  <w:noWrap w:val="0"/>
                  <w:vAlign w:val="center"/>
                </w:tcPr>
                <w:p w14:paraId="44B1F43D">
                  <w:pPr>
                    <w:keepNext w:val="0"/>
                    <w:keepLines w:val="0"/>
                    <w:widowControl/>
                    <w:suppressLineNumbers w:val="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0.18</w:t>
                  </w:r>
                </w:p>
              </w:tc>
              <w:tc>
                <w:tcPr>
                  <w:tcW w:w="424" w:type="pct"/>
                  <w:vMerge w:val="continue"/>
                  <w:tcBorders>
                    <w:left w:val="single" w:color="000000" w:sz="4" w:space="0"/>
                    <w:right w:val="single" w:color="000000" w:sz="4" w:space="0"/>
                  </w:tcBorders>
                  <w:noWrap w:val="0"/>
                  <w:vAlign w:val="center"/>
                </w:tcPr>
                <w:p w14:paraId="0363F806">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52" w:type="pct"/>
                  <w:vMerge w:val="continue"/>
                  <w:tcBorders>
                    <w:left w:val="single" w:color="000000" w:sz="4" w:space="0"/>
                    <w:right w:val="single" w:color="000000" w:sz="4" w:space="0"/>
                  </w:tcBorders>
                  <w:noWrap w:val="0"/>
                  <w:vAlign w:val="center"/>
                </w:tcPr>
                <w:p w14:paraId="46EF937D">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90" w:type="pct"/>
                  <w:tcBorders>
                    <w:top w:val="single" w:color="000000" w:sz="4" w:space="0"/>
                    <w:left w:val="single" w:color="000000" w:sz="4" w:space="0"/>
                    <w:bottom w:val="single" w:color="000000" w:sz="4" w:space="0"/>
                    <w:right w:val="single" w:color="000000" w:sz="4" w:space="0"/>
                  </w:tcBorders>
                  <w:noWrap w:val="0"/>
                  <w:vAlign w:val="center"/>
                </w:tcPr>
                <w:p w14:paraId="30261738">
                  <w:pPr>
                    <w:keepNext w:val="0"/>
                    <w:keepLines w:val="0"/>
                    <w:widowControl/>
                    <w:suppressLineNumbers w:val="0"/>
                    <w:jc w:val="center"/>
                    <w:textAlignment w:val="center"/>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0.18</w:t>
                  </w:r>
                </w:p>
              </w:tc>
            </w:tr>
            <w:tr w14:paraId="409BB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vMerge w:val="restart"/>
                  <w:tcBorders>
                    <w:top w:val="single" w:color="000000" w:sz="4" w:space="0"/>
                    <w:left w:val="single" w:color="000000" w:sz="4" w:space="0"/>
                    <w:right w:val="single" w:color="000000" w:sz="4" w:space="0"/>
                  </w:tcBorders>
                  <w:noWrap w:val="0"/>
                  <w:vAlign w:val="center"/>
                </w:tcPr>
                <w:p w14:paraId="7660F9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脱脂、水洗、无铬钝化</w:t>
                  </w:r>
                </w:p>
              </w:tc>
              <w:tc>
                <w:tcPr>
                  <w:tcW w:w="510" w:type="pct"/>
                  <w:tcBorders>
                    <w:top w:val="single" w:color="auto" w:sz="4" w:space="0"/>
                    <w:left w:val="single" w:color="000000" w:sz="4" w:space="0"/>
                    <w:bottom w:val="single" w:color="000000" w:sz="4" w:space="0"/>
                    <w:right w:val="single" w:color="000000" w:sz="4" w:space="0"/>
                  </w:tcBorders>
                  <w:noWrap w:val="0"/>
                  <w:vAlign w:val="center"/>
                </w:tcPr>
                <w:p w14:paraId="1FE3C5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废表面处理剂包装桶</w:t>
                  </w:r>
                </w:p>
              </w:tc>
              <w:tc>
                <w:tcPr>
                  <w:tcW w:w="215" w:type="pct"/>
                  <w:vMerge w:val="restart"/>
                  <w:tcBorders>
                    <w:top w:val="single" w:color="auto" w:sz="4" w:space="0"/>
                    <w:left w:val="single" w:color="000000" w:sz="4" w:space="0"/>
                    <w:right w:val="single" w:color="000000" w:sz="4" w:space="0"/>
                  </w:tcBorders>
                  <w:noWrap w:val="0"/>
                  <w:vAlign w:val="center"/>
                </w:tcPr>
                <w:p w14:paraId="38BF89AF">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危险废物</w:t>
                  </w:r>
                </w:p>
              </w:tc>
              <w:tc>
                <w:tcPr>
                  <w:tcW w:w="844" w:type="pct"/>
                  <w:tcBorders>
                    <w:top w:val="single" w:color="auto" w:sz="4" w:space="0"/>
                    <w:left w:val="single" w:color="000000" w:sz="4" w:space="0"/>
                    <w:bottom w:val="single" w:color="000000" w:sz="4" w:space="0"/>
                    <w:right w:val="single" w:color="000000" w:sz="4" w:space="0"/>
                  </w:tcBorders>
                  <w:noWrap w:val="0"/>
                  <w:vAlign w:val="center"/>
                </w:tcPr>
                <w:p w14:paraId="126AF0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900-041-49</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7FC4C8DA">
                  <w:pPr>
                    <w:keepNext w:val="0"/>
                    <w:keepLines w:val="0"/>
                    <w:pageBreakBefore w:val="0"/>
                    <w:suppressLineNumbers w:val="0"/>
                    <w:kinsoku/>
                    <w:overflowPunct/>
                    <w:topLinePunct w:val="0"/>
                    <w:bidi w:val="0"/>
                    <w:adjustRightInd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无机酸</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14:paraId="4645D335">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2FA8ACB9">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T/In</w:t>
                  </w:r>
                </w:p>
              </w:tc>
              <w:tc>
                <w:tcPr>
                  <w:tcW w:w="484" w:type="pct"/>
                  <w:tcBorders>
                    <w:top w:val="single" w:color="auto" w:sz="4" w:space="0"/>
                    <w:left w:val="single" w:color="000000" w:sz="4" w:space="0"/>
                    <w:bottom w:val="single" w:color="000000" w:sz="4" w:space="0"/>
                    <w:right w:val="single" w:color="000000" w:sz="4" w:space="0"/>
                  </w:tcBorders>
                  <w:noWrap w:val="0"/>
                  <w:vAlign w:val="center"/>
                </w:tcPr>
                <w:p w14:paraId="4F80DADE">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1.658</w:t>
                  </w:r>
                </w:p>
              </w:tc>
              <w:tc>
                <w:tcPr>
                  <w:tcW w:w="424" w:type="pct"/>
                  <w:vMerge w:val="restart"/>
                  <w:tcBorders>
                    <w:top w:val="single" w:color="auto" w:sz="4" w:space="0"/>
                    <w:left w:val="single" w:color="000000" w:sz="4" w:space="0"/>
                    <w:right w:val="single" w:color="000000" w:sz="4" w:space="0"/>
                  </w:tcBorders>
                  <w:noWrap w:val="0"/>
                  <w:vAlign w:val="center"/>
                </w:tcPr>
                <w:p w14:paraId="41E06E11">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危废间暂存</w:t>
                  </w:r>
                </w:p>
              </w:tc>
              <w:tc>
                <w:tcPr>
                  <w:tcW w:w="552" w:type="pct"/>
                  <w:vMerge w:val="restart"/>
                  <w:tcBorders>
                    <w:top w:val="single" w:color="auto" w:sz="4" w:space="0"/>
                    <w:left w:val="single" w:color="000000" w:sz="4" w:space="0"/>
                    <w:right w:val="single" w:color="000000" w:sz="4" w:space="0"/>
                  </w:tcBorders>
                  <w:noWrap w:val="0"/>
                  <w:vAlign w:val="center"/>
                </w:tcPr>
                <w:p w14:paraId="79CB2ED0">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委托有资质的单位进行回收处理</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14:paraId="6964F154">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1.658</w:t>
                  </w:r>
                </w:p>
              </w:tc>
            </w:tr>
            <w:tr w14:paraId="6B004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vMerge w:val="continue"/>
                  <w:tcBorders>
                    <w:left w:val="single" w:color="000000" w:sz="4" w:space="0"/>
                    <w:right w:val="single" w:color="000000" w:sz="4" w:space="0"/>
                  </w:tcBorders>
                  <w:noWrap w:val="0"/>
                  <w:vAlign w:val="center"/>
                </w:tcPr>
                <w:p w14:paraId="46A28D3E">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51E10F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预处理池泥渣及管道循环装置废物</w:t>
                  </w:r>
                </w:p>
              </w:tc>
              <w:tc>
                <w:tcPr>
                  <w:tcW w:w="215" w:type="pct"/>
                  <w:vMerge w:val="continue"/>
                  <w:tcBorders>
                    <w:left w:val="single" w:color="000000" w:sz="4" w:space="0"/>
                    <w:right w:val="single" w:color="000000" w:sz="4" w:space="0"/>
                  </w:tcBorders>
                  <w:noWrap w:val="0"/>
                  <w:vAlign w:val="center"/>
                </w:tcPr>
                <w:p w14:paraId="506D6DF9">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44" w:type="pct"/>
                  <w:tcBorders>
                    <w:top w:val="single" w:color="000000" w:sz="4" w:space="0"/>
                    <w:left w:val="single" w:color="000000" w:sz="4" w:space="0"/>
                    <w:bottom w:val="single" w:color="auto" w:sz="4" w:space="0"/>
                    <w:right w:val="single" w:color="000000" w:sz="4" w:space="0"/>
                  </w:tcBorders>
                  <w:noWrap w:val="0"/>
                  <w:vAlign w:val="center"/>
                </w:tcPr>
                <w:p w14:paraId="39ABAD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336-064-17</w:t>
                  </w:r>
                </w:p>
              </w:tc>
              <w:tc>
                <w:tcPr>
                  <w:tcW w:w="446" w:type="pct"/>
                  <w:tcBorders>
                    <w:top w:val="single" w:color="000000" w:sz="4" w:space="0"/>
                    <w:left w:val="single" w:color="000000" w:sz="4" w:space="0"/>
                    <w:bottom w:val="single" w:color="auto" w:sz="4" w:space="0"/>
                    <w:right w:val="single" w:color="000000" w:sz="4" w:space="0"/>
                  </w:tcBorders>
                  <w:noWrap w:val="0"/>
                  <w:vAlign w:val="center"/>
                </w:tcPr>
                <w:p w14:paraId="48B5BD05">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泥渣</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14:paraId="249DEAC3">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液</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态</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7A31633B">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w:t>
                  </w:r>
                  <w:r>
                    <w:rPr>
                      <w:rFonts w:hint="eastAsia" w:eastAsia="宋体" w:cs="Times New Roman"/>
                      <w:color w:val="000000" w:themeColor="text1"/>
                      <w:sz w:val="21"/>
                      <w:szCs w:val="21"/>
                      <w:highlight w:val="none"/>
                      <w:lang w:val="en-US" w:eastAsia="zh-CN"/>
                      <w14:textFill>
                        <w14:solidFill>
                          <w14:schemeClr w14:val="tx1"/>
                        </w14:solidFill>
                      </w14:textFill>
                    </w:rPr>
                    <w:t>C</w:t>
                  </w:r>
                </w:p>
              </w:tc>
              <w:tc>
                <w:tcPr>
                  <w:tcW w:w="484" w:type="pct"/>
                  <w:tcBorders>
                    <w:top w:val="single" w:color="auto" w:sz="4" w:space="0"/>
                    <w:left w:val="single" w:color="000000" w:sz="4" w:space="0"/>
                    <w:bottom w:val="single" w:color="auto" w:sz="4" w:space="0"/>
                    <w:right w:val="single" w:color="000000" w:sz="4" w:space="0"/>
                  </w:tcBorders>
                  <w:noWrap w:val="0"/>
                  <w:vAlign w:val="center"/>
                </w:tcPr>
                <w:p w14:paraId="0FE71888">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w:t>
                  </w:r>
                </w:p>
              </w:tc>
              <w:tc>
                <w:tcPr>
                  <w:tcW w:w="424" w:type="pct"/>
                  <w:vMerge w:val="continue"/>
                  <w:tcBorders>
                    <w:left w:val="single" w:color="000000" w:sz="4" w:space="0"/>
                    <w:right w:val="single" w:color="000000" w:sz="4" w:space="0"/>
                  </w:tcBorders>
                  <w:noWrap w:val="0"/>
                  <w:vAlign w:val="center"/>
                </w:tcPr>
                <w:p w14:paraId="11C7D827">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52" w:type="pct"/>
                  <w:vMerge w:val="continue"/>
                  <w:tcBorders>
                    <w:left w:val="single" w:color="000000" w:sz="4" w:space="0"/>
                    <w:right w:val="single" w:color="000000" w:sz="4" w:space="0"/>
                  </w:tcBorders>
                  <w:noWrap w:val="0"/>
                  <w:vAlign w:val="center"/>
                </w:tcPr>
                <w:p w14:paraId="52DCE4B0">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90" w:type="pct"/>
                  <w:tcBorders>
                    <w:top w:val="single" w:color="000000" w:sz="4" w:space="0"/>
                    <w:left w:val="single" w:color="000000" w:sz="4" w:space="0"/>
                    <w:bottom w:val="single" w:color="auto" w:sz="4" w:space="0"/>
                    <w:right w:val="single" w:color="000000" w:sz="4" w:space="0"/>
                  </w:tcBorders>
                  <w:noWrap w:val="0"/>
                  <w:vAlign w:val="center"/>
                </w:tcPr>
                <w:p w14:paraId="78A2FF18">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w:t>
                  </w:r>
                </w:p>
              </w:tc>
            </w:tr>
            <w:tr w14:paraId="1F60E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vMerge w:val="continue"/>
                  <w:tcBorders>
                    <w:left w:val="single" w:color="000000" w:sz="4" w:space="0"/>
                    <w:bottom w:val="single" w:color="auto" w:sz="4" w:space="0"/>
                    <w:right w:val="single" w:color="000000" w:sz="4" w:space="0"/>
                  </w:tcBorders>
                  <w:noWrap w:val="0"/>
                  <w:vAlign w:val="center"/>
                </w:tcPr>
                <w:p w14:paraId="50FCB9A7">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213F90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无铬钝化池废槽液</w:t>
                  </w:r>
                </w:p>
              </w:tc>
              <w:tc>
                <w:tcPr>
                  <w:tcW w:w="215" w:type="pct"/>
                  <w:vMerge w:val="continue"/>
                  <w:tcBorders>
                    <w:left w:val="single" w:color="000000" w:sz="4" w:space="0"/>
                    <w:right w:val="single" w:color="000000" w:sz="4" w:space="0"/>
                  </w:tcBorders>
                  <w:noWrap w:val="0"/>
                  <w:vAlign w:val="center"/>
                </w:tcPr>
                <w:p w14:paraId="0304FF2D">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44" w:type="pct"/>
                  <w:tcBorders>
                    <w:top w:val="single" w:color="000000" w:sz="4" w:space="0"/>
                    <w:left w:val="single" w:color="000000" w:sz="4" w:space="0"/>
                    <w:bottom w:val="single" w:color="auto" w:sz="4" w:space="0"/>
                    <w:right w:val="single" w:color="000000" w:sz="4" w:space="0"/>
                  </w:tcBorders>
                  <w:noWrap w:val="0"/>
                  <w:vAlign w:val="center"/>
                </w:tcPr>
                <w:p w14:paraId="53D5B0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336-064-17</w:t>
                  </w:r>
                </w:p>
              </w:tc>
              <w:tc>
                <w:tcPr>
                  <w:tcW w:w="446" w:type="pct"/>
                  <w:tcBorders>
                    <w:top w:val="single" w:color="000000" w:sz="4" w:space="0"/>
                    <w:left w:val="single" w:color="000000" w:sz="4" w:space="0"/>
                    <w:bottom w:val="single" w:color="auto" w:sz="4" w:space="0"/>
                    <w:right w:val="single" w:color="000000" w:sz="4" w:space="0"/>
                  </w:tcBorders>
                  <w:noWrap w:val="0"/>
                  <w:vAlign w:val="center"/>
                </w:tcPr>
                <w:p w14:paraId="77C7A92E">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t>废槽液</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14:paraId="5EE5C406">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液态</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6CAD4746">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w:t>
                  </w:r>
                  <w:r>
                    <w:rPr>
                      <w:rFonts w:hint="eastAsia" w:eastAsia="宋体" w:cs="Times New Roman"/>
                      <w:color w:val="000000" w:themeColor="text1"/>
                      <w:sz w:val="21"/>
                      <w:szCs w:val="21"/>
                      <w:highlight w:val="none"/>
                      <w:lang w:val="en-US" w:eastAsia="zh-CN"/>
                      <w14:textFill>
                        <w14:solidFill>
                          <w14:schemeClr w14:val="tx1"/>
                        </w14:solidFill>
                      </w14:textFill>
                    </w:rPr>
                    <w:t>C</w:t>
                  </w:r>
                </w:p>
              </w:tc>
              <w:tc>
                <w:tcPr>
                  <w:tcW w:w="484" w:type="pct"/>
                  <w:tcBorders>
                    <w:top w:val="single" w:color="auto" w:sz="4" w:space="0"/>
                    <w:left w:val="single" w:color="000000" w:sz="4" w:space="0"/>
                    <w:bottom w:val="single" w:color="auto" w:sz="4" w:space="0"/>
                    <w:right w:val="single" w:color="000000" w:sz="4" w:space="0"/>
                  </w:tcBorders>
                  <w:noWrap w:val="0"/>
                  <w:vAlign w:val="center"/>
                </w:tcPr>
                <w:p w14:paraId="1ECB98F9">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44.8</w:t>
                  </w:r>
                </w:p>
              </w:tc>
              <w:tc>
                <w:tcPr>
                  <w:tcW w:w="424" w:type="pct"/>
                  <w:vMerge w:val="continue"/>
                  <w:tcBorders>
                    <w:left w:val="single" w:color="000000" w:sz="4" w:space="0"/>
                    <w:right w:val="single" w:color="000000" w:sz="4" w:space="0"/>
                  </w:tcBorders>
                  <w:noWrap w:val="0"/>
                  <w:vAlign w:val="center"/>
                </w:tcPr>
                <w:p w14:paraId="1F4543D6">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52" w:type="pct"/>
                  <w:vMerge w:val="continue"/>
                  <w:tcBorders>
                    <w:left w:val="single" w:color="000000" w:sz="4" w:space="0"/>
                    <w:right w:val="single" w:color="000000" w:sz="4" w:space="0"/>
                  </w:tcBorders>
                  <w:noWrap w:val="0"/>
                  <w:vAlign w:val="center"/>
                </w:tcPr>
                <w:p w14:paraId="5FEA774D">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90" w:type="pct"/>
                  <w:tcBorders>
                    <w:top w:val="single" w:color="000000" w:sz="4" w:space="0"/>
                    <w:left w:val="single" w:color="000000" w:sz="4" w:space="0"/>
                    <w:bottom w:val="single" w:color="auto" w:sz="4" w:space="0"/>
                    <w:right w:val="single" w:color="000000" w:sz="4" w:space="0"/>
                  </w:tcBorders>
                  <w:noWrap w:val="0"/>
                  <w:vAlign w:val="center"/>
                </w:tcPr>
                <w:p w14:paraId="55507ECA">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44.8</w:t>
                  </w:r>
                </w:p>
              </w:tc>
            </w:tr>
            <w:tr w14:paraId="74BD4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vMerge w:val="restart"/>
                  <w:tcBorders>
                    <w:top w:val="single" w:color="auto" w:sz="4" w:space="0"/>
                    <w:left w:val="single" w:color="000000" w:sz="4" w:space="0"/>
                    <w:right w:val="single" w:color="000000" w:sz="4" w:space="0"/>
                  </w:tcBorders>
                  <w:noWrap w:val="0"/>
                  <w:vAlign w:val="center"/>
                </w:tcPr>
                <w:p w14:paraId="0358AF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废水处理设施</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5FF9DF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废水处理站污泥</w:t>
                  </w:r>
                </w:p>
              </w:tc>
              <w:tc>
                <w:tcPr>
                  <w:tcW w:w="215" w:type="pct"/>
                  <w:vMerge w:val="continue"/>
                  <w:tcBorders>
                    <w:left w:val="single" w:color="000000" w:sz="4" w:space="0"/>
                    <w:right w:val="single" w:color="000000" w:sz="4" w:space="0"/>
                  </w:tcBorders>
                  <w:noWrap w:val="0"/>
                  <w:vAlign w:val="center"/>
                </w:tcPr>
                <w:p w14:paraId="6A650AD8">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44" w:type="pct"/>
                  <w:tcBorders>
                    <w:top w:val="single" w:color="000000" w:sz="4" w:space="0"/>
                    <w:left w:val="single" w:color="000000" w:sz="4" w:space="0"/>
                    <w:bottom w:val="single" w:color="auto" w:sz="4" w:space="0"/>
                    <w:right w:val="single" w:color="000000" w:sz="4" w:space="0"/>
                  </w:tcBorders>
                  <w:noWrap w:val="0"/>
                  <w:vAlign w:val="center"/>
                </w:tcPr>
                <w:p w14:paraId="66596E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336-064-17</w:t>
                  </w:r>
                </w:p>
              </w:tc>
              <w:tc>
                <w:tcPr>
                  <w:tcW w:w="446" w:type="pct"/>
                  <w:tcBorders>
                    <w:top w:val="single" w:color="000000" w:sz="4" w:space="0"/>
                    <w:left w:val="single" w:color="000000" w:sz="4" w:space="0"/>
                    <w:bottom w:val="single" w:color="auto" w:sz="4" w:space="0"/>
                    <w:right w:val="single" w:color="000000" w:sz="4" w:space="0"/>
                  </w:tcBorders>
                  <w:noWrap w:val="0"/>
                  <w:vAlign w:val="center"/>
                </w:tcPr>
                <w:p w14:paraId="35B3C784">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t>油渣</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14:paraId="1B27CEE9">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液</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态</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1481E3B3">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w:t>
                  </w:r>
                  <w:r>
                    <w:rPr>
                      <w:rFonts w:hint="eastAsia" w:eastAsia="宋体" w:cs="Times New Roman"/>
                      <w:color w:val="000000" w:themeColor="text1"/>
                      <w:sz w:val="21"/>
                      <w:szCs w:val="21"/>
                      <w:highlight w:val="none"/>
                      <w:lang w:val="en-US" w:eastAsia="zh-CN"/>
                      <w14:textFill>
                        <w14:solidFill>
                          <w14:schemeClr w14:val="tx1"/>
                        </w14:solidFill>
                      </w14:textFill>
                    </w:rPr>
                    <w:t>C</w:t>
                  </w:r>
                </w:p>
              </w:tc>
              <w:tc>
                <w:tcPr>
                  <w:tcW w:w="484" w:type="pct"/>
                  <w:tcBorders>
                    <w:top w:val="single" w:color="auto" w:sz="4" w:space="0"/>
                    <w:left w:val="single" w:color="000000" w:sz="4" w:space="0"/>
                    <w:bottom w:val="single" w:color="auto" w:sz="4" w:space="0"/>
                    <w:right w:val="single" w:color="000000" w:sz="4" w:space="0"/>
                  </w:tcBorders>
                  <w:noWrap w:val="0"/>
                  <w:vAlign w:val="center"/>
                </w:tcPr>
                <w:p w14:paraId="46971624">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1.985</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424" w:type="pct"/>
                  <w:vMerge w:val="continue"/>
                  <w:tcBorders>
                    <w:left w:val="single" w:color="000000" w:sz="4" w:space="0"/>
                    <w:right w:val="single" w:color="000000" w:sz="4" w:space="0"/>
                  </w:tcBorders>
                  <w:noWrap w:val="0"/>
                  <w:vAlign w:val="center"/>
                </w:tcPr>
                <w:p w14:paraId="197FEE14">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52" w:type="pct"/>
                  <w:vMerge w:val="continue"/>
                  <w:tcBorders>
                    <w:left w:val="single" w:color="000000" w:sz="4" w:space="0"/>
                    <w:right w:val="single" w:color="000000" w:sz="4" w:space="0"/>
                  </w:tcBorders>
                  <w:noWrap w:val="0"/>
                  <w:vAlign w:val="center"/>
                </w:tcPr>
                <w:p w14:paraId="1CA54013">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90" w:type="pct"/>
                  <w:tcBorders>
                    <w:top w:val="single" w:color="000000" w:sz="4" w:space="0"/>
                    <w:left w:val="single" w:color="000000" w:sz="4" w:space="0"/>
                    <w:bottom w:val="single" w:color="auto" w:sz="4" w:space="0"/>
                    <w:right w:val="single" w:color="000000" w:sz="4" w:space="0"/>
                  </w:tcBorders>
                  <w:noWrap w:val="0"/>
                  <w:vAlign w:val="center"/>
                </w:tcPr>
                <w:p w14:paraId="5ACAFB65">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1.985</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r w14:paraId="36C02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vMerge w:val="continue"/>
                  <w:tcBorders>
                    <w:left w:val="single" w:color="000000" w:sz="4" w:space="0"/>
                    <w:bottom w:val="single" w:color="000000" w:sz="4" w:space="0"/>
                    <w:right w:val="single" w:color="000000" w:sz="4" w:space="0"/>
                  </w:tcBorders>
                  <w:noWrap w:val="0"/>
                  <w:vAlign w:val="center"/>
                </w:tcPr>
                <w:p w14:paraId="7A9DBB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439413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废pH调整剂包装桶</w:t>
                  </w:r>
                </w:p>
              </w:tc>
              <w:tc>
                <w:tcPr>
                  <w:tcW w:w="215" w:type="pct"/>
                  <w:vMerge w:val="continue"/>
                  <w:tcBorders>
                    <w:left w:val="single" w:color="000000" w:sz="4" w:space="0"/>
                    <w:right w:val="single" w:color="000000" w:sz="4" w:space="0"/>
                  </w:tcBorders>
                  <w:noWrap w:val="0"/>
                  <w:vAlign w:val="center"/>
                </w:tcPr>
                <w:p w14:paraId="6C3BA612">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5A0DE4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900-041-49</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654833E6">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硫酸</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14:paraId="4A524A3F">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28BD8BF3">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T/In</w:t>
                  </w:r>
                </w:p>
              </w:tc>
              <w:tc>
                <w:tcPr>
                  <w:tcW w:w="484" w:type="pct"/>
                  <w:tcBorders>
                    <w:top w:val="single" w:color="000000" w:sz="4" w:space="0"/>
                    <w:left w:val="single" w:color="000000" w:sz="4" w:space="0"/>
                    <w:bottom w:val="single" w:color="000000" w:sz="4" w:space="0"/>
                    <w:right w:val="single" w:color="000000" w:sz="4" w:space="0"/>
                  </w:tcBorders>
                  <w:noWrap w:val="0"/>
                  <w:vAlign w:val="center"/>
                </w:tcPr>
                <w:p w14:paraId="23138388">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0.008</w:t>
                  </w:r>
                </w:p>
              </w:tc>
              <w:tc>
                <w:tcPr>
                  <w:tcW w:w="424" w:type="pct"/>
                  <w:vMerge w:val="continue"/>
                  <w:tcBorders>
                    <w:left w:val="single" w:color="000000" w:sz="4" w:space="0"/>
                    <w:right w:val="single" w:color="000000" w:sz="4" w:space="0"/>
                  </w:tcBorders>
                  <w:noWrap w:val="0"/>
                  <w:vAlign w:val="center"/>
                </w:tcPr>
                <w:p w14:paraId="7B2435EA">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52" w:type="pct"/>
                  <w:vMerge w:val="continue"/>
                  <w:tcBorders>
                    <w:left w:val="single" w:color="000000" w:sz="4" w:space="0"/>
                    <w:right w:val="single" w:color="000000" w:sz="4" w:space="0"/>
                  </w:tcBorders>
                  <w:noWrap w:val="0"/>
                  <w:vAlign w:val="center"/>
                </w:tcPr>
                <w:p w14:paraId="0EF60CA5">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90" w:type="pct"/>
                  <w:tcBorders>
                    <w:top w:val="single" w:color="000000" w:sz="4" w:space="0"/>
                    <w:left w:val="single" w:color="000000" w:sz="4" w:space="0"/>
                    <w:bottom w:val="single" w:color="000000" w:sz="4" w:space="0"/>
                    <w:right w:val="single" w:color="000000" w:sz="4" w:space="0"/>
                  </w:tcBorders>
                  <w:noWrap w:val="0"/>
                  <w:vAlign w:val="center"/>
                </w:tcPr>
                <w:p w14:paraId="3B27327B">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0.008</w:t>
                  </w:r>
                </w:p>
              </w:tc>
            </w:tr>
            <w:tr w14:paraId="6A0B7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vMerge w:val="restart"/>
                  <w:tcBorders>
                    <w:top w:val="single" w:color="000000" w:sz="4" w:space="0"/>
                    <w:left w:val="single" w:color="000000" w:sz="4" w:space="0"/>
                    <w:right w:val="single" w:color="000000" w:sz="4" w:space="0"/>
                  </w:tcBorders>
                  <w:noWrap w:val="0"/>
                  <w:vAlign w:val="center"/>
                </w:tcPr>
                <w:p w14:paraId="393F09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设备维护保养</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设备保养</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5B061B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废机油桶</w:t>
                  </w:r>
                </w:p>
              </w:tc>
              <w:tc>
                <w:tcPr>
                  <w:tcW w:w="215" w:type="pct"/>
                  <w:vMerge w:val="continue"/>
                  <w:tcBorders>
                    <w:left w:val="single" w:color="000000" w:sz="4" w:space="0"/>
                    <w:right w:val="single" w:color="000000" w:sz="4" w:space="0"/>
                  </w:tcBorders>
                  <w:noWrap w:val="0"/>
                  <w:vAlign w:val="center"/>
                </w:tcPr>
                <w:p w14:paraId="0CAA7F49">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266C4A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900-249-08</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1A2EC20D">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矿物油</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14:paraId="41656B1B">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79A6C53B">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w:t>
                  </w:r>
                  <w:r>
                    <w:rPr>
                      <w:rFonts w:hint="eastAsia"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I</w:t>
                  </w:r>
                </w:p>
              </w:tc>
              <w:tc>
                <w:tcPr>
                  <w:tcW w:w="484" w:type="pct"/>
                  <w:tcBorders>
                    <w:top w:val="single" w:color="000000" w:sz="4" w:space="0"/>
                    <w:left w:val="single" w:color="000000" w:sz="4" w:space="0"/>
                    <w:bottom w:val="single" w:color="000000" w:sz="4" w:space="0"/>
                    <w:right w:val="single" w:color="000000" w:sz="4" w:space="0"/>
                  </w:tcBorders>
                  <w:noWrap w:val="0"/>
                  <w:vAlign w:val="center"/>
                </w:tcPr>
                <w:p w14:paraId="2D5EFECE">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0.02</w:t>
                  </w:r>
                </w:p>
              </w:tc>
              <w:tc>
                <w:tcPr>
                  <w:tcW w:w="424" w:type="pct"/>
                  <w:vMerge w:val="continue"/>
                  <w:tcBorders>
                    <w:left w:val="single" w:color="000000" w:sz="4" w:space="0"/>
                    <w:right w:val="single" w:color="000000" w:sz="4" w:space="0"/>
                  </w:tcBorders>
                  <w:noWrap w:val="0"/>
                  <w:vAlign w:val="center"/>
                </w:tcPr>
                <w:p w14:paraId="02E49335">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52" w:type="pct"/>
                  <w:vMerge w:val="continue"/>
                  <w:tcBorders>
                    <w:left w:val="single" w:color="000000" w:sz="4" w:space="0"/>
                    <w:right w:val="single" w:color="000000" w:sz="4" w:space="0"/>
                  </w:tcBorders>
                  <w:noWrap w:val="0"/>
                  <w:vAlign w:val="center"/>
                </w:tcPr>
                <w:p w14:paraId="41FDF442">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90" w:type="pct"/>
                  <w:tcBorders>
                    <w:top w:val="single" w:color="000000" w:sz="4" w:space="0"/>
                    <w:left w:val="single" w:color="000000" w:sz="4" w:space="0"/>
                    <w:bottom w:val="single" w:color="000000" w:sz="4" w:space="0"/>
                    <w:right w:val="single" w:color="000000" w:sz="4" w:space="0"/>
                  </w:tcBorders>
                  <w:noWrap w:val="0"/>
                  <w:vAlign w:val="center"/>
                </w:tcPr>
                <w:p w14:paraId="5FC4861E">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0.02</w:t>
                  </w:r>
                </w:p>
              </w:tc>
            </w:tr>
            <w:tr w14:paraId="450C8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vMerge w:val="continue"/>
                  <w:tcBorders>
                    <w:left w:val="single" w:color="000000" w:sz="4" w:space="0"/>
                    <w:right w:val="single" w:color="000000" w:sz="4" w:space="0"/>
                  </w:tcBorders>
                  <w:noWrap w:val="0"/>
                  <w:vAlign w:val="center"/>
                </w:tcPr>
                <w:p w14:paraId="46D4E5D3">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7FCFEF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废机油</w:t>
                  </w:r>
                </w:p>
              </w:tc>
              <w:tc>
                <w:tcPr>
                  <w:tcW w:w="215" w:type="pct"/>
                  <w:vMerge w:val="continue"/>
                  <w:tcBorders>
                    <w:left w:val="single" w:color="000000" w:sz="4" w:space="0"/>
                    <w:right w:val="single" w:color="000000" w:sz="4" w:space="0"/>
                  </w:tcBorders>
                  <w:noWrap w:val="0"/>
                  <w:vAlign w:val="center"/>
                </w:tcPr>
                <w:p w14:paraId="544EF84A">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187D07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900-2</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18</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-08</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2BE241AD">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矿物油</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14:paraId="7AE5B72F">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液态</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66C48ACD">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T，I</w:t>
                  </w:r>
                </w:p>
              </w:tc>
              <w:tc>
                <w:tcPr>
                  <w:tcW w:w="484" w:type="pct"/>
                  <w:tcBorders>
                    <w:top w:val="single" w:color="000000" w:sz="4" w:space="0"/>
                    <w:left w:val="single" w:color="000000" w:sz="4" w:space="0"/>
                    <w:bottom w:val="single" w:color="000000" w:sz="4" w:space="0"/>
                    <w:right w:val="single" w:color="000000" w:sz="4" w:space="0"/>
                  </w:tcBorders>
                  <w:noWrap w:val="0"/>
                  <w:vAlign w:val="center"/>
                </w:tcPr>
                <w:p w14:paraId="5F715B6E">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w:t>
                  </w:r>
                </w:p>
              </w:tc>
              <w:tc>
                <w:tcPr>
                  <w:tcW w:w="424" w:type="pct"/>
                  <w:vMerge w:val="continue"/>
                  <w:tcBorders>
                    <w:left w:val="single" w:color="000000" w:sz="4" w:space="0"/>
                    <w:right w:val="single" w:color="000000" w:sz="4" w:space="0"/>
                  </w:tcBorders>
                  <w:noWrap w:val="0"/>
                  <w:vAlign w:val="center"/>
                </w:tcPr>
                <w:p w14:paraId="5CE8860A">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52" w:type="pct"/>
                  <w:vMerge w:val="continue"/>
                  <w:tcBorders>
                    <w:left w:val="single" w:color="000000" w:sz="4" w:space="0"/>
                    <w:right w:val="single" w:color="000000" w:sz="4" w:space="0"/>
                  </w:tcBorders>
                  <w:noWrap w:val="0"/>
                  <w:vAlign w:val="center"/>
                </w:tcPr>
                <w:p w14:paraId="46798191">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90" w:type="pct"/>
                  <w:tcBorders>
                    <w:top w:val="single" w:color="000000" w:sz="4" w:space="0"/>
                    <w:left w:val="single" w:color="000000" w:sz="4" w:space="0"/>
                    <w:bottom w:val="single" w:color="000000" w:sz="4" w:space="0"/>
                    <w:right w:val="single" w:color="000000" w:sz="4" w:space="0"/>
                  </w:tcBorders>
                  <w:noWrap w:val="0"/>
                  <w:vAlign w:val="center"/>
                </w:tcPr>
                <w:p w14:paraId="1774EC3A">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w:t>
                  </w:r>
                </w:p>
              </w:tc>
            </w:tr>
            <w:tr w14:paraId="3187C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vMerge w:val="continue"/>
                  <w:tcBorders>
                    <w:left w:val="single" w:color="000000" w:sz="4" w:space="0"/>
                    <w:right w:val="single" w:color="000000" w:sz="4" w:space="0"/>
                  </w:tcBorders>
                  <w:noWrap w:val="0"/>
                  <w:vAlign w:val="center"/>
                </w:tcPr>
                <w:p w14:paraId="55AA06D1">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00EEBB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废含油抹布手套</w:t>
                  </w:r>
                </w:p>
              </w:tc>
              <w:tc>
                <w:tcPr>
                  <w:tcW w:w="215" w:type="pct"/>
                  <w:vMerge w:val="continue"/>
                  <w:tcBorders>
                    <w:left w:val="single" w:color="000000" w:sz="4" w:space="0"/>
                    <w:right w:val="single" w:color="000000" w:sz="4" w:space="0"/>
                  </w:tcBorders>
                  <w:noWrap w:val="0"/>
                  <w:vAlign w:val="center"/>
                </w:tcPr>
                <w:p w14:paraId="39779CA6">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556435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900-041-49</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5DCFB69D">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矿物油</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14:paraId="33D931EE">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23C7AFBB">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T/In</w:t>
                  </w:r>
                </w:p>
              </w:tc>
              <w:tc>
                <w:tcPr>
                  <w:tcW w:w="484" w:type="pct"/>
                  <w:tcBorders>
                    <w:top w:val="single" w:color="000000" w:sz="4" w:space="0"/>
                    <w:left w:val="single" w:color="000000" w:sz="4" w:space="0"/>
                    <w:bottom w:val="single" w:color="000000" w:sz="4" w:space="0"/>
                    <w:right w:val="single" w:color="000000" w:sz="4" w:space="0"/>
                  </w:tcBorders>
                  <w:noWrap w:val="0"/>
                  <w:vAlign w:val="center"/>
                </w:tcPr>
                <w:p w14:paraId="56377C8B">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0.05</w:t>
                  </w:r>
                </w:p>
              </w:tc>
              <w:tc>
                <w:tcPr>
                  <w:tcW w:w="424" w:type="pct"/>
                  <w:vMerge w:val="continue"/>
                  <w:tcBorders>
                    <w:left w:val="single" w:color="000000" w:sz="4" w:space="0"/>
                    <w:right w:val="single" w:color="000000" w:sz="4" w:space="0"/>
                  </w:tcBorders>
                  <w:noWrap w:val="0"/>
                  <w:vAlign w:val="center"/>
                </w:tcPr>
                <w:p w14:paraId="51A4D61D">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52" w:type="pct"/>
                  <w:vMerge w:val="continue"/>
                  <w:tcBorders>
                    <w:left w:val="single" w:color="000000" w:sz="4" w:space="0"/>
                    <w:right w:val="single" w:color="000000" w:sz="4" w:space="0"/>
                  </w:tcBorders>
                  <w:noWrap w:val="0"/>
                  <w:vAlign w:val="center"/>
                </w:tcPr>
                <w:p w14:paraId="3366269D">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90" w:type="pct"/>
                  <w:tcBorders>
                    <w:top w:val="single" w:color="000000" w:sz="4" w:space="0"/>
                    <w:left w:val="single" w:color="000000" w:sz="4" w:space="0"/>
                    <w:bottom w:val="single" w:color="000000" w:sz="4" w:space="0"/>
                    <w:right w:val="single" w:color="000000" w:sz="4" w:space="0"/>
                  </w:tcBorders>
                  <w:noWrap w:val="0"/>
                  <w:vAlign w:val="center"/>
                </w:tcPr>
                <w:p w14:paraId="1A77E39C">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0.05</w:t>
                  </w:r>
                </w:p>
              </w:tc>
            </w:tr>
            <w:tr w14:paraId="5809D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vMerge w:val="restart"/>
                  <w:tcBorders>
                    <w:top w:val="single" w:color="000000" w:sz="4" w:space="0"/>
                    <w:left w:val="single" w:color="000000" w:sz="4" w:space="0"/>
                    <w:right w:val="single" w:color="000000" w:sz="4" w:space="0"/>
                  </w:tcBorders>
                  <w:noWrap w:val="0"/>
                  <w:vAlign w:val="center"/>
                </w:tcPr>
                <w:p w14:paraId="1078D0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钣金成型</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24BC73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废液压油桶</w:t>
                  </w:r>
                </w:p>
              </w:tc>
              <w:tc>
                <w:tcPr>
                  <w:tcW w:w="215" w:type="pct"/>
                  <w:vMerge w:val="continue"/>
                  <w:tcBorders>
                    <w:left w:val="single" w:color="000000" w:sz="4" w:space="0"/>
                    <w:right w:val="single" w:color="000000" w:sz="4" w:space="0"/>
                  </w:tcBorders>
                  <w:noWrap w:val="0"/>
                  <w:vAlign w:val="center"/>
                </w:tcPr>
                <w:p w14:paraId="38F50BD3">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321F5F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900-249-08</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3C9DC961">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矿物油</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14:paraId="67CE8943">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76D1FD6B">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T，I</w:t>
                  </w:r>
                </w:p>
              </w:tc>
              <w:tc>
                <w:tcPr>
                  <w:tcW w:w="484" w:type="pct"/>
                  <w:tcBorders>
                    <w:top w:val="single" w:color="000000" w:sz="4" w:space="0"/>
                    <w:left w:val="single" w:color="000000" w:sz="4" w:space="0"/>
                    <w:bottom w:val="single" w:color="000000" w:sz="4" w:space="0"/>
                    <w:right w:val="single" w:color="000000" w:sz="4" w:space="0"/>
                  </w:tcBorders>
                  <w:noWrap w:val="0"/>
                  <w:vAlign w:val="center"/>
                </w:tcPr>
                <w:p w14:paraId="3C689FDC">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0.015</w:t>
                  </w:r>
                </w:p>
              </w:tc>
              <w:tc>
                <w:tcPr>
                  <w:tcW w:w="424" w:type="pct"/>
                  <w:vMerge w:val="continue"/>
                  <w:tcBorders>
                    <w:left w:val="single" w:color="000000" w:sz="4" w:space="0"/>
                    <w:right w:val="single" w:color="000000" w:sz="4" w:space="0"/>
                  </w:tcBorders>
                  <w:noWrap w:val="0"/>
                  <w:vAlign w:val="center"/>
                </w:tcPr>
                <w:p w14:paraId="4C047119">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52" w:type="pct"/>
                  <w:vMerge w:val="continue"/>
                  <w:tcBorders>
                    <w:left w:val="single" w:color="000000" w:sz="4" w:space="0"/>
                    <w:right w:val="single" w:color="000000" w:sz="4" w:space="0"/>
                  </w:tcBorders>
                  <w:noWrap w:val="0"/>
                  <w:vAlign w:val="center"/>
                </w:tcPr>
                <w:p w14:paraId="5C2AD4D6">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90" w:type="pct"/>
                  <w:tcBorders>
                    <w:top w:val="single" w:color="000000" w:sz="4" w:space="0"/>
                    <w:left w:val="single" w:color="000000" w:sz="4" w:space="0"/>
                    <w:bottom w:val="single" w:color="000000" w:sz="4" w:space="0"/>
                    <w:right w:val="single" w:color="000000" w:sz="4" w:space="0"/>
                  </w:tcBorders>
                  <w:noWrap w:val="0"/>
                  <w:vAlign w:val="center"/>
                </w:tcPr>
                <w:p w14:paraId="68BA804A">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0.015</w:t>
                  </w:r>
                </w:p>
              </w:tc>
            </w:tr>
            <w:tr w14:paraId="2CC29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vMerge w:val="continue"/>
                  <w:tcBorders>
                    <w:left w:val="single" w:color="000000" w:sz="4" w:space="0"/>
                    <w:right w:val="single" w:color="000000" w:sz="4" w:space="0"/>
                  </w:tcBorders>
                  <w:noWrap w:val="0"/>
                  <w:vAlign w:val="center"/>
                </w:tcPr>
                <w:p w14:paraId="611DC2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398990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废液压油</w:t>
                  </w:r>
                </w:p>
              </w:tc>
              <w:tc>
                <w:tcPr>
                  <w:tcW w:w="215" w:type="pct"/>
                  <w:vMerge w:val="continue"/>
                  <w:tcBorders>
                    <w:left w:val="single" w:color="000000" w:sz="4" w:space="0"/>
                    <w:right w:val="single" w:color="000000" w:sz="4" w:space="0"/>
                  </w:tcBorders>
                  <w:noWrap w:val="0"/>
                  <w:vAlign w:val="center"/>
                </w:tcPr>
                <w:p w14:paraId="0C0A41B7">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2CB3DE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900-2</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18</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-08</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3DA473E8">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矿物油</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14:paraId="25EF07DF">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液态</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5A90EE89">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T，I</w:t>
                  </w:r>
                </w:p>
              </w:tc>
              <w:tc>
                <w:tcPr>
                  <w:tcW w:w="484" w:type="pct"/>
                  <w:tcBorders>
                    <w:top w:val="single" w:color="000000" w:sz="4" w:space="0"/>
                    <w:left w:val="single" w:color="000000" w:sz="4" w:space="0"/>
                    <w:bottom w:val="single" w:color="000000" w:sz="4" w:space="0"/>
                    <w:right w:val="single" w:color="000000" w:sz="4" w:space="0"/>
                  </w:tcBorders>
                  <w:noWrap w:val="0"/>
                  <w:vAlign w:val="center"/>
                </w:tcPr>
                <w:p w14:paraId="5698F16D">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w:t>
                  </w:r>
                </w:p>
              </w:tc>
              <w:tc>
                <w:tcPr>
                  <w:tcW w:w="424" w:type="pct"/>
                  <w:vMerge w:val="continue"/>
                  <w:tcBorders>
                    <w:left w:val="single" w:color="000000" w:sz="4" w:space="0"/>
                    <w:right w:val="single" w:color="000000" w:sz="4" w:space="0"/>
                  </w:tcBorders>
                  <w:noWrap w:val="0"/>
                  <w:vAlign w:val="center"/>
                </w:tcPr>
                <w:p w14:paraId="5AF31471">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52" w:type="pct"/>
                  <w:vMerge w:val="continue"/>
                  <w:tcBorders>
                    <w:left w:val="single" w:color="000000" w:sz="4" w:space="0"/>
                    <w:right w:val="single" w:color="000000" w:sz="4" w:space="0"/>
                  </w:tcBorders>
                  <w:noWrap w:val="0"/>
                  <w:vAlign w:val="center"/>
                </w:tcPr>
                <w:p w14:paraId="61D0EAA5">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90" w:type="pct"/>
                  <w:tcBorders>
                    <w:top w:val="single" w:color="000000" w:sz="4" w:space="0"/>
                    <w:left w:val="single" w:color="000000" w:sz="4" w:space="0"/>
                    <w:bottom w:val="single" w:color="000000" w:sz="4" w:space="0"/>
                    <w:right w:val="single" w:color="000000" w:sz="4" w:space="0"/>
                  </w:tcBorders>
                  <w:noWrap w:val="0"/>
                  <w:vAlign w:val="center"/>
                </w:tcPr>
                <w:p w14:paraId="5A5BD953">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w:t>
                  </w:r>
                </w:p>
              </w:tc>
            </w:tr>
            <w:tr w14:paraId="594E9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tcBorders>
                    <w:left w:val="single" w:color="000000" w:sz="4" w:space="0"/>
                    <w:right w:val="single" w:color="000000" w:sz="4" w:space="0"/>
                  </w:tcBorders>
                  <w:noWrap w:val="0"/>
                  <w:vAlign w:val="center"/>
                </w:tcPr>
                <w:p w14:paraId="6114BD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生产过程</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4E77DE9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废原料桶</w:t>
                  </w:r>
                </w:p>
              </w:tc>
              <w:tc>
                <w:tcPr>
                  <w:tcW w:w="215" w:type="pct"/>
                  <w:vMerge w:val="continue"/>
                  <w:tcBorders>
                    <w:left w:val="single" w:color="000000" w:sz="4" w:space="0"/>
                    <w:right w:val="single" w:color="000000" w:sz="4" w:space="0"/>
                  </w:tcBorders>
                  <w:noWrap w:val="0"/>
                  <w:vAlign w:val="center"/>
                </w:tcPr>
                <w:p w14:paraId="0BA0E8EC">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09FAB39B">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900-041-49</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204841D9">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有机树脂、有机溶剂</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14:paraId="5A065138">
                  <w:pPr>
                    <w:widowControl/>
                    <w:spacing w:line="240" w:lineRule="auto"/>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1D9018A9">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T/In</w:t>
                  </w:r>
                </w:p>
              </w:tc>
              <w:tc>
                <w:tcPr>
                  <w:tcW w:w="484" w:type="pct"/>
                  <w:tcBorders>
                    <w:top w:val="single" w:color="000000" w:sz="4" w:space="0"/>
                    <w:left w:val="single" w:color="000000" w:sz="4" w:space="0"/>
                    <w:bottom w:val="single" w:color="000000" w:sz="4" w:space="0"/>
                    <w:right w:val="single" w:color="000000" w:sz="4" w:space="0"/>
                  </w:tcBorders>
                  <w:noWrap w:val="0"/>
                  <w:vAlign w:val="center"/>
                </w:tcPr>
                <w:p w14:paraId="0E0EA9B2">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0.062</w:t>
                  </w:r>
                </w:p>
              </w:tc>
              <w:tc>
                <w:tcPr>
                  <w:tcW w:w="424" w:type="pct"/>
                  <w:vMerge w:val="continue"/>
                  <w:tcBorders>
                    <w:left w:val="single" w:color="000000" w:sz="4" w:space="0"/>
                    <w:right w:val="single" w:color="000000" w:sz="4" w:space="0"/>
                  </w:tcBorders>
                  <w:noWrap w:val="0"/>
                  <w:vAlign w:val="center"/>
                </w:tcPr>
                <w:p w14:paraId="64B1455D">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52" w:type="pct"/>
                  <w:vMerge w:val="continue"/>
                  <w:tcBorders>
                    <w:left w:val="single" w:color="000000" w:sz="4" w:space="0"/>
                    <w:right w:val="single" w:color="000000" w:sz="4" w:space="0"/>
                  </w:tcBorders>
                  <w:noWrap w:val="0"/>
                  <w:vAlign w:val="center"/>
                </w:tcPr>
                <w:p w14:paraId="3D7918D1">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203347">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0.062</w:t>
                  </w:r>
                </w:p>
              </w:tc>
            </w:tr>
            <w:tr w14:paraId="61C5A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tcBorders>
                    <w:left w:val="single" w:color="000000" w:sz="4" w:space="0"/>
                    <w:right w:val="single" w:color="000000" w:sz="4" w:space="0"/>
                  </w:tcBorders>
                  <w:noWrap w:val="0"/>
                  <w:vAlign w:val="center"/>
                </w:tcPr>
                <w:p w14:paraId="753844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喷漆工序</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13219F">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喷枪清洗液</w:t>
                  </w:r>
                </w:p>
              </w:tc>
              <w:tc>
                <w:tcPr>
                  <w:tcW w:w="215" w:type="pct"/>
                  <w:vMerge w:val="continue"/>
                  <w:tcBorders>
                    <w:left w:val="single" w:color="000000" w:sz="4" w:space="0"/>
                    <w:right w:val="single" w:color="000000" w:sz="4" w:space="0"/>
                  </w:tcBorders>
                  <w:shd w:val="clear" w:color="auto" w:fill="auto"/>
                  <w:noWrap w:val="0"/>
                  <w:vAlign w:val="center"/>
                </w:tcPr>
                <w:p w14:paraId="734C6A4A">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4B2372">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900-402-06</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E49301">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清洗剂</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A749B0">
                  <w:pPr>
                    <w:widowControl/>
                    <w:spacing w:line="240" w:lineRule="auto"/>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液</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态</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84822E">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color w:val="000000" w:themeColor="text1"/>
                      <w:szCs w:val="21"/>
                      <w14:textFill>
                        <w14:solidFill>
                          <w14:schemeClr w14:val="tx1"/>
                        </w14:solidFill>
                      </w14:textFill>
                    </w:rPr>
                    <w:t>T、I</w:t>
                  </w:r>
                  <w:r>
                    <w:rPr>
                      <w:rFonts w:hint="eastAsia"/>
                      <w:color w:val="000000" w:themeColor="text1"/>
                      <w:szCs w:val="21"/>
                      <w:lang w:eastAsia="zh-CN"/>
                      <w14:textFill>
                        <w14:solidFill>
                          <w14:schemeClr w14:val="tx1"/>
                        </w14:solidFill>
                      </w14:textFill>
                    </w:rPr>
                    <w:t>、</w:t>
                  </w:r>
                  <w:r>
                    <w:rPr>
                      <w:rFonts w:hint="eastAsia"/>
                      <w:color w:val="000000" w:themeColor="text1"/>
                      <w:szCs w:val="21"/>
                      <w:lang w:val="en-US" w:eastAsia="zh-CN"/>
                      <w14:textFill>
                        <w14:solidFill>
                          <w14:schemeClr w14:val="tx1"/>
                        </w14:solidFill>
                      </w14:textFill>
                    </w:rPr>
                    <w:t>R</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42B32C">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0.045 </w:t>
                  </w:r>
                </w:p>
              </w:tc>
              <w:tc>
                <w:tcPr>
                  <w:tcW w:w="424" w:type="pct"/>
                  <w:vMerge w:val="continue"/>
                  <w:tcBorders>
                    <w:left w:val="single" w:color="000000" w:sz="4" w:space="0"/>
                    <w:right w:val="single" w:color="000000" w:sz="4" w:space="0"/>
                  </w:tcBorders>
                  <w:shd w:val="clear" w:color="auto" w:fill="auto"/>
                  <w:noWrap w:val="0"/>
                  <w:vAlign w:val="center"/>
                </w:tcPr>
                <w:p w14:paraId="1B4F2CFC">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552" w:type="pct"/>
                  <w:vMerge w:val="continue"/>
                  <w:tcBorders>
                    <w:left w:val="single" w:color="000000" w:sz="4" w:space="0"/>
                    <w:right w:val="single" w:color="000000" w:sz="4" w:space="0"/>
                  </w:tcBorders>
                  <w:shd w:val="clear" w:color="auto" w:fill="auto"/>
                  <w:noWrap w:val="0"/>
                  <w:vAlign w:val="center"/>
                </w:tcPr>
                <w:p w14:paraId="1B02C122">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9EF29E">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0.045 </w:t>
                  </w:r>
                </w:p>
              </w:tc>
            </w:tr>
            <w:tr w14:paraId="3977D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tcBorders>
                    <w:left w:val="single" w:color="000000" w:sz="4" w:space="0"/>
                    <w:right w:val="single" w:color="000000" w:sz="4" w:space="0"/>
                  </w:tcBorders>
                  <w:noWrap w:val="0"/>
                  <w:vAlign w:val="center"/>
                </w:tcPr>
                <w:p w14:paraId="69DF39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喷粉工序</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05851617">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废静电喷粉滤芯</w:t>
                  </w:r>
                </w:p>
              </w:tc>
              <w:tc>
                <w:tcPr>
                  <w:tcW w:w="215" w:type="pct"/>
                  <w:vMerge w:val="continue"/>
                  <w:tcBorders>
                    <w:left w:val="single" w:color="000000" w:sz="4" w:space="0"/>
                    <w:right w:val="single" w:color="000000" w:sz="4" w:space="0"/>
                  </w:tcBorders>
                  <w:noWrap w:val="0"/>
                  <w:vAlign w:val="center"/>
                </w:tcPr>
                <w:p w14:paraId="3F35D944">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69A06D98">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900-041-49</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193C0286">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有机树脂</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14:paraId="1E6BA3F2">
                  <w:pPr>
                    <w:widowControl/>
                    <w:spacing w:line="240" w:lineRule="auto"/>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386153B4">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color w:val="000000" w:themeColor="text1"/>
                      <w:szCs w:val="21"/>
                      <w14:textFill>
                        <w14:solidFill>
                          <w14:schemeClr w14:val="tx1"/>
                        </w14:solidFill>
                      </w14:textFill>
                    </w:rPr>
                    <w:t>T</w:t>
                  </w:r>
                  <w:r>
                    <w:rPr>
                      <w:rFonts w:hint="eastAsia"/>
                      <w:color w:val="000000" w:themeColor="text1"/>
                      <w:szCs w:val="21"/>
                      <w:lang w:val="en-US" w:eastAsia="zh-CN"/>
                      <w14:textFill>
                        <w14:solidFill>
                          <w14:schemeClr w14:val="tx1"/>
                        </w14:solidFill>
                      </w14:textFill>
                    </w:rPr>
                    <w:t>/In</w:t>
                  </w:r>
                </w:p>
              </w:tc>
              <w:tc>
                <w:tcPr>
                  <w:tcW w:w="484" w:type="pct"/>
                  <w:tcBorders>
                    <w:top w:val="single" w:color="000000" w:sz="4" w:space="0"/>
                    <w:left w:val="single" w:color="000000" w:sz="4" w:space="0"/>
                    <w:bottom w:val="single" w:color="000000" w:sz="4" w:space="0"/>
                    <w:right w:val="single" w:color="000000" w:sz="4" w:space="0"/>
                  </w:tcBorders>
                  <w:noWrap w:val="0"/>
                  <w:vAlign w:val="center"/>
                </w:tcPr>
                <w:p w14:paraId="6F887E70">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0.096</w:t>
                  </w:r>
                </w:p>
              </w:tc>
              <w:tc>
                <w:tcPr>
                  <w:tcW w:w="424" w:type="pct"/>
                  <w:vMerge w:val="continue"/>
                  <w:tcBorders>
                    <w:left w:val="single" w:color="000000" w:sz="4" w:space="0"/>
                    <w:right w:val="single" w:color="000000" w:sz="4" w:space="0"/>
                  </w:tcBorders>
                  <w:noWrap w:val="0"/>
                  <w:vAlign w:val="center"/>
                </w:tcPr>
                <w:p w14:paraId="3F06129A">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52" w:type="pct"/>
                  <w:vMerge w:val="continue"/>
                  <w:tcBorders>
                    <w:left w:val="single" w:color="000000" w:sz="4" w:space="0"/>
                    <w:right w:val="single" w:color="000000" w:sz="4" w:space="0"/>
                  </w:tcBorders>
                  <w:noWrap w:val="0"/>
                  <w:vAlign w:val="center"/>
                </w:tcPr>
                <w:p w14:paraId="1999CB59">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065287">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0.096</w:t>
                  </w:r>
                </w:p>
              </w:tc>
            </w:tr>
            <w:tr w14:paraId="6729F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vMerge w:val="restart"/>
                  <w:tcBorders>
                    <w:left w:val="single" w:color="000000" w:sz="4" w:space="0"/>
                    <w:right w:val="single" w:color="000000" w:sz="4" w:space="0"/>
                  </w:tcBorders>
                  <w:noWrap w:val="0"/>
                  <w:vAlign w:val="center"/>
                </w:tcPr>
                <w:p w14:paraId="49EE49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废气处理</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66C2515B">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废过滤棉</w:t>
                  </w:r>
                </w:p>
              </w:tc>
              <w:tc>
                <w:tcPr>
                  <w:tcW w:w="215" w:type="pct"/>
                  <w:vMerge w:val="continue"/>
                  <w:tcBorders>
                    <w:left w:val="single" w:color="000000" w:sz="4" w:space="0"/>
                    <w:right w:val="single" w:color="000000" w:sz="4" w:space="0"/>
                  </w:tcBorders>
                  <w:noWrap w:val="0"/>
                  <w:vAlign w:val="center"/>
                </w:tcPr>
                <w:p w14:paraId="25F113C8">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35D93A70">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900-041-49</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6B4C3423">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有机物</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14:paraId="73770198">
                  <w:pPr>
                    <w:widowControl/>
                    <w:spacing w:line="240" w:lineRule="auto"/>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477FE0D2">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color w:val="000000" w:themeColor="text1"/>
                      <w:szCs w:val="21"/>
                      <w14:textFill>
                        <w14:solidFill>
                          <w14:schemeClr w14:val="tx1"/>
                        </w14:solidFill>
                      </w14:textFill>
                    </w:rPr>
                    <w:t>T</w:t>
                  </w:r>
                  <w:r>
                    <w:rPr>
                      <w:rFonts w:hint="eastAsia"/>
                      <w:color w:val="000000" w:themeColor="text1"/>
                      <w:szCs w:val="21"/>
                      <w:lang w:val="en-US" w:eastAsia="zh-CN"/>
                      <w14:textFill>
                        <w14:solidFill>
                          <w14:schemeClr w14:val="tx1"/>
                        </w14:solidFill>
                      </w14:textFill>
                    </w:rPr>
                    <w:t>/In</w:t>
                  </w:r>
                </w:p>
              </w:tc>
              <w:tc>
                <w:tcPr>
                  <w:tcW w:w="484" w:type="pct"/>
                  <w:tcBorders>
                    <w:top w:val="single" w:color="000000" w:sz="4" w:space="0"/>
                    <w:left w:val="single" w:color="000000" w:sz="4" w:space="0"/>
                    <w:bottom w:val="single" w:color="000000" w:sz="4" w:space="0"/>
                    <w:right w:val="single" w:color="000000" w:sz="4" w:space="0"/>
                  </w:tcBorders>
                  <w:noWrap w:val="0"/>
                  <w:vAlign w:val="center"/>
                </w:tcPr>
                <w:p w14:paraId="6AE829AE">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0.12</w:t>
                  </w:r>
                </w:p>
              </w:tc>
              <w:tc>
                <w:tcPr>
                  <w:tcW w:w="424" w:type="pct"/>
                  <w:vMerge w:val="continue"/>
                  <w:tcBorders>
                    <w:left w:val="single" w:color="000000" w:sz="4" w:space="0"/>
                    <w:right w:val="single" w:color="000000" w:sz="4" w:space="0"/>
                  </w:tcBorders>
                  <w:noWrap w:val="0"/>
                  <w:vAlign w:val="center"/>
                </w:tcPr>
                <w:p w14:paraId="1C8F95F2">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52" w:type="pct"/>
                  <w:vMerge w:val="continue"/>
                  <w:tcBorders>
                    <w:left w:val="single" w:color="000000" w:sz="4" w:space="0"/>
                    <w:right w:val="single" w:color="000000" w:sz="4" w:space="0"/>
                  </w:tcBorders>
                  <w:noWrap w:val="0"/>
                  <w:vAlign w:val="center"/>
                </w:tcPr>
                <w:p w14:paraId="24D707F7">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F1E8E3">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0.12</w:t>
                  </w:r>
                </w:p>
              </w:tc>
            </w:tr>
            <w:tr w14:paraId="06492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vMerge w:val="continue"/>
                  <w:tcBorders>
                    <w:left w:val="single" w:color="000000" w:sz="4" w:space="0"/>
                    <w:right w:val="single" w:color="000000" w:sz="4" w:space="0"/>
                  </w:tcBorders>
                  <w:noWrap w:val="0"/>
                  <w:vAlign w:val="center"/>
                </w:tcPr>
                <w:p w14:paraId="004751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5B2A142D">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废活性炭</w:t>
                  </w:r>
                </w:p>
              </w:tc>
              <w:tc>
                <w:tcPr>
                  <w:tcW w:w="215" w:type="pct"/>
                  <w:vMerge w:val="continue"/>
                  <w:tcBorders>
                    <w:left w:val="single" w:color="000000" w:sz="4" w:space="0"/>
                    <w:right w:val="single" w:color="000000" w:sz="4" w:space="0"/>
                  </w:tcBorders>
                  <w:noWrap w:val="0"/>
                  <w:vAlign w:val="center"/>
                </w:tcPr>
                <w:p w14:paraId="1BB4D3DD">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50FC1609">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900-039-49</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5000CDBA">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活性炭</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14:paraId="1413B31B">
                  <w:pPr>
                    <w:widowControl/>
                    <w:spacing w:line="240" w:lineRule="auto"/>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44909C69">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color w:val="000000" w:themeColor="text1"/>
                      <w:szCs w:val="21"/>
                      <w14:textFill>
                        <w14:solidFill>
                          <w14:schemeClr w14:val="tx1"/>
                        </w14:solidFill>
                      </w14:textFill>
                    </w:rPr>
                    <w:t>T</w:t>
                  </w:r>
                </w:p>
              </w:tc>
              <w:tc>
                <w:tcPr>
                  <w:tcW w:w="484" w:type="pct"/>
                  <w:tcBorders>
                    <w:top w:val="single" w:color="000000" w:sz="4" w:space="0"/>
                    <w:left w:val="single" w:color="000000" w:sz="4" w:space="0"/>
                    <w:bottom w:val="single" w:color="000000" w:sz="4" w:space="0"/>
                    <w:right w:val="single" w:color="000000" w:sz="4" w:space="0"/>
                  </w:tcBorders>
                  <w:noWrap w:val="0"/>
                  <w:vAlign w:val="center"/>
                </w:tcPr>
                <w:p w14:paraId="6F294FB9">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29.027</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424" w:type="pct"/>
                  <w:vMerge w:val="continue"/>
                  <w:tcBorders>
                    <w:left w:val="single" w:color="000000" w:sz="4" w:space="0"/>
                    <w:right w:val="single" w:color="000000" w:sz="4" w:space="0"/>
                  </w:tcBorders>
                  <w:noWrap w:val="0"/>
                  <w:vAlign w:val="center"/>
                </w:tcPr>
                <w:p w14:paraId="2EA4CF10">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52" w:type="pct"/>
                  <w:vMerge w:val="continue"/>
                  <w:tcBorders>
                    <w:left w:val="single" w:color="000000" w:sz="4" w:space="0"/>
                    <w:right w:val="single" w:color="000000" w:sz="4" w:space="0"/>
                  </w:tcBorders>
                  <w:noWrap w:val="0"/>
                  <w:vAlign w:val="center"/>
                </w:tcPr>
                <w:p w14:paraId="68349A9C">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5BFA3E">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29.027</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r w14:paraId="0356A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tcBorders>
                    <w:left w:val="single" w:color="000000" w:sz="4" w:space="0"/>
                    <w:right w:val="single" w:color="000000" w:sz="4" w:space="0"/>
                  </w:tcBorders>
                  <w:shd w:val="clear" w:color="auto" w:fill="auto"/>
                  <w:noWrap w:val="0"/>
                  <w:vAlign w:val="center"/>
                </w:tcPr>
                <w:p w14:paraId="33BD52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喷粉工序</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EA3E9B">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废粉末涂料</w:t>
                  </w:r>
                </w:p>
              </w:tc>
              <w:tc>
                <w:tcPr>
                  <w:tcW w:w="215" w:type="pct"/>
                  <w:vMerge w:val="continue"/>
                  <w:tcBorders>
                    <w:left w:val="single" w:color="000000" w:sz="4" w:space="0"/>
                    <w:right w:val="single" w:color="000000" w:sz="4" w:space="0"/>
                  </w:tcBorders>
                  <w:noWrap w:val="0"/>
                  <w:vAlign w:val="center"/>
                </w:tcPr>
                <w:p w14:paraId="1B526447">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753F4C">
                  <w:pPr>
                    <w:pStyle w:val="109"/>
                    <w:pageBreakBefore w:val="0"/>
                    <w:tabs>
                      <w:tab w:val="left" w:pos="-2848"/>
                    </w:tabs>
                    <w:wordWrap w:val="0"/>
                    <w:topLinePunct/>
                    <w:bidi w:val="0"/>
                    <w:spacing w:beforeAutospacing="0" w:afterAutospacing="0"/>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待鉴定</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77258F">
                  <w:pPr>
                    <w:widowControl/>
                    <w:spacing w:line="240" w:lineRule="auto"/>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有机树脂</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B85272">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5FC2D7">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color w:val="000000" w:themeColor="text1"/>
                      <w:szCs w:val="21"/>
                      <w14:textFill>
                        <w14:solidFill>
                          <w14:schemeClr w14:val="tx1"/>
                        </w14:solidFill>
                      </w14:textFill>
                    </w:rPr>
                    <w:t>T</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34AC83">
                  <w:pPr>
                    <w:keepNext w:val="0"/>
                    <w:keepLines w:val="0"/>
                    <w:widowControl/>
                    <w:suppressLineNumbers w:val="0"/>
                    <w:jc w:val="center"/>
                    <w:textAlignment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3.593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424" w:type="pct"/>
                  <w:vMerge w:val="continue"/>
                  <w:tcBorders>
                    <w:left w:val="single" w:color="000000" w:sz="4" w:space="0"/>
                    <w:right w:val="single" w:color="000000" w:sz="4" w:space="0"/>
                  </w:tcBorders>
                  <w:noWrap w:val="0"/>
                  <w:vAlign w:val="center"/>
                </w:tcPr>
                <w:p w14:paraId="30108725">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52" w:type="pct"/>
                  <w:vMerge w:val="continue"/>
                  <w:tcBorders>
                    <w:left w:val="single" w:color="000000" w:sz="4" w:space="0"/>
                    <w:right w:val="single" w:color="000000" w:sz="4" w:space="0"/>
                  </w:tcBorders>
                  <w:noWrap w:val="0"/>
                  <w:vAlign w:val="center"/>
                </w:tcPr>
                <w:p w14:paraId="087609AD">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049FB6">
                  <w:pPr>
                    <w:keepNext w:val="0"/>
                    <w:keepLines w:val="0"/>
                    <w:widowControl/>
                    <w:suppressLineNumbers w:val="0"/>
                    <w:jc w:val="center"/>
                    <w:textAlignment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3.593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r w14:paraId="1C493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vMerge w:val="restart"/>
                  <w:tcBorders>
                    <w:left w:val="single" w:color="000000" w:sz="4" w:space="0"/>
                    <w:right w:val="single" w:color="000000" w:sz="4" w:space="0"/>
                  </w:tcBorders>
                  <w:noWrap w:val="0"/>
                  <w:vAlign w:val="center"/>
                </w:tcPr>
                <w:p w14:paraId="03E1ACE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废气处理</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5F9BB41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废催化剂</w:t>
                  </w:r>
                </w:p>
              </w:tc>
              <w:tc>
                <w:tcPr>
                  <w:tcW w:w="215" w:type="pct"/>
                  <w:vMerge w:val="continue"/>
                  <w:tcBorders>
                    <w:left w:val="single" w:color="000000" w:sz="4" w:space="0"/>
                    <w:right w:val="single" w:color="000000" w:sz="4" w:space="0"/>
                  </w:tcBorders>
                  <w:noWrap w:val="0"/>
                  <w:vAlign w:val="center"/>
                </w:tcPr>
                <w:p w14:paraId="293F2E06">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157A58BD">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900-049-50</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051E99C1">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有机物</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14:paraId="7791150A">
                  <w:pPr>
                    <w:widowControl/>
                    <w:spacing w:line="240" w:lineRule="auto"/>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31BB037E">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color w:val="000000" w:themeColor="text1"/>
                      <w:szCs w:val="21"/>
                      <w14:textFill>
                        <w14:solidFill>
                          <w14:schemeClr w14:val="tx1"/>
                        </w14:solidFill>
                      </w14:textFill>
                    </w:rPr>
                    <w:t>T</w:t>
                  </w:r>
                </w:p>
              </w:tc>
              <w:tc>
                <w:tcPr>
                  <w:tcW w:w="484" w:type="pct"/>
                  <w:tcBorders>
                    <w:top w:val="single" w:color="000000" w:sz="4" w:space="0"/>
                    <w:left w:val="single" w:color="000000" w:sz="4" w:space="0"/>
                    <w:bottom w:val="single" w:color="000000" w:sz="4" w:space="0"/>
                    <w:right w:val="single" w:color="000000" w:sz="4" w:space="0"/>
                  </w:tcBorders>
                  <w:noWrap w:val="0"/>
                  <w:vAlign w:val="center"/>
                </w:tcPr>
                <w:p w14:paraId="5B9469A8">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0.16</w:t>
                  </w:r>
                </w:p>
              </w:tc>
              <w:tc>
                <w:tcPr>
                  <w:tcW w:w="424" w:type="pct"/>
                  <w:vMerge w:val="continue"/>
                  <w:tcBorders>
                    <w:left w:val="single" w:color="000000" w:sz="4" w:space="0"/>
                    <w:right w:val="single" w:color="000000" w:sz="4" w:space="0"/>
                  </w:tcBorders>
                  <w:noWrap w:val="0"/>
                  <w:vAlign w:val="center"/>
                </w:tcPr>
                <w:p w14:paraId="637DA294">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52" w:type="pct"/>
                  <w:vMerge w:val="continue"/>
                  <w:tcBorders>
                    <w:left w:val="single" w:color="000000" w:sz="4" w:space="0"/>
                    <w:right w:val="single" w:color="000000" w:sz="4" w:space="0"/>
                  </w:tcBorders>
                  <w:noWrap w:val="0"/>
                  <w:vAlign w:val="center"/>
                </w:tcPr>
                <w:p w14:paraId="228C6E26">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9EAF51">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0.16</w:t>
                  </w:r>
                </w:p>
              </w:tc>
            </w:tr>
            <w:tr w14:paraId="31FA7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382" w:type="pct"/>
                  <w:vMerge w:val="continue"/>
                  <w:tcBorders>
                    <w:left w:val="single" w:color="000000" w:sz="4" w:space="0"/>
                    <w:right w:val="single" w:color="000000" w:sz="4" w:space="0"/>
                  </w:tcBorders>
                  <w:noWrap w:val="0"/>
                  <w:vAlign w:val="center"/>
                </w:tcPr>
                <w:p w14:paraId="07111FB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1796823A">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喷淋废液及沉渣</w:t>
                  </w:r>
                </w:p>
              </w:tc>
              <w:tc>
                <w:tcPr>
                  <w:tcW w:w="215" w:type="pct"/>
                  <w:vMerge w:val="continue"/>
                  <w:tcBorders>
                    <w:left w:val="single" w:color="000000" w:sz="4" w:space="0"/>
                    <w:right w:val="single" w:color="000000" w:sz="4" w:space="0"/>
                  </w:tcBorders>
                  <w:noWrap w:val="0"/>
                  <w:vAlign w:val="center"/>
                </w:tcPr>
                <w:p w14:paraId="206707F8">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25B5D2D1">
                  <w:pPr>
                    <w:pStyle w:val="109"/>
                    <w:pageBreakBefore w:val="0"/>
                    <w:tabs>
                      <w:tab w:val="left" w:pos="-2848"/>
                    </w:tabs>
                    <w:wordWrap w:val="0"/>
                    <w:topLinePunct/>
                    <w:bidi w:val="0"/>
                    <w:spacing w:beforeAutospacing="0" w:afterAutospacing="0"/>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900-252-12</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7AA1DDB9">
                  <w:pPr>
                    <w:widowControl/>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有机物</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14:paraId="7377721B">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w:t>
                  </w:r>
                  <w:r>
                    <w:rPr>
                      <w:rFonts w:hint="eastAsia" w:cs="Times New Roman"/>
                      <w:color w:val="000000" w:themeColor="text1"/>
                      <w:sz w:val="21"/>
                      <w:szCs w:val="21"/>
                      <w:highlight w:val="none"/>
                      <w:lang w:val="en-US" w:eastAsia="zh-CN"/>
                      <w14:textFill>
                        <w14:solidFill>
                          <w14:schemeClr w14:val="tx1"/>
                        </w14:solidFill>
                      </w14:textFill>
                    </w:rPr>
                    <w:t>液</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态</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40DCF5CE">
                  <w:pPr>
                    <w:widowControl/>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T</w:t>
                  </w:r>
                </w:p>
              </w:tc>
              <w:tc>
                <w:tcPr>
                  <w:tcW w:w="484" w:type="pct"/>
                  <w:tcBorders>
                    <w:top w:val="single" w:color="000000" w:sz="4" w:space="0"/>
                    <w:left w:val="single" w:color="000000" w:sz="4" w:space="0"/>
                    <w:bottom w:val="single" w:color="000000" w:sz="4" w:space="0"/>
                    <w:right w:val="single" w:color="000000" w:sz="4" w:space="0"/>
                  </w:tcBorders>
                  <w:noWrap w:val="0"/>
                  <w:vAlign w:val="center"/>
                </w:tcPr>
                <w:p w14:paraId="0B5481E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229.091</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424" w:type="pct"/>
                  <w:vMerge w:val="continue"/>
                  <w:tcBorders>
                    <w:left w:val="single" w:color="000000" w:sz="4" w:space="0"/>
                    <w:right w:val="single" w:color="000000" w:sz="4" w:space="0"/>
                  </w:tcBorders>
                  <w:noWrap w:val="0"/>
                  <w:vAlign w:val="center"/>
                </w:tcPr>
                <w:p w14:paraId="586974B1">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52" w:type="pct"/>
                  <w:vMerge w:val="continue"/>
                  <w:tcBorders>
                    <w:left w:val="single" w:color="000000" w:sz="4" w:space="0"/>
                    <w:right w:val="single" w:color="000000" w:sz="4" w:space="0"/>
                  </w:tcBorders>
                  <w:noWrap w:val="0"/>
                  <w:vAlign w:val="center"/>
                </w:tcPr>
                <w:p w14:paraId="6C455011">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8656D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229.091</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bl>
          <w:p w14:paraId="77941C0C">
            <w:pPr>
              <w:pStyle w:val="39"/>
              <w:spacing w:after="0" w:line="120" w:lineRule="auto"/>
              <w:ind w:firstLine="482"/>
              <w:rPr>
                <w:rFonts w:hint="default" w:ascii="Times New Roman" w:hAnsi="Times New Roman" w:eastAsia="宋体" w:cs="Times New Roman"/>
                <w:b/>
                <w:color w:val="000000" w:themeColor="text1"/>
                <w:szCs w:val="21"/>
                <w:highlight w:val="none"/>
                <w14:textFill>
                  <w14:solidFill>
                    <w14:schemeClr w14:val="tx1"/>
                  </w14:solidFill>
                </w14:textFill>
              </w:rPr>
            </w:pPr>
          </w:p>
          <w:p w14:paraId="248A027A">
            <w:pPr>
              <w:keepNext/>
              <w:keepLines/>
              <w:numPr>
                <w:ilvl w:val="0"/>
                <w:numId w:val="0"/>
              </w:numPr>
              <w:suppressLineNumbers w:val="0"/>
              <w:tabs>
                <w:tab w:val="left" w:pos="0"/>
              </w:tabs>
              <w:spacing w:before="0" w:beforeAutospacing="0" w:after="0" w:afterAutospacing="0"/>
              <w:ind w:left="0" w:leftChars="0" w:right="0" w:rightChars="0" w:firstLine="40" w:firstLineChars="0"/>
              <w:jc w:val="center"/>
              <w:outlineLvl w:val="3"/>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表4-3</w:t>
            </w:r>
            <w:r>
              <w:rPr>
                <w:rFonts w:hint="eastAsia" w:cs="Times New Roman"/>
                <w:b/>
                <w:bCs/>
                <w:color w:val="000000" w:themeColor="text1"/>
                <w:kern w:val="2"/>
                <w:sz w:val="21"/>
                <w:szCs w:val="21"/>
                <w:lang w:val="en-US" w:eastAsia="zh-CN" w:bidi="ar-SA"/>
                <w14:textFill>
                  <w14:solidFill>
                    <w14:schemeClr w14:val="tx1"/>
                  </w14:solidFill>
                </w14:textFill>
              </w:rPr>
              <w:t xml:space="preserve">8 </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危险废物汇总表</w:t>
            </w:r>
          </w:p>
          <w:tbl>
            <w:tblPr>
              <w:tblStyle w:val="44"/>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848"/>
              <w:gridCol w:w="902"/>
              <w:gridCol w:w="710"/>
              <w:gridCol w:w="735"/>
              <w:gridCol w:w="660"/>
              <w:gridCol w:w="770"/>
              <w:gridCol w:w="637"/>
              <w:gridCol w:w="558"/>
              <w:gridCol w:w="616"/>
              <w:gridCol w:w="653"/>
            </w:tblGrid>
            <w:tr w14:paraId="41BE3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pct"/>
                  <w:noWrap w:val="0"/>
                  <w:vAlign w:val="center"/>
                </w:tcPr>
                <w:p w14:paraId="5938EBB1">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危险废物名称</w:t>
                  </w:r>
                </w:p>
              </w:tc>
              <w:tc>
                <w:tcPr>
                  <w:tcW w:w="510" w:type="pct"/>
                  <w:noWrap w:val="0"/>
                  <w:vAlign w:val="center"/>
                </w:tcPr>
                <w:p w14:paraId="5F6AC923">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危险废物类别</w:t>
                  </w:r>
                </w:p>
              </w:tc>
              <w:tc>
                <w:tcPr>
                  <w:tcW w:w="542" w:type="pct"/>
                  <w:noWrap w:val="0"/>
                  <w:vAlign w:val="center"/>
                </w:tcPr>
                <w:p w14:paraId="4AEC8460">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危险废物代码</w:t>
                  </w:r>
                </w:p>
              </w:tc>
              <w:tc>
                <w:tcPr>
                  <w:tcW w:w="427" w:type="pct"/>
                  <w:noWrap w:val="0"/>
                  <w:vAlign w:val="center"/>
                </w:tcPr>
                <w:p w14:paraId="01728D06">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产生量t/a</w:t>
                  </w:r>
                </w:p>
              </w:tc>
              <w:tc>
                <w:tcPr>
                  <w:tcW w:w="442" w:type="pct"/>
                  <w:noWrap w:val="0"/>
                  <w:vAlign w:val="center"/>
                </w:tcPr>
                <w:p w14:paraId="6254471F">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产生工序及装置</w:t>
                  </w:r>
                </w:p>
              </w:tc>
              <w:tc>
                <w:tcPr>
                  <w:tcW w:w="397" w:type="pct"/>
                  <w:noWrap w:val="0"/>
                  <w:vAlign w:val="center"/>
                </w:tcPr>
                <w:p w14:paraId="1AD1E58A">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形态</w:t>
                  </w:r>
                </w:p>
              </w:tc>
              <w:tc>
                <w:tcPr>
                  <w:tcW w:w="463" w:type="pct"/>
                  <w:noWrap w:val="0"/>
                  <w:vAlign w:val="center"/>
                </w:tcPr>
                <w:p w14:paraId="7F47745E">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主要成分</w:t>
                  </w:r>
                </w:p>
              </w:tc>
              <w:tc>
                <w:tcPr>
                  <w:tcW w:w="383" w:type="pct"/>
                  <w:noWrap w:val="0"/>
                  <w:vAlign w:val="center"/>
                </w:tcPr>
                <w:p w14:paraId="4ABFB741">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有害成分</w:t>
                  </w:r>
                </w:p>
              </w:tc>
              <w:tc>
                <w:tcPr>
                  <w:tcW w:w="335" w:type="pct"/>
                  <w:noWrap w:val="0"/>
                  <w:vAlign w:val="center"/>
                </w:tcPr>
                <w:p w14:paraId="72EBDA55">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产废周期</w:t>
                  </w:r>
                </w:p>
              </w:tc>
              <w:tc>
                <w:tcPr>
                  <w:tcW w:w="370" w:type="pct"/>
                  <w:noWrap w:val="0"/>
                  <w:vAlign w:val="center"/>
                </w:tcPr>
                <w:p w14:paraId="6A31725D">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危险特性</w:t>
                  </w:r>
                </w:p>
              </w:tc>
              <w:tc>
                <w:tcPr>
                  <w:tcW w:w="392" w:type="pct"/>
                  <w:noWrap w:val="0"/>
                  <w:vAlign w:val="center"/>
                </w:tcPr>
                <w:p w14:paraId="37CE12FC">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污染防治措施</w:t>
                  </w:r>
                </w:p>
              </w:tc>
            </w:tr>
            <w:tr w14:paraId="484B8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pct"/>
                  <w:noWrap w:val="0"/>
                  <w:vAlign w:val="center"/>
                </w:tcPr>
                <w:p w14:paraId="3096E9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废表面处理剂包装桶</w:t>
                  </w:r>
                </w:p>
              </w:tc>
              <w:tc>
                <w:tcPr>
                  <w:tcW w:w="510" w:type="pct"/>
                  <w:noWrap w:val="0"/>
                  <w:vAlign w:val="center"/>
                </w:tcPr>
                <w:p w14:paraId="3966D6C4">
                  <w:pPr>
                    <w:keepNext w:val="0"/>
                    <w:keepLines w:val="0"/>
                    <w:pageBreakBefore w:val="0"/>
                    <w:widowControl/>
                    <w:suppressLineNumbers w:val="0"/>
                    <w:kinsoku/>
                    <w:overflowPunct/>
                    <w:topLinePunct w:val="0"/>
                    <w:bidi w:val="0"/>
                    <w:snapToGrid/>
                    <w:spacing w:before="0" w:beforeAutospacing="0" w:after="0" w:afterAutospacing="0" w:line="240" w:lineRule="auto"/>
                    <w:ind w:left="0" w:right="0"/>
                    <w:jc w:val="center"/>
                    <w:textAlignment w:val="center"/>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HW49</w:t>
                  </w:r>
                </w:p>
              </w:tc>
              <w:tc>
                <w:tcPr>
                  <w:tcW w:w="542" w:type="pct"/>
                  <w:noWrap w:val="0"/>
                  <w:vAlign w:val="center"/>
                </w:tcPr>
                <w:p w14:paraId="4226946B">
                  <w:pPr>
                    <w:keepNext w:val="0"/>
                    <w:keepLines w:val="0"/>
                    <w:pageBreakBefore w:val="0"/>
                    <w:widowControl/>
                    <w:suppressLineNumbers w:val="0"/>
                    <w:kinsoku/>
                    <w:overflowPunct/>
                    <w:topLinePunct w:val="0"/>
                    <w:bidi w:val="0"/>
                    <w:snapToGrid/>
                    <w:spacing w:before="0" w:beforeAutospacing="0" w:after="0" w:afterAutospacing="0" w:line="240" w:lineRule="auto"/>
                    <w:ind w:left="0" w:right="0"/>
                    <w:jc w:val="center"/>
                    <w:textAlignment w:val="center"/>
                    <w:rPr>
                      <w:rFonts w:hint="default" w:ascii="Times New Roman" w:hAnsi="Times New Roman" w:cs="Times New Roman"/>
                      <w:bCs/>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900-041-49</w:t>
                  </w:r>
                </w:p>
              </w:tc>
              <w:tc>
                <w:tcPr>
                  <w:tcW w:w="427" w:type="pct"/>
                  <w:noWrap w:val="0"/>
                  <w:vAlign w:val="center"/>
                </w:tcPr>
                <w:p w14:paraId="5340661A">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1.658</w:t>
                  </w:r>
                </w:p>
              </w:tc>
              <w:tc>
                <w:tcPr>
                  <w:tcW w:w="442" w:type="pct"/>
                  <w:noWrap w:val="0"/>
                  <w:vAlign w:val="center"/>
                </w:tcPr>
                <w:p w14:paraId="6F2A4BFC">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2"/>
                      <w:position w:val="0"/>
                      <w:sz w:val="21"/>
                      <w:szCs w:val="21"/>
                      <w:highlight w:val="none"/>
                      <w:lang w:val="en-US" w:eastAsia="zh-CN"/>
                      <w14:textFill>
                        <w14:solidFill>
                          <w14:schemeClr w14:val="tx1"/>
                        </w14:solidFill>
                      </w14:textFill>
                    </w:rPr>
                    <w:t>前处理</w:t>
                  </w:r>
                </w:p>
              </w:tc>
              <w:tc>
                <w:tcPr>
                  <w:tcW w:w="397" w:type="pct"/>
                  <w:noWrap w:val="0"/>
                  <w:vAlign w:val="center"/>
                </w:tcPr>
                <w:p w14:paraId="4FE2A92B">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463" w:type="pct"/>
                  <w:noWrap w:val="0"/>
                  <w:vAlign w:val="center"/>
                </w:tcPr>
                <w:p w14:paraId="625E1171">
                  <w:pPr>
                    <w:keepNext w:val="0"/>
                    <w:keepLines w:val="0"/>
                    <w:pageBreakBefore w:val="0"/>
                    <w:suppressLineNumbers w:val="0"/>
                    <w:kinsoku/>
                    <w:overflowPunct/>
                    <w:topLinePunct w:val="0"/>
                    <w:bidi w:val="0"/>
                    <w:adjustRightInd w:val="0"/>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无机酸</w:t>
                  </w:r>
                </w:p>
              </w:tc>
              <w:tc>
                <w:tcPr>
                  <w:tcW w:w="383" w:type="pct"/>
                  <w:noWrap w:val="0"/>
                  <w:vAlign w:val="center"/>
                </w:tcPr>
                <w:p w14:paraId="52DE7AC1">
                  <w:pPr>
                    <w:keepNext w:val="0"/>
                    <w:keepLines w:val="0"/>
                    <w:pageBreakBefore w:val="0"/>
                    <w:suppressLineNumbers w:val="0"/>
                    <w:kinsoku/>
                    <w:overflowPunct/>
                    <w:topLinePunct w:val="0"/>
                    <w:bidi w:val="0"/>
                    <w:adjustRightInd w:val="0"/>
                    <w:snapToGrid/>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无机酸</w:t>
                  </w:r>
                </w:p>
              </w:tc>
              <w:tc>
                <w:tcPr>
                  <w:tcW w:w="335" w:type="pct"/>
                  <w:noWrap w:val="0"/>
                  <w:vAlign w:val="center"/>
                </w:tcPr>
                <w:p w14:paraId="37011FC1">
                  <w:pPr>
                    <w:keepNext w:val="0"/>
                    <w:keepLines w:val="0"/>
                    <w:pageBreakBefore w:val="0"/>
                    <w:suppressLineNumbers w:val="0"/>
                    <w:kinsoku/>
                    <w:overflowPunct/>
                    <w:topLinePunct w:val="0"/>
                    <w:bidi w:val="0"/>
                    <w:adjustRightInd w:val="0"/>
                    <w:snapToGrid/>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每周</w:t>
                  </w:r>
                </w:p>
              </w:tc>
              <w:tc>
                <w:tcPr>
                  <w:tcW w:w="370" w:type="pct"/>
                  <w:noWrap w:val="0"/>
                  <w:vAlign w:val="center"/>
                </w:tcPr>
                <w:p w14:paraId="07B3CB3A">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T/In</w:t>
                  </w:r>
                </w:p>
              </w:tc>
              <w:tc>
                <w:tcPr>
                  <w:tcW w:w="392" w:type="pct"/>
                  <w:vMerge w:val="restart"/>
                  <w:noWrap w:val="0"/>
                  <w:vAlign w:val="center"/>
                </w:tcPr>
                <w:p w14:paraId="11C2C2C1">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color w:val="000000" w:themeColor="text1"/>
                      <w:kern w:val="2"/>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暂存在</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危险废物贮存间</w:t>
                  </w:r>
                  <w:r>
                    <w:rPr>
                      <w:rFonts w:hint="default" w:ascii="Times New Roman" w:hAnsi="Times New Roman" w:cs="Times New Roman"/>
                      <w:color w:val="000000" w:themeColor="text1"/>
                      <w:kern w:val="2"/>
                      <w:sz w:val="21"/>
                      <w:szCs w:val="21"/>
                      <w:highlight w:val="none"/>
                      <w14:textFill>
                        <w14:solidFill>
                          <w14:schemeClr w14:val="tx1"/>
                        </w14:solidFill>
                      </w14:textFill>
                    </w:rPr>
                    <w:t>，定期由危废资质单位处理。</w:t>
                  </w:r>
                </w:p>
              </w:tc>
            </w:tr>
            <w:tr w14:paraId="5EDFF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pct"/>
                  <w:noWrap w:val="0"/>
                  <w:vAlign w:val="center"/>
                </w:tcPr>
                <w:p w14:paraId="367E88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预处理池泥渣及管道循环装置废物</w:t>
                  </w:r>
                </w:p>
              </w:tc>
              <w:tc>
                <w:tcPr>
                  <w:tcW w:w="510" w:type="pct"/>
                  <w:noWrap w:val="0"/>
                  <w:vAlign w:val="center"/>
                </w:tcPr>
                <w:p w14:paraId="498E8C4B">
                  <w:pPr>
                    <w:keepNext w:val="0"/>
                    <w:keepLines w:val="0"/>
                    <w:pageBreakBefore w:val="0"/>
                    <w:widowControl/>
                    <w:suppressLineNumbers w:val="0"/>
                    <w:kinsoku/>
                    <w:overflowPunct/>
                    <w:topLinePunct w:val="0"/>
                    <w:bidi w:val="0"/>
                    <w:snapToGrid/>
                    <w:spacing w:before="0" w:beforeAutospacing="0" w:after="0" w:afterAutospacing="0" w:line="240" w:lineRule="auto"/>
                    <w:ind w:left="0" w:right="0"/>
                    <w:jc w:val="center"/>
                    <w:textAlignment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HW17</w:t>
                  </w:r>
                </w:p>
              </w:tc>
              <w:tc>
                <w:tcPr>
                  <w:tcW w:w="542" w:type="pct"/>
                  <w:noWrap w:val="0"/>
                  <w:vAlign w:val="center"/>
                </w:tcPr>
                <w:p w14:paraId="60970DE9">
                  <w:pPr>
                    <w:keepNext w:val="0"/>
                    <w:keepLines w:val="0"/>
                    <w:pageBreakBefore w:val="0"/>
                    <w:widowControl/>
                    <w:suppressLineNumbers w:val="0"/>
                    <w:kinsoku/>
                    <w:overflowPunct/>
                    <w:topLinePunct w:val="0"/>
                    <w:bidi w:val="0"/>
                    <w:snapToGrid/>
                    <w:spacing w:before="0" w:beforeAutospacing="0" w:after="0" w:afterAutospacing="0" w:line="240" w:lineRule="auto"/>
                    <w:ind w:left="0" w:right="0"/>
                    <w:jc w:val="center"/>
                    <w:textAlignment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336-064-17</w:t>
                  </w:r>
                </w:p>
              </w:tc>
              <w:tc>
                <w:tcPr>
                  <w:tcW w:w="427" w:type="pct"/>
                  <w:noWrap w:val="0"/>
                  <w:vAlign w:val="center"/>
                </w:tcPr>
                <w:p w14:paraId="00A9295F">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w:t>
                  </w:r>
                </w:p>
              </w:tc>
              <w:tc>
                <w:tcPr>
                  <w:tcW w:w="442" w:type="pct"/>
                  <w:noWrap w:val="0"/>
                  <w:vAlign w:val="center"/>
                </w:tcPr>
                <w:p w14:paraId="00CA5D93">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t>前处理</w:t>
                  </w:r>
                </w:p>
              </w:tc>
              <w:tc>
                <w:tcPr>
                  <w:tcW w:w="397" w:type="pct"/>
                  <w:noWrap w:val="0"/>
                  <w:vAlign w:val="center"/>
                </w:tcPr>
                <w:p w14:paraId="23CAA022">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液</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态</w:t>
                  </w:r>
                </w:p>
              </w:tc>
              <w:tc>
                <w:tcPr>
                  <w:tcW w:w="463" w:type="pct"/>
                  <w:noWrap w:val="0"/>
                  <w:vAlign w:val="center"/>
                </w:tcPr>
                <w:p w14:paraId="26E068BD">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2"/>
                      <w:position w:val="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泥渣</w:t>
                  </w:r>
                </w:p>
              </w:tc>
              <w:tc>
                <w:tcPr>
                  <w:tcW w:w="383" w:type="pct"/>
                  <w:noWrap w:val="0"/>
                  <w:vAlign w:val="center"/>
                </w:tcPr>
                <w:p w14:paraId="7327EC7B">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firstLine="0" w:firstLineChars="0"/>
                    <w:jc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泥渣</w:t>
                  </w:r>
                </w:p>
              </w:tc>
              <w:tc>
                <w:tcPr>
                  <w:tcW w:w="335" w:type="pct"/>
                  <w:noWrap w:val="0"/>
                  <w:vAlign w:val="center"/>
                </w:tcPr>
                <w:p w14:paraId="6747785A">
                  <w:pPr>
                    <w:keepNext w:val="0"/>
                    <w:keepLines w:val="0"/>
                    <w:pageBreakBefore w:val="0"/>
                    <w:suppressLineNumbers w:val="0"/>
                    <w:kinsoku/>
                    <w:overflowPunct/>
                    <w:topLinePunct w:val="0"/>
                    <w:bidi w:val="0"/>
                    <w:adjustRightInd w:val="0"/>
                    <w:snapToGrid/>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1个月</w:t>
                  </w:r>
                </w:p>
              </w:tc>
              <w:tc>
                <w:tcPr>
                  <w:tcW w:w="370" w:type="pct"/>
                  <w:noWrap w:val="0"/>
                  <w:vAlign w:val="center"/>
                </w:tcPr>
                <w:p w14:paraId="590960A0">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w:t>
                  </w:r>
                  <w:r>
                    <w:rPr>
                      <w:rFonts w:hint="eastAsia" w:eastAsia="宋体" w:cs="Times New Roman"/>
                      <w:color w:val="000000" w:themeColor="text1"/>
                      <w:sz w:val="21"/>
                      <w:szCs w:val="21"/>
                      <w:highlight w:val="none"/>
                      <w:lang w:val="en-US" w:eastAsia="zh-CN"/>
                      <w14:textFill>
                        <w14:solidFill>
                          <w14:schemeClr w14:val="tx1"/>
                        </w14:solidFill>
                      </w14:textFill>
                    </w:rPr>
                    <w:t>C</w:t>
                  </w:r>
                </w:p>
              </w:tc>
              <w:tc>
                <w:tcPr>
                  <w:tcW w:w="392" w:type="pct"/>
                  <w:vMerge w:val="continue"/>
                  <w:noWrap w:val="0"/>
                  <w:vAlign w:val="center"/>
                </w:tcPr>
                <w:p w14:paraId="76F8DFD6">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p>
              </w:tc>
            </w:tr>
            <w:tr w14:paraId="537C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pct"/>
                  <w:noWrap w:val="0"/>
                  <w:vAlign w:val="center"/>
                </w:tcPr>
                <w:p w14:paraId="1ECB98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无铬钝化池废槽液</w:t>
                  </w:r>
                </w:p>
              </w:tc>
              <w:tc>
                <w:tcPr>
                  <w:tcW w:w="510" w:type="pct"/>
                  <w:noWrap w:val="0"/>
                  <w:vAlign w:val="center"/>
                </w:tcPr>
                <w:p w14:paraId="2A617618">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HW17</w:t>
                  </w:r>
                </w:p>
              </w:tc>
              <w:tc>
                <w:tcPr>
                  <w:tcW w:w="542" w:type="pct"/>
                  <w:noWrap w:val="0"/>
                  <w:vAlign w:val="center"/>
                </w:tcPr>
                <w:p w14:paraId="6E9D70C0">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336-064-17</w:t>
                  </w:r>
                </w:p>
              </w:tc>
              <w:tc>
                <w:tcPr>
                  <w:tcW w:w="427" w:type="pct"/>
                  <w:noWrap w:val="0"/>
                  <w:vAlign w:val="center"/>
                </w:tcPr>
                <w:p w14:paraId="30502F6E">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44.8</w:t>
                  </w:r>
                </w:p>
              </w:tc>
              <w:tc>
                <w:tcPr>
                  <w:tcW w:w="442" w:type="pct"/>
                  <w:noWrap w:val="0"/>
                  <w:vAlign w:val="center"/>
                </w:tcPr>
                <w:p w14:paraId="63B3189C">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无铬钝化</w:t>
                  </w:r>
                </w:p>
              </w:tc>
              <w:tc>
                <w:tcPr>
                  <w:tcW w:w="397" w:type="pct"/>
                  <w:noWrap w:val="0"/>
                  <w:vAlign w:val="center"/>
                </w:tcPr>
                <w:p w14:paraId="6253B94E">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液态</w:t>
                  </w:r>
                </w:p>
              </w:tc>
              <w:tc>
                <w:tcPr>
                  <w:tcW w:w="463" w:type="pct"/>
                  <w:noWrap w:val="0"/>
                  <w:vAlign w:val="center"/>
                </w:tcPr>
                <w:p w14:paraId="6735B776">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t>废槽液</w:t>
                  </w:r>
                </w:p>
              </w:tc>
              <w:tc>
                <w:tcPr>
                  <w:tcW w:w="383" w:type="pct"/>
                  <w:noWrap w:val="0"/>
                  <w:vAlign w:val="center"/>
                </w:tcPr>
                <w:p w14:paraId="4A6A9FDF">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t>废槽液</w:t>
                  </w:r>
                </w:p>
              </w:tc>
              <w:tc>
                <w:tcPr>
                  <w:tcW w:w="335" w:type="pct"/>
                  <w:noWrap w:val="0"/>
                  <w:vAlign w:val="center"/>
                </w:tcPr>
                <w:p w14:paraId="0A17DAD5">
                  <w:pPr>
                    <w:keepNext w:val="0"/>
                    <w:keepLines w:val="0"/>
                    <w:pageBreakBefore w:val="0"/>
                    <w:suppressLineNumbers w:val="0"/>
                    <w:kinsoku/>
                    <w:overflowPunct/>
                    <w:topLinePunct w:val="0"/>
                    <w:bidi w:val="0"/>
                    <w:adjustRightInd w:val="0"/>
                    <w:snapToGrid/>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3个月</w:t>
                  </w:r>
                </w:p>
              </w:tc>
              <w:tc>
                <w:tcPr>
                  <w:tcW w:w="370" w:type="pct"/>
                  <w:noWrap w:val="0"/>
                  <w:vAlign w:val="center"/>
                </w:tcPr>
                <w:p w14:paraId="183B3545">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w:t>
                  </w:r>
                  <w:r>
                    <w:rPr>
                      <w:rFonts w:hint="eastAsia" w:eastAsia="宋体" w:cs="Times New Roman"/>
                      <w:color w:val="000000" w:themeColor="text1"/>
                      <w:sz w:val="21"/>
                      <w:szCs w:val="21"/>
                      <w:highlight w:val="none"/>
                      <w:lang w:val="en-US" w:eastAsia="zh-CN"/>
                      <w14:textFill>
                        <w14:solidFill>
                          <w14:schemeClr w14:val="tx1"/>
                        </w14:solidFill>
                      </w14:textFill>
                    </w:rPr>
                    <w:t>C</w:t>
                  </w:r>
                </w:p>
              </w:tc>
              <w:tc>
                <w:tcPr>
                  <w:tcW w:w="392" w:type="pct"/>
                  <w:vMerge w:val="continue"/>
                  <w:noWrap w:val="0"/>
                  <w:vAlign w:val="center"/>
                </w:tcPr>
                <w:p w14:paraId="48FEB15E">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p>
              </w:tc>
            </w:tr>
            <w:tr w14:paraId="3C10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34" w:type="pct"/>
                  <w:noWrap w:val="0"/>
                  <w:vAlign w:val="center"/>
                </w:tcPr>
                <w:p w14:paraId="2C68C6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废水处理站污泥</w:t>
                  </w:r>
                </w:p>
              </w:tc>
              <w:tc>
                <w:tcPr>
                  <w:tcW w:w="510" w:type="pct"/>
                  <w:noWrap w:val="0"/>
                  <w:vAlign w:val="center"/>
                </w:tcPr>
                <w:p w14:paraId="02475E3A">
                  <w:pPr>
                    <w:keepNext w:val="0"/>
                    <w:keepLines w:val="0"/>
                    <w:pageBreakBefore w:val="0"/>
                    <w:widowControl/>
                    <w:suppressLineNumbers w:val="0"/>
                    <w:kinsoku/>
                    <w:overflowPunct/>
                    <w:topLinePunct w:val="0"/>
                    <w:bidi w:val="0"/>
                    <w:snapToGrid/>
                    <w:spacing w:before="0" w:beforeAutospacing="0" w:after="0" w:afterAutospacing="0" w:line="240" w:lineRule="auto"/>
                    <w:ind w:left="0" w:right="0"/>
                    <w:jc w:val="center"/>
                    <w:textAlignment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HW17</w:t>
                  </w:r>
                </w:p>
              </w:tc>
              <w:tc>
                <w:tcPr>
                  <w:tcW w:w="542" w:type="pct"/>
                  <w:noWrap w:val="0"/>
                  <w:vAlign w:val="center"/>
                </w:tcPr>
                <w:p w14:paraId="6D50A5AC">
                  <w:pPr>
                    <w:keepNext w:val="0"/>
                    <w:keepLines w:val="0"/>
                    <w:pageBreakBefore w:val="0"/>
                    <w:widowControl/>
                    <w:suppressLineNumbers w:val="0"/>
                    <w:kinsoku/>
                    <w:overflowPunct/>
                    <w:topLinePunct w:val="0"/>
                    <w:bidi w:val="0"/>
                    <w:snapToGrid/>
                    <w:spacing w:before="0" w:beforeAutospacing="0" w:after="0" w:afterAutospacing="0" w:line="240" w:lineRule="auto"/>
                    <w:ind w:left="0" w:right="0"/>
                    <w:jc w:val="center"/>
                    <w:textAlignment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336-064-17</w:t>
                  </w:r>
                </w:p>
              </w:tc>
              <w:tc>
                <w:tcPr>
                  <w:tcW w:w="427" w:type="pct"/>
                  <w:noWrap w:val="0"/>
                  <w:vAlign w:val="center"/>
                </w:tcPr>
                <w:p w14:paraId="41F2178D">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1.985</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442" w:type="pct"/>
                  <w:noWrap w:val="0"/>
                  <w:vAlign w:val="center"/>
                </w:tcPr>
                <w:p w14:paraId="6AA6F553">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14:textFill>
                        <w14:solidFill>
                          <w14:schemeClr w14:val="tx1"/>
                        </w14:solidFill>
                      </w14:textFill>
                    </w:rPr>
                    <w:t>废</w:t>
                  </w:r>
                  <w:r>
                    <w:rPr>
                      <w:rFonts w:hint="default" w:ascii="Times New Roman" w:hAnsi="Times New Roman" w:cs="Times New Roman"/>
                      <w:color w:val="000000" w:themeColor="text1"/>
                      <w:kern w:val="2"/>
                      <w:position w:val="0"/>
                      <w:sz w:val="21"/>
                      <w:szCs w:val="21"/>
                      <w:highlight w:val="none"/>
                      <w:lang w:eastAsia="zh-CN"/>
                      <w14:textFill>
                        <w14:solidFill>
                          <w14:schemeClr w14:val="tx1"/>
                        </w14:solidFill>
                      </w14:textFill>
                    </w:rPr>
                    <w:t>水</w:t>
                  </w:r>
                  <w:r>
                    <w:rPr>
                      <w:rFonts w:hint="default" w:ascii="Times New Roman" w:hAnsi="Times New Roman" w:cs="Times New Roman"/>
                      <w:color w:val="000000" w:themeColor="text1"/>
                      <w:kern w:val="2"/>
                      <w:position w:val="0"/>
                      <w:sz w:val="21"/>
                      <w:szCs w:val="21"/>
                      <w:highlight w:val="none"/>
                      <w14:textFill>
                        <w14:solidFill>
                          <w14:schemeClr w14:val="tx1"/>
                        </w14:solidFill>
                      </w14:textFill>
                    </w:rPr>
                    <w:t>处理</w:t>
                  </w:r>
                </w:p>
              </w:tc>
              <w:tc>
                <w:tcPr>
                  <w:tcW w:w="397" w:type="pct"/>
                  <w:noWrap w:val="0"/>
                  <w:vAlign w:val="center"/>
                </w:tcPr>
                <w:p w14:paraId="73E6ED26">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液</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态</w:t>
                  </w:r>
                </w:p>
              </w:tc>
              <w:tc>
                <w:tcPr>
                  <w:tcW w:w="463" w:type="pct"/>
                  <w:noWrap w:val="0"/>
                  <w:vAlign w:val="center"/>
                </w:tcPr>
                <w:p w14:paraId="6D773FCD">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t>油渣</w:t>
                  </w:r>
                </w:p>
              </w:tc>
              <w:tc>
                <w:tcPr>
                  <w:tcW w:w="383" w:type="pct"/>
                  <w:noWrap w:val="0"/>
                  <w:vAlign w:val="center"/>
                </w:tcPr>
                <w:p w14:paraId="5368F2BE">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t>油渣</w:t>
                  </w:r>
                </w:p>
              </w:tc>
              <w:tc>
                <w:tcPr>
                  <w:tcW w:w="335" w:type="pct"/>
                  <w:noWrap w:val="0"/>
                  <w:vAlign w:val="center"/>
                </w:tcPr>
                <w:p w14:paraId="3C36FE26">
                  <w:pPr>
                    <w:keepNext w:val="0"/>
                    <w:keepLines w:val="0"/>
                    <w:pageBreakBefore w:val="0"/>
                    <w:suppressLineNumbers w:val="0"/>
                    <w:kinsoku/>
                    <w:overflowPunct/>
                    <w:topLinePunct w:val="0"/>
                    <w:bidi w:val="0"/>
                    <w:adjustRightInd w:val="0"/>
                    <w:snapToGrid/>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1个月</w:t>
                  </w:r>
                </w:p>
              </w:tc>
              <w:tc>
                <w:tcPr>
                  <w:tcW w:w="370" w:type="pct"/>
                  <w:noWrap w:val="0"/>
                  <w:vAlign w:val="center"/>
                </w:tcPr>
                <w:p w14:paraId="502D56BF">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w:t>
                  </w:r>
                  <w:r>
                    <w:rPr>
                      <w:rFonts w:hint="eastAsia" w:eastAsia="宋体" w:cs="Times New Roman"/>
                      <w:color w:val="000000" w:themeColor="text1"/>
                      <w:sz w:val="21"/>
                      <w:szCs w:val="21"/>
                      <w:highlight w:val="none"/>
                      <w:lang w:val="en-US" w:eastAsia="zh-CN"/>
                      <w14:textFill>
                        <w14:solidFill>
                          <w14:schemeClr w14:val="tx1"/>
                        </w14:solidFill>
                      </w14:textFill>
                    </w:rPr>
                    <w:t>C</w:t>
                  </w:r>
                </w:p>
              </w:tc>
              <w:tc>
                <w:tcPr>
                  <w:tcW w:w="392" w:type="pct"/>
                  <w:vMerge w:val="continue"/>
                  <w:noWrap w:val="0"/>
                  <w:vAlign w:val="center"/>
                </w:tcPr>
                <w:p w14:paraId="143B53BF">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p>
              </w:tc>
            </w:tr>
            <w:tr w14:paraId="30F1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34" w:type="pct"/>
                  <w:noWrap w:val="0"/>
                  <w:vAlign w:val="center"/>
                </w:tcPr>
                <w:p w14:paraId="3156DD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废pH调整剂包装桶</w:t>
                  </w:r>
                </w:p>
              </w:tc>
              <w:tc>
                <w:tcPr>
                  <w:tcW w:w="510" w:type="pct"/>
                  <w:noWrap w:val="0"/>
                  <w:vAlign w:val="center"/>
                </w:tcPr>
                <w:p w14:paraId="1FA7A999">
                  <w:pPr>
                    <w:keepNext w:val="0"/>
                    <w:keepLines w:val="0"/>
                    <w:pageBreakBefore w:val="0"/>
                    <w:widowControl/>
                    <w:suppressLineNumbers w:val="0"/>
                    <w:kinsoku/>
                    <w:overflowPunct/>
                    <w:topLinePunct w:val="0"/>
                    <w:bidi w:val="0"/>
                    <w:snapToGrid/>
                    <w:spacing w:before="0" w:beforeAutospacing="0" w:after="0" w:afterAutospacing="0" w:line="240" w:lineRule="auto"/>
                    <w:ind w:left="0" w:right="0"/>
                    <w:jc w:val="center"/>
                    <w:textAlignment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HW49</w:t>
                  </w:r>
                </w:p>
              </w:tc>
              <w:tc>
                <w:tcPr>
                  <w:tcW w:w="542" w:type="pct"/>
                  <w:noWrap w:val="0"/>
                  <w:vAlign w:val="center"/>
                </w:tcPr>
                <w:p w14:paraId="14BDE496">
                  <w:pPr>
                    <w:keepNext w:val="0"/>
                    <w:keepLines w:val="0"/>
                    <w:pageBreakBefore w:val="0"/>
                    <w:widowControl/>
                    <w:suppressLineNumbers w:val="0"/>
                    <w:kinsoku/>
                    <w:overflowPunct/>
                    <w:topLinePunct w:val="0"/>
                    <w:bidi w:val="0"/>
                    <w:snapToGrid/>
                    <w:spacing w:before="0" w:beforeAutospacing="0" w:after="0" w:afterAutospacing="0" w:line="240" w:lineRule="auto"/>
                    <w:ind w:left="0" w:right="0"/>
                    <w:jc w:val="center"/>
                    <w:textAlignment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900-041-49</w:t>
                  </w:r>
                </w:p>
              </w:tc>
              <w:tc>
                <w:tcPr>
                  <w:tcW w:w="427" w:type="pct"/>
                  <w:noWrap w:val="0"/>
                  <w:vAlign w:val="center"/>
                </w:tcPr>
                <w:p w14:paraId="274A6F81">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0.008</w:t>
                  </w:r>
                </w:p>
              </w:tc>
              <w:tc>
                <w:tcPr>
                  <w:tcW w:w="442" w:type="pct"/>
                  <w:noWrap w:val="0"/>
                  <w:vAlign w:val="center"/>
                </w:tcPr>
                <w:p w14:paraId="6B7E0B54">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14:textFill>
                        <w14:solidFill>
                          <w14:schemeClr w14:val="tx1"/>
                        </w14:solidFill>
                      </w14:textFill>
                    </w:rPr>
                    <w:t>废</w:t>
                  </w:r>
                  <w:r>
                    <w:rPr>
                      <w:rFonts w:hint="default" w:ascii="Times New Roman" w:hAnsi="Times New Roman" w:cs="Times New Roman"/>
                      <w:color w:val="000000" w:themeColor="text1"/>
                      <w:kern w:val="2"/>
                      <w:position w:val="0"/>
                      <w:sz w:val="21"/>
                      <w:szCs w:val="21"/>
                      <w:highlight w:val="none"/>
                      <w:lang w:eastAsia="zh-CN"/>
                      <w14:textFill>
                        <w14:solidFill>
                          <w14:schemeClr w14:val="tx1"/>
                        </w14:solidFill>
                      </w14:textFill>
                    </w:rPr>
                    <w:t>水</w:t>
                  </w:r>
                  <w:r>
                    <w:rPr>
                      <w:rFonts w:hint="default" w:ascii="Times New Roman" w:hAnsi="Times New Roman" w:cs="Times New Roman"/>
                      <w:color w:val="000000" w:themeColor="text1"/>
                      <w:kern w:val="2"/>
                      <w:position w:val="0"/>
                      <w:sz w:val="21"/>
                      <w:szCs w:val="21"/>
                      <w:highlight w:val="none"/>
                      <w14:textFill>
                        <w14:solidFill>
                          <w14:schemeClr w14:val="tx1"/>
                        </w14:solidFill>
                      </w14:textFill>
                    </w:rPr>
                    <w:t>处理</w:t>
                  </w:r>
                </w:p>
              </w:tc>
              <w:tc>
                <w:tcPr>
                  <w:tcW w:w="397" w:type="pct"/>
                  <w:noWrap w:val="0"/>
                  <w:vAlign w:val="center"/>
                </w:tcPr>
                <w:p w14:paraId="74DF4D0D">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463" w:type="pct"/>
                  <w:noWrap w:val="0"/>
                  <w:vAlign w:val="center"/>
                </w:tcPr>
                <w:p w14:paraId="3440D7DD">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lang w:eastAsia="zh-CN"/>
                      <w14:textFill>
                        <w14:solidFill>
                          <w14:schemeClr w14:val="tx1"/>
                        </w14:solidFill>
                      </w14:textFill>
                    </w:rPr>
                    <w:t>硫酸</w:t>
                  </w:r>
                </w:p>
              </w:tc>
              <w:tc>
                <w:tcPr>
                  <w:tcW w:w="383" w:type="pct"/>
                  <w:noWrap w:val="0"/>
                  <w:vAlign w:val="center"/>
                </w:tcPr>
                <w:p w14:paraId="150F901B">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lang w:eastAsia="zh-CN"/>
                      <w14:textFill>
                        <w14:solidFill>
                          <w14:schemeClr w14:val="tx1"/>
                        </w14:solidFill>
                      </w14:textFill>
                    </w:rPr>
                    <w:t>硫酸</w:t>
                  </w:r>
                </w:p>
              </w:tc>
              <w:tc>
                <w:tcPr>
                  <w:tcW w:w="335" w:type="pct"/>
                  <w:noWrap w:val="0"/>
                  <w:vAlign w:val="center"/>
                </w:tcPr>
                <w:p w14:paraId="1726BCD5">
                  <w:pPr>
                    <w:keepNext w:val="0"/>
                    <w:keepLines w:val="0"/>
                    <w:pageBreakBefore w:val="0"/>
                    <w:suppressLineNumbers w:val="0"/>
                    <w:kinsoku/>
                    <w:overflowPunct/>
                    <w:topLinePunct w:val="0"/>
                    <w:bidi w:val="0"/>
                    <w:adjustRightInd w:val="0"/>
                    <w:snapToGrid/>
                    <w:spacing w:before="0" w:beforeAutospacing="0" w:after="0" w:afterAutospacing="0" w:line="240" w:lineRule="auto"/>
                    <w:ind w:left="0" w:right="0"/>
                    <w:jc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1个月</w:t>
                  </w:r>
                </w:p>
              </w:tc>
              <w:tc>
                <w:tcPr>
                  <w:tcW w:w="370" w:type="pct"/>
                  <w:noWrap w:val="0"/>
                  <w:vAlign w:val="center"/>
                </w:tcPr>
                <w:p w14:paraId="2E71F55C">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T/In</w:t>
                  </w:r>
                </w:p>
              </w:tc>
              <w:tc>
                <w:tcPr>
                  <w:tcW w:w="392" w:type="pct"/>
                  <w:vMerge w:val="continue"/>
                  <w:noWrap w:val="0"/>
                  <w:vAlign w:val="center"/>
                </w:tcPr>
                <w:p w14:paraId="385684A4">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p>
              </w:tc>
            </w:tr>
            <w:tr w14:paraId="75E9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pct"/>
                  <w:noWrap w:val="0"/>
                  <w:vAlign w:val="center"/>
                </w:tcPr>
                <w:p w14:paraId="2F3E25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废机油桶</w:t>
                  </w:r>
                </w:p>
              </w:tc>
              <w:tc>
                <w:tcPr>
                  <w:tcW w:w="510" w:type="pct"/>
                  <w:noWrap w:val="0"/>
                  <w:vAlign w:val="center"/>
                </w:tcPr>
                <w:p w14:paraId="3EFD3DE1">
                  <w:pPr>
                    <w:keepNext w:val="0"/>
                    <w:keepLines w:val="0"/>
                    <w:pageBreakBefore w:val="0"/>
                    <w:widowControl/>
                    <w:suppressLineNumbers w:val="0"/>
                    <w:kinsoku/>
                    <w:overflowPunct/>
                    <w:topLinePunct w:val="0"/>
                    <w:bidi w:val="0"/>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HW08</w:t>
                  </w:r>
                </w:p>
              </w:tc>
              <w:tc>
                <w:tcPr>
                  <w:tcW w:w="542" w:type="pct"/>
                  <w:noWrap w:val="0"/>
                  <w:vAlign w:val="center"/>
                </w:tcPr>
                <w:p w14:paraId="166488E6">
                  <w:pPr>
                    <w:keepNext w:val="0"/>
                    <w:keepLines w:val="0"/>
                    <w:pageBreakBefore w:val="0"/>
                    <w:widowControl/>
                    <w:suppressLineNumbers w:val="0"/>
                    <w:kinsoku/>
                    <w:overflowPunct/>
                    <w:topLinePunct w:val="0"/>
                    <w:bidi w:val="0"/>
                    <w:snapToGrid/>
                    <w:spacing w:before="0" w:beforeAutospacing="0" w:after="0" w:afterAutospacing="0" w:line="240" w:lineRule="auto"/>
                    <w:ind w:left="0" w:right="0"/>
                    <w:jc w:val="center"/>
                    <w:textAlignment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900-249-08</w:t>
                  </w:r>
                </w:p>
              </w:tc>
              <w:tc>
                <w:tcPr>
                  <w:tcW w:w="427" w:type="pct"/>
                  <w:noWrap w:val="0"/>
                  <w:vAlign w:val="center"/>
                </w:tcPr>
                <w:p w14:paraId="7F7AEE40">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0.02</w:t>
                  </w:r>
                </w:p>
              </w:tc>
              <w:tc>
                <w:tcPr>
                  <w:tcW w:w="442" w:type="pct"/>
                  <w:noWrap w:val="0"/>
                  <w:vAlign w:val="center"/>
                </w:tcPr>
                <w:p w14:paraId="3330C1AC">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14:textFill>
                        <w14:solidFill>
                          <w14:schemeClr w14:val="tx1"/>
                        </w14:solidFill>
                      </w14:textFill>
                    </w:rPr>
                    <w:t>设备保养</w:t>
                  </w:r>
                </w:p>
              </w:tc>
              <w:tc>
                <w:tcPr>
                  <w:tcW w:w="397" w:type="pct"/>
                  <w:noWrap w:val="0"/>
                  <w:vAlign w:val="center"/>
                </w:tcPr>
                <w:p w14:paraId="6ACE2719">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463" w:type="pct"/>
                  <w:noWrap w:val="0"/>
                  <w:vAlign w:val="center"/>
                </w:tcPr>
                <w:p w14:paraId="107C454A">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eastAsia="宋体" w:cs="Times New Roman"/>
                      <w:color w:val="000000" w:themeColor="text1"/>
                      <w:kern w:val="2"/>
                      <w:position w:val="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t>矿物油</w:t>
                  </w:r>
                </w:p>
              </w:tc>
              <w:tc>
                <w:tcPr>
                  <w:tcW w:w="383" w:type="pct"/>
                  <w:noWrap w:val="0"/>
                  <w:vAlign w:val="center"/>
                </w:tcPr>
                <w:p w14:paraId="69CB06C7">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eastAsia="宋体" w:cs="Times New Roman"/>
                      <w:color w:val="000000" w:themeColor="text1"/>
                      <w:kern w:val="2"/>
                      <w:position w:val="0"/>
                      <w:sz w:val="21"/>
                      <w:szCs w:val="21"/>
                      <w:highlight w:val="none"/>
                      <w:lang w:eastAsia="zh-CN"/>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t>矿物油</w:t>
                  </w:r>
                </w:p>
              </w:tc>
              <w:tc>
                <w:tcPr>
                  <w:tcW w:w="335" w:type="pct"/>
                  <w:noWrap w:val="0"/>
                  <w:vAlign w:val="center"/>
                </w:tcPr>
                <w:p w14:paraId="02D5CDB7">
                  <w:pPr>
                    <w:keepNext w:val="0"/>
                    <w:keepLines w:val="0"/>
                    <w:pageBreakBefore w:val="0"/>
                    <w:suppressLineNumbers w:val="0"/>
                    <w:kinsoku/>
                    <w:overflowPunct/>
                    <w:topLinePunct w:val="0"/>
                    <w:bidi w:val="0"/>
                    <w:adjustRightInd w:val="0"/>
                    <w:snapToGrid/>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半</w:t>
                  </w:r>
                  <w:r>
                    <w:rPr>
                      <w:rFonts w:hint="default" w:ascii="Times New Roman" w:hAnsi="Times New Roman" w:cs="Times New Roman"/>
                      <w:color w:val="000000" w:themeColor="text1"/>
                      <w:sz w:val="21"/>
                      <w:szCs w:val="21"/>
                      <w:highlight w:val="none"/>
                      <w14:textFill>
                        <w14:solidFill>
                          <w14:schemeClr w14:val="tx1"/>
                        </w14:solidFill>
                      </w14:textFill>
                    </w:rPr>
                    <w:t>年</w:t>
                  </w:r>
                </w:p>
              </w:tc>
              <w:tc>
                <w:tcPr>
                  <w:tcW w:w="370" w:type="pct"/>
                  <w:noWrap w:val="0"/>
                  <w:vAlign w:val="center"/>
                </w:tcPr>
                <w:p w14:paraId="3F017CFB">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w:t>
                  </w:r>
                  <w:r>
                    <w:rPr>
                      <w:rFonts w:hint="eastAsia"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I</w:t>
                  </w:r>
                </w:p>
              </w:tc>
              <w:tc>
                <w:tcPr>
                  <w:tcW w:w="392" w:type="pct"/>
                  <w:vMerge w:val="continue"/>
                  <w:noWrap w:val="0"/>
                  <w:vAlign w:val="center"/>
                </w:tcPr>
                <w:p w14:paraId="2A923684">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p>
              </w:tc>
            </w:tr>
            <w:tr w14:paraId="6CC9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pct"/>
                  <w:noWrap w:val="0"/>
                  <w:vAlign w:val="center"/>
                </w:tcPr>
                <w:p w14:paraId="4A472C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废机油</w:t>
                  </w:r>
                </w:p>
              </w:tc>
              <w:tc>
                <w:tcPr>
                  <w:tcW w:w="510" w:type="pct"/>
                  <w:noWrap w:val="0"/>
                  <w:vAlign w:val="center"/>
                </w:tcPr>
                <w:p w14:paraId="6315AB0F">
                  <w:pPr>
                    <w:keepNext w:val="0"/>
                    <w:keepLines w:val="0"/>
                    <w:pageBreakBefore w:val="0"/>
                    <w:widowControl/>
                    <w:suppressLineNumbers w:val="0"/>
                    <w:kinsoku/>
                    <w:overflowPunct/>
                    <w:topLinePunct w:val="0"/>
                    <w:bidi w:val="0"/>
                    <w:snapToGrid/>
                    <w:spacing w:before="0" w:beforeAutospacing="0" w:after="0" w:afterAutospacing="0" w:line="240" w:lineRule="auto"/>
                    <w:ind w:left="0" w:right="0"/>
                    <w:jc w:val="center"/>
                    <w:textAlignment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HW08</w:t>
                  </w:r>
                </w:p>
              </w:tc>
              <w:tc>
                <w:tcPr>
                  <w:tcW w:w="542" w:type="pct"/>
                  <w:noWrap w:val="0"/>
                  <w:vAlign w:val="center"/>
                </w:tcPr>
                <w:p w14:paraId="01BD6D15">
                  <w:pPr>
                    <w:keepNext w:val="0"/>
                    <w:keepLines w:val="0"/>
                    <w:pageBreakBefore w:val="0"/>
                    <w:widowControl/>
                    <w:suppressLineNumbers w:val="0"/>
                    <w:kinsoku/>
                    <w:overflowPunct/>
                    <w:topLinePunct w:val="0"/>
                    <w:bidi w:val="0"/>
                    <w:snapToGrid/>
                    <w:spacing w:before="0" w:beforeAutospacing="0" w:after="0" w:afterAutospacing="0" w:line="240" w:lineRule="auto"/>
                    <w:ind w:left="0" w:right="0"/>
                    <w:jc w:val="center"/>
                    <w:textAlignment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900-249-08</w:t>
                  </w:r>
                </w:p>
              </w:tc>
              <w:tc>
                <w:tcPr>
                  <w:tcW w:w="427" w:type="pct"/>
                  <w:noWrap w:val="0"/>
                  <w:vAlign w:val="center"/>
                </w:tcPr>
                <w:p w14:paraId="0C13B425">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w:t>
                  </w:r>
                </w:p>
              </w:tc>
              <w:tc>
                <w:tcPr>
                  <w:tcW w:w="442" w:type="pct"/>
                  <w:noWrap w:val="0"/>
                  <w:vAlign w:val="center"/>
                </w:tcPr>
                <w:p w14:paraId="015FD702">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14:textFill>
                        <w14:solidFill>
                          <w14:schemeClr w14:val="tx1"/>
                        </w14:solidFill>
                      </w14:textFill>
                    </w:rPr>
                    <w:t>设备保养</w:t>
                  </w:r>
                </w:p>
              </w:tc>
              <w:tc>
                <w:tcPr>
                  <w:tcW w:w="397" w:type="pct"/>
                  <w:noWrap w:val="0"/>
                  <w:vAlign w:val="center"/>
                </w:tcPr>
                <w:p w14:paraId="1C13AC07">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液态</w:t>
                  </w:r>
                </w:p>
              </w:tc>
              <w:tc>
                <w:tcPr>
                  <w:tcW w:w="463" w:type="pct"/>
                  <w:noWrap w:val="0"/>
                  <w:vAlign w:val="center"/>
                </w:tcPr>
                <w:p w14:paraId="74D180EF">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t>矿物油</w:t>
                  </w:r>
                </w:p>
              </w:tc>
              <w:tc>
                <w:tcPr>
                  <w:tcW w:w="383" w:type="pct"/>
                  <w:noWrap w:val="0"/>
                  <w:vAlign w:val="center"/>
                </w:tcPr>
                <w:p w14:paraId="45E9848C">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t>矿物油</w:t>
                  </w:r>
                </w:p>
              </w:tc>
              <w:tc>
                <w:tcPr>
                  <w:tcW w:w="335" w:type="pct"/>
                  <w:noWrap w:val="0"/>
                  <w:vAlign w:val="center"/>
                </w:tcPr>
                <w:p w14:paraId="3FCDC471">
                  <w:pPr>
                    <w:keepNext w:val="0"/>
                    <w:keepLines w:val="0"/>
                    <w:pageBreakBefore w:val="0"/>
                    <w:suppressLineNumbers w:val="0"/>
                    <w:kinsoku/>
                    <w:overflowPunct/>
                    <w:topLinePunct w:val="0"/>
                    <w:bidi w:val="0"/>
                    <w:adjustRightInd w:val="0"/>
                    <w:snapToGrid/>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半</w:t>
                  </w:r>
                  <w:r>
                    <w:rPr>
                      <w:rFonts w:hint="default" w:ascii="Times New Roman" w:hAnsi="Times New Roman" w:cs="Times New Roman"/>
                      <w:color w:val="000000" w:themeColor="text1"/>
                      <w:sz w:val="21"/>
                      <w:szCs w:val="21"/>
                      <w:highlight w:val="none"/>
                      <w14:textFill>
                        <w14:solidFill>
                          <w14:schemeClr w14:val="tx1"/>
                        </w14:solidFill>
                      </w14:textFill>
                    </w:rPr>
                    <w:t>年</w:t>
                  </w:r>
                </w:p>
              </w:tc>
              <w:tc>
                <w:tcPr>
                  <w:tcW w:w="370" w:type="pct"/>
                  <w:noWrap w:val="0"/>
                  <w:vAlign w:val="center"/>
                </w:tcPr>
                <w:p w14:paraId="51FAC08D">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T，I</w:t>
                  </w:r>
                </w:p>
              </w:tc>
              <w:tc>
                <w:tcPr>
                  <w:tcW w:w="392" w:type="pct"/>
                  <w:vMerge w:val="continue"/>
                  <w:noWrap w:val="0"/>
                  <w:vAlign w:val="center"/>
                </w:tcPr>
                <w:p w14:paraId="22F6B899">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p>
              </w:tc>
            </w:tr>
            <w:tr w14:paraId="4C614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pct"/>
                  <w:noWrap w:val="0"/>
                  <w:vAlign w:val="center"/>
                </w:tcPr>
                <w:p w14:paraId="6EC933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废含油抹布手套</w:t>
                  </w:r>
                </w:p>
              </w:tc>
              <w:tc>
                <w:tcPr>
                  <w:tcW w:w="510" w:type="pct"/>
                  <w:noWrap w:val="0"/>
                  <w:vAlign w:val="center"/>
                </w:tcPr>
                <w:p w14:paraId="3DD11139">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HW49</w:t>
                  </w:r>
                </w:p>
              </w:tc>
              <w:tc>
                <w:tcPr>
                  <w:tcW w:w="542" w:type="pct"/>
                  <w:noWrap w:val="0"/>
                  <w:vAlign w:val="center"/>
                </w:tcPr>
                <w:p w14:paraId="23A5EF4E">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900-041-49</w:t>
                  </w:r>
                </w:p>
              </w:tc>
              <w:tc>
                <w:tcPr>
                  <w:tcW w:w="427" w:type="pct"/>
                  <w:noWrap w:val="0"/>
                  <w:vAlign w:val="center"/>
                </w:tcPr>
                <w:p w14:paraId="006B5FA5">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0.05</w:t>
                  </w:r>
                </w:p>
              </w:tc>
              <w:tc>
                <w:tcPr>
                  <w:tcW w:w="442" w:type="pct"/>
                  <w:noWrap w:val="0"/>
                  <w:vAlign w:val="center"/>
                </w:tcPr>
                <w:p w14:paraId="7595B65C">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14:textFill>
                        <w14:solidFill>
                          <w14:schemeClr w14:val="tx1"/>
                        </w14:solidFill>
                      </w14:textFill>
                    </w:rPr>
                    <w:t>设备保养</w:t>
                  </w:r>
                </w:p>
              </w:tc>
              <w:tc>
                <w:tcPr>
                  <w:tcW w:w="397" w:type="pct"/>
                  <w:noWrap w:val="0"/>
                  <w:vAlign w:val="center"/>
                </w:tcPr>
                <w:p w14:paraId="280BC0B2">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463" w:type="pct"/>
                  <w:noWrap w:val="0"/>
                  <w:vAlign w:val="center"/>
                </w:tcPr>
                <w:p w14:paraId="7E291631">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t>矿物油</w:t>
                  </w:r>
                </w:p>
              </w:tc>
              <w:tc>
                <w:tcPr>
                  <w:tcW w:w="383" w:type="pct"/>
                  <w:noWrap w:val="0"/>
                  <w:vAlign w:val="center"/>
                </w:tcPr>
                <w:p w14:paraId="78DF0C9B">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t>矿物油</w:t>
                  </w:r>
                </w:p>
              </w:tc>
              <w:tc>
                <w:tcPr>
                  <w:tcW w:w="335" w:type="pct"/>
                  <w:noWrap w:val="0"/>
                  <w:vAlign w:val="center"/>
                </w:tcPr>
                <w:p w14:paraId="31DAE464">
                  <w:pPr>
                    <w:keepNext w:val="0"/>
                    <w:keepLines w:val="0"/>
                    <w:pageBreakBefore w:val="0"/>
                    <w:suppressLineNumbers w:val="0"/>
                    <w:kinsoku/>
                    <w:overflowPunct/>
                    <w:topLinePunct w:val="0"/>
                    <w:bidi w:val="0"/>
                    <w:adjustRightInd w:val="0"/>
                    <w:snapToGrid/>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半</w:t>
                  </w:r>
                  <w:r>
                    <w:rPr>
                      <w:rFonts w:hint="default" w:ascii="Times New Roman" w:hAnsi="Times New Roman" w:cs="Times New Roman"/>
                      <w:color w:val="000000" w:themeColor="text1"/>
                      <w:sz w:val="21"/>
                      <w:szCs w:val="21"/>
                      <w:highlight w:val="none"/>
                      <w14:textFill>
                        <w14:solidFill>
                          <w14:schemeClr w14:val="tx1"/>
                        </w14:solidFill>
                      </w14:textFill>
                    </w:rPr>
                    <w:t>年</w:t>
                  </w:r>
                </w:p>
              </w:tc>
              <w:tc>
                <w:tcPr>
                  <w:tcW w:w="370" w:type="pct"/>
                  <w:noWrap w:val="0"/>
                  <w:vAlign w:val="center"/>
                </w:tcPr>
                <w:p w14:paraId="5CDAA9A3">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T/In</w:t>
                  </w:r>
                </w:p>
              </w:tc>
              <w:tc>
                <w:tcPr>
                  <w:tcW w:w="392" w:type="pct"/>
                  <w:vMerge w:val="continue"/>
                  <w:noWrap w:val="0"/>
                  <w:vAlign w:val="center"/>
                </w:tcPr>
                <w:p w14:paraId="2E0697D6">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p>
              </w:tc>
            </w:tr>
            <w:tr w14:paraId="2FD3B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pct"/>
                  <w:noWrap w:val="0"/>
                  <w:vAlign w:val="center"/>
                </w:tcPr>
                <w:p w14:paraId="167CE8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废液压油桶</w:t>
                  </w:r>
                </w:p>
              </w:tc>
              <w:tc>
                <w:tcPr>
                  <w:tcW w:w="510" w:type="pct"/>
                  <w:noWrap w:val="0"/>
                  <w:vAlign w:val="center"/>
                </w:tcPr>
                <w:p w14:paraId="7FFBB674">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HW08</w:t>
                  </w:r>
                </w:p>
              </w:tc>
              <w:tc>
                <w:tcPr>
                  <w:tcW w:w="542" w:type="pct"/>
                  <w:noWrap w:val="0"/>
                  <w:vAlign w:val="center"/>
                </w:tcPr>
                <w:p w14:paraId="200ECF4F">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900-249-08</w:t>
                  </w:r>
                </w:p>
              </w:tc>
              <w:tc>
                <w:tcPr>
                  <w:tcW w:w="427" w:type="pct"/>
                  <w:noWrap w:val="0"/>
                  <w:vAlign w:val="center"/>
                </w:tcPr>
                <w:p w14:paraId="05074D02">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0.015</w:t>
                  </w:r>
                </w:p>
              </w:tc>
              <w:tc>
                <w:tcPr>
                  <w:tcW w:w="442" w:type="pct"/>
                  <w:noWrap w:val="0"/>
                  <w:vAlign w:val="center"/>
                </w:tcPr>
                <w:p w14:paraId="24F7E8FD">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eastAsia" w:ascii="Times New Roman" w:hAnsi="Times New Roman" w:eastAsia="宋体" w:cs="Times New Roman"/>
                      <w:color w:val="000000" w:themeColor="text1"/>
                      <w:kern w:val="2"/>
                      <w:position w:val="0"/>
                      <w:sz w:val="21"/>
                      <w:szCs w:val="21"/>
                      <w:highlight w:val="none"/>
                      <w:lang w:eastAsia="zh-CN"/>
                      <w14:textFill>
                        <w14:solidFill>
                          <w14:schemeClr w14:val="tx1"/>
                        </w14:solidFill>
                      </w14:textFill>
                    </w:rPr>
                  </w:pPr>
                  <w:r>
                    <w:rPr>
                      <w:rFonts w:hint="eastAsia" w:ascii="Times New Roman" w:hAnsi="Times New Roman" w:cs="Times New Roman"/>
                      <w:color w:val="000000" w:themeColor="text1"/>
                      <w:kern w:val="2"/>
                      <w:position w:val="0"/>
                      <w:sz w:val="21"/>
                      <w:szCs w:val="21"/>
                      <w:highlight w:val="none"/>
                      <w:lang w:val="en-US" w:eastAsia="zh-CN"/>
                      <w14:textFill>
                        <w14:solidFill>
                          <w14:schemeClr w14:val="tx1"/>
                        </w14:solidFill>
                      </w14:textFill>
                    </w:rPr>
                    <w:t>钣金成型</w:t>
                  </w:r>
                </w:p>
              </w:tc>
              <w:tc>
                <w:tcPr>
                  <w:tcW w:w="397" w:type="pct"/>
                  <w:noWrap w:val="0"/>
                  <w:vAlign w:val="center"/>
                </w:tcPr>
                <w:p w14:paraId="1380E728">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463" w:type="pct"/>
                  <w:noWrap w:val="0"/>
                  <w:vAlign w:val="center"/>
                </w:tcPr>
                <w:p w14:paraId="60681B9A">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t>矿物油</w:t>
                  </w:r>
                </w:p>
              </w:tc>
              <w:tc>
                <w:tcPr>
                  <w:tcW w:w="383" w:type="pct"/>
                  <w:noWrap w:val="0"/>
                  <w:vAlign w:val="center"/>
                </w:tcPr>
                <w:p w14:paraId="48E68FE1">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t>矿物油</w:t>
                  </w:r>
                </w:p>
              </w:tc>
              <w:tc>
                <w:tcPr>
                  <w:tcW w:w="335" w:type="pct"/>
                  <w:noWrap w:val="0"/>
                  <w:vAlign w:val="center"/>
                </w:tcPr>
                <w:p w14:paraId="333243C5">
                  <w:pPr>
                    <w:keepNext w:val="0"/>
                    <w:keepLines w:val="0"/>
                    <w:pageBreakBefore w:val="0"/>
                    <w:suppressLineNumbers w:val="0"/>
                    <w:kinsoku/>
                    <w:overflowPunct/>
                    <w:topLinePunct w:val="0"/>
                    <w:bidi w:val="0"/>
                    <w:adjustRightInd w:val="0"/>
                    <w:snapToGrid/>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半</w:t>
                  </w:r>
                  <w:r>
                    <w:rPr>
                      <w:rFonts w:hint="default" w:ascii="Times New Roman" w:hAnsi="Times New Roman" w:cs="Times New Roman"/>
                      <w:color w:val="000000" w:themeColor="text1"/>
                      <w:sz w:val="21"/>
                      <w:szCs w:val="21"/>
                      <w:highlight w:val="none"/>
                      <w14:textFill>
                        <w14:solidFill>
                          <w14:schemeClr w14:val="tx1"/>
                        </w14:solidFill>
                      </w14:textFill>
                    </w:rPr>
                    <w:t>年</w:t>
                  </w:r>
                </w:p>
              </w:tc>
              <w:tc>
                <w:tcPr>
                  <w:tcW w:w="370" w:type="pct"/>
                  <w:noWrap w:val="0"/>
                  <w:vAlign w:val="center"/>
                </w:tcPr>
                <w:p w14:paraId="13E5B663">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T，I</w:t>
                  </w:r>
                </w:p>
              </w:tc>
              <w:tc>
                <w:tcPr>
                  <w:tcW w:w="392" w:type="pct"/>
                  <w:vMerge w:val="continue"/>
                  <w:noWrap w:val="0"/>
                  <w:vAlign w:val="center"/>
                </w:tcPr>
                <w:p w14:paraId="4BBB4BB4">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p>
              </w:tc>
            </w:tr>
            <w:tr w14:paraId="3B305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pct"/>
                  <w:noWrap w:val="0"/>
                  <w:vAlign w:val="center"/>
                </w:tcPr>
                <w:p w14:paraId="2B022C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废液压油</w:t>
                  </w:r>
                </w:p>
              </w:tc>
              <w:tc>
                <w:tcPr>
                  <w:tcW w:w="510" w:type="pct"/>
                  <w:noWrap w:val="0"/>
                  <w:vAlign w:val="center"/>
                </w:tcPr>
                <w:p w14:paraId="0EBAA9A5">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HW08</w:t>
                  </w:r>
                </w:p>
              </w:tc>
              <w:tc>
                <w:tcPr>
                  <w:tcW w:w="542" w:type="pct"/>
                  <w:noWrap w:val="0"/>
                  <w:vAlign w:val="center"/>
                </w:tcPr>
                <w:p w14:paraId="2BCA1548">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900-2</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18</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-08</w:t>
                  </w:r>
                </w:p>
              </w:tc>
              <w:tc>
                <w:tcPr>
                  <w:tcW w:w="427" w:type="pct"/>
                  <w:noWrap w:val="0"/>
                  <w:vAlign w:val="center"/>
                </w:tcPr>
                <w:p w14:paraId="40C3F7C4">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w:t>
                  </w:r>
                </w:p>
              </w:tc>
              <w:tc>
                <w:tcPr>
                  <w:tcW w:w="442" w:type="pct"/>
                  <w:noWrap w:val="0"/>
                  <w:vAlign w:val="center"/>
                </w:tcPr>
                <w:p w14:paraId="41215C18">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eastAsia" w:ascii="Times New Roman" w:hAnsi="Times New Roman" w:cs="Times New Roman"/>
                      <w:color w:val="000000" w:themeColor="text1"/>
                      <w:kern w:val="2"/>
                      <w:position w:val="0"/>
                      <w:sz w:val="21"/>
                      <w:szCs w:val="21"/>
                      <w:highlight w:val="none"/>
                      <w:lang w:val="en-US" w:eastAsia="zh-CN"/>
                      <w14:textFill>
                        <w14:solidFill>
                          <w14:schemeClr w14:val="tx1"/>
                        </w14:solidFill>
                      </w14:textFill>
                    </w:rPr>
                    <w:t>钣金成型</w:t>
                  </w:r>
                </w:p>
              </w:tc>
              <w:tc>
                <w:tcPr>
                  <w:tcW w:w="397" w:type="pct"/>
                  <w:noWrap w:val="0"/>
                  <w:vAlign w:val="center"/>
                </w:tcPr>
                <w:p w14:paraId="58DC92C2">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液态</w:t>
                  </w:r>
                </w:p>
              </w:tc>
              <w:tc>
                <w:tcPr>
                  <w:tcW w:w="463" w:type="pct"/>
                  <w:noWrap w:val="0"/>
                  <w:vAlign w:val="center"/>
                </w:tcPr>
                <w:p w14:paraId="148CFD56">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t>矿物油</w:t>
                  </w:r>
                </w:p>
              </w:tc>
              <w:tc>
                <w:tcPr>
                  <w:tcW w:w="383" w:type="pct"/>
                  <w:noWrap w:val="0"/>
                  <w:vAlign w:val="center"/>
                </w:tcPr>
                <w:p w14:paraId="1FF33233">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cs="Times New Roman"/>
                      <w:color w:val="000000" w:themeColor="text1"/>
                      <w:kern w:val="2"/>
                      <w:position w:val="0"/>
                      <w:sz w:val="21"/>
                      <w:szCs w:val="21"/>
                      <w:highlight w:val="none"/>
                      <w14:textFill>
                        <w14:solidFill>
                          <w14:schemeClr w14:val="tx1"/>
                        </w14:solidFill>
                      </w14:textFill>
                    </w:rPr>
                  </w:pPr>
                  <w: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t>矿物油</w:t>
                  </w:r>
                </w:p>
              </w:tc>
              <w:tc>
                <w:tcPr>
                  <w:tcW w:w="335" w:type="pct"/>
                  <w:noWrap w:val="0"/>
                  <w:vAlign w:val="center"/>
                </w:tcPr>
                <w:p w14:paraId="741FC37C">
                  <w:pPr>
                    <w:keepNext w:val="0"/>
                    <w:keepLines w:val="0"/>
                    <w:pageBreakBefore w:val="0"/>
                    <w:suppressLineNumbers w:val="0"/>
                    <w:kinsoku/>
                    <w:overflowPunct/>
                    <w:topLinePunct w:val="0"/>
                    <w:bidi w:val="0"/>
                    <w:adjustRightInd w:val="0"/>
                    <w:snapToGrid/>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半</w:t>
                  </w:r>
                  <w:r>
                    <w:rPr>
                      <w:rFonts w:hint="default" w:ascii="Times New Roman" w:hAnsi="Times New Roman" w:cs="Times New Roman"/>
                      <w:color w:val="000000" w:themeColor="text1"/>
                      <w:sz w:val="21"/>
                      <w:szCs w:val="21"/>
                      <w:highlight w:val="none"/>
                      <w14:textFill>
                        <w14:solidFill>
                          <w14:schemeClr w14:val="tx1"/>
                        </w14:solidFill>
                      </w14:textFill>
                    </w:rPr>
                    <w:t>年</w:t>
                  </w:r>
                </w:p>
              </w:tc>
              <w:tc>
                <w:tcPr>
                  <w:tcW w:w="370" w:type="pct"/>
                  <w:noWrap w:val="0"/>
                  <w:vAlign w:val="center"/>
                </w:tcPr>
                <w:p w14:paraId="27CF8711">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T，I</w:t>
                  </w:r>
                </w:p>
              </w:tc>
              <w:tc>
                <w:tcPr>
                  <w:tcW w:w="392" w:type="pct"/>
                  <w:vMerge w:val="continue"/>
                  <w:noWrap w:val="0"/>
                  <w:vAlign w:val="center"/>
                </w:tcPr>
                <w:p w14:paraId="31B035D3">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p>
              </w:tc>
            </w:tr>
            <w:tr w14:paraId="73DF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pct"/>
                  <w:noWrap w:val="0"/>
                  <w:vAlign w:val="center"/>
                </w:tcPr>
                <w:p w14:paraId="15430E9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废原料桶</w:t>
                  </w:r>
                </w:p>
              </w:tc>
              <w:tc>
                <w:tcPr>
                  <w:tcW w:w="510" w:type="pct"/>
                  <w:noWrap w:val="0"/>
                  <w:vAlign w:val="center"/>
                </w:tcPr>
                <w:p w14:paraId="45B243FE">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HW49</w:t>
                  </w:r>
                </w:p>
              </w:tc>
              <w:tc>
                <w:tcPr>
                  <w:tcW w:w="542" w:type="pct"/>
                  <w:noWrap w:val="0"/>
                  <w:vAlign w:val="center"/>
                </w:tcPr>
                <w:p w14:paraId="3B1A2A34">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900-041-49</w:t>
                  </w:r>
                </w:p>
              </w:tc>
              <w:tc>
                <w:tcPr>
                  <w:tcW w:w="427" w:type="pct"/>
                  <w:shd w:val="clear" w:color="auto" w:fill="auto"/>
                  <w:noWrap w:val="0"/>
                  <w:vAlign w:val="center"/>
                </w:tcPr>
                <w:p w14:paraId="5D11FB56">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0.062</w:t>
                  </w:r>
                </w:p>
              </w:tc>
              <w:tc>
                <w:tcPr>
                  <w:tcW w:w="442" w:type="pct"/>
                  <w:noWrap w:val="0"/>
                  <w:vAlign w:val="center"/>
                </w:tcPr>
                <w:p w14:paraId="0B7A6E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Times New Roman" w:hAnsi="Times New Roman" w:cs="Times New Roman"/>
                      <w:color w:val="000000" w:themeColor="text1"/>
                      <w:kern w:val="2"/>
                      <w:position w:val="0"/>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喷漆工序</w:t>
                  </w:r>
                </w:p>
              </w:tc>
              <w:tc>
                <w:tcPr>
                  <w:tcW w:w="397" w:type="pct"/>
                  <w:noWrap w:val="0"/>
                  <w:vAlign w:val="center"/>
                </w:tcPr>
                <w:p w14:paraId="3DF54C46">
                  <w:pPr>
                    <w:widowControl/>
                    <w:spacing w:line="240" w:lineRule="auto"/>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463" w:type="pct"/>
                  <w:noWrap w:val="0"/>
                  <w:vAlign w:val="center"/>
                </w:tcPr>
                <w:p w14:paraId="3001732F">
                  <w:pPr>
                    <w:widowControl/>
                    <w:spacing w:line="240" w:lineRule="auto"/>
                    <w:jc w:val="cente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有机树脂、有机溶剂</w:t>
                  </w:r>
                </w:p>
              </w:tc>
              <w:tc>
                <w:tcPr>
                  <w:tcW w:w="383" w:type="pct"/>
                  <w:noWrap w:val="0"/>
                  <w:vAlign w:val="center"/>
                </w:tcPr>
                <w:p w14:paraId="6D964DAD">
                  <w:pPr>
                    <w:widowControl/>
                    <w:spacing w:line="240" w:lineRule="auto"/>
                    <w:jc w:val="cente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有机树脂、有机溶剂</w:t>
                  </w:r>
                </w:p>
              </w:tc>
              <w:tc>
                <w:tcPr>
                  <w:tcW w:w="335" w:type="pct"/>
                  <w:noWrap w:val="0"/>
                  <w:vAlign w:val="center"/>
                </w:tcPr>
                <w:p w14:paraId="05653BDE">
                  <w:pPr>
                    <w:keepNext w:val="0"/>
                    <w:keepLines w:val="0"/>
                    <w:pageBreakBefore w:val="0"/>
                    <w:suppressLineNumbers w:val="0"/>
                    <w:kinsoku/>
                    <w:overflowPunct/>
                    <w:topLinePunct w:val="0"/>
                    <w:bidi w:val="0"/>
                    <w:adjustRightInd w:val="0"/>
                    <w:snapToGrid/>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每周</w:t>
                  </w:r>
                </w:p>
              </w:tc>
              <w:tc>
                <w:tcPr>
                  <w:tcW w:w="370" w:type="pct"/>
                  <w:shd w:val="clear" w:color="auto" w:fill="auto"/>
                  <w:noWrap w:val="0"/>
                  <w:vAlign w:val="center"/>
                </w:tcPr>
                <w:p w14:paraId="5A4FD040">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T/In</w:t>
                  </w:r>
                </w:p>
              </w:tc>
              <w:tc>
                <w:tcPr>
                  <w:tcW w:w="392" w:type="pct"/>
                  <w:vMerge w:val="continue"/>
                  <w:noWrap w:val="0"/>
                  <w:vAlign w:val="center"/>
                </w:tcPr>
                <w:p w14:paraId="76B171E4">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p>
              </w:tc>
            </w:tr>
            <w:tr w14:paraId="2040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pct"/>
                  <w:noWrap w:val="0"/>
                  <w:vAlign w:val="center"/>
                </w:tcPr>
                <w:p w14:paraId="7C5C366A">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喷枪清洗液</w:t>
                  </w:r>
                </w:p>
              </w:tc>
              <w:tc>
                <w:tcPr>
                  <w:tcW w:w="510" w:type="pct"/>
                  <w:noWrap w:val="0"/>
                  <w:vAlign w:val="center"/>
                </w:tcPr>
                <w:p w14:paraId="53A29705">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HW06</w:t>
                  </w:r>
                </w:p>
              </w:tc>
              <w:tc>
                <w:tcPr>
                  <w:tcW w:w="542" w:type="pct"/>
                  <w:noWrap w:val="0"/>
                  <w:vAlign w:val="center"/>
                </w:tcPr>
                <w:p w14:paraId="48EA27AE">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900-402-06</w:t>
                  </w:r>
                </w:p>
              </w:tc>
              <w:tc>
                <w:tcPr>
                  <w:tcW w:w="427" w:type="pct"/>
                  <w:shd w:val="clear" w:color="auto" w:fill="auto"/>
                  <w:noWrap w:val="0"/>
                  <w:vAlign w:val="center"/>
                </w:tcPr>
                <w:p w14:paraId="01291890">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0.045 </w:t>
                  </w:r>
                </w:p>
              </w:tc>
              <w:tc>
                <w:tcPr>
                  <w:tcW w:w="442" w:type="pct"/>
                  <w:noWrap w:val="0"/>
                  <w:vAlign w:val="center"/>
                </w:tcPr>
                <w:p w14:paraId="0441E1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Times New Roman" w:hAnsi="Times New Roman" w:cs="Times New Roman"/>
                      <w:color w:val="000000" w:themeColor="text1"/>
                      <w:kern w:val="2"/>
                      <w:position w:val="0"/>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喷漆工序</w:t>
                  </w:r>
                </w:p>
              </w:tc>
              <w:tc>
                <w:tcPr>
                  <w:tcW w:w="397" w:type="pct"/>
                  <w:noWrap w:val="0"/>
                  <w:vAlign w:val="center"/>
                </w:tcPr>
                <w:p w14:paraId="3BCAD1F1">
                  <w:pPr>
                    <w:widowControl/>
                    <w:spacing w:line="240" w:lineRule="auto"/>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液</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态</w:t>
                  </w:r>
                </w:p>
              </w:tc>
              <w:tc>
                <w:tcPr>
                  <w:tcW w:w="463" w:type="pct"/>
                  <w:noWrap w:val="0"/>
                  <w:vAlign w:val="center"/>
                </w:tcPr>
                <w:p w14:paraId="49103A98">
                  <w:pPr>
                    <w:widowControl/>
                    <w:spacing w:line="240" w:lineRule="auto"/>
                    <w:jc w:val="cente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清洗剂</w:t>
                  </w:r>
                </w:p>
              </w:tc>
              <w:tc>
                <w:tcPr>
                  <w:tcW w:w="383" w:type="pct"/>
                  <w:noWrap w:val="0"/>
                  <w:vAlign w:val="center"/>
                </w:tcPr>
                <w:p w14:paraId="12651C64">
                  <w:pPr>
                    <w:widowControl/>
                    <w:spacing w:line="240" w:lineRule="auto"/>
                    <w:jc w:val="cente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清洗剂</w:t>
                  </w:r>
                </w:p>
              </w:tc>
              <w:tc>
                <w:tcPr>
                  <w:tcW w:w="335" w:type="pct"/>
                  <w:noWrap w:val="0"/>
                  <w:vAlign w:val="center"/>
                </w:tcPr>
                <w:p w14:paraId="1E41331B">
                  <w:pPr>
                    <w:keepNext w:val="0"/>
                    <w:keepLines w:val="0"/>
                    <w:pageBreakBefore w:val="0"/>
                    <w:suppressLineNumbers w:val="0"/>
                    <w:kinsoku/>
                    <w:overflowPunct/>
                    <w:topLinePunct w:val="0"/>
                    <w:bidi w:val="0"/>
                    <w:adjustRightInd w:val="0"/>
                    <w:snapToGrid/>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每月</w:t>
                  </w:r>
                </w:p>
              </w:tc>
              <w:tc>
                <w:tcPr>
                  <w:tcW w:w="370" w:type="pct"/>
                  <w:shd w:val="clear" w:color="auto" w:fill="auto"/>
                  <w:noWrap w:val="0"/>
                  <w:vAlign w:val="center"/>
                </w:tcPr>
                <w:p w14:paraId="24539E94">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color w:val="000000" w:themeColor="text1"/>
                      <w:szCs w:val="21"/>
                      <w14:textFill>
                        <w14:solidFill>
                          <w14:schemeClr w14:val="tx1"/>
                        </w14:solidFill>
                      </w14:textFill>
                    </w:rPr>
                    <w:t>T、I</w:t>
                  </w:r>
                  <w:r>
                    <w:rPr>
                      <w:rFonts w:hint="eastAsia"/>
                      <w:color w:val="000000" w:themeColor="text1"/>
                      <w:szCs w:val="21"/>
                      <w:lang w:eastAsia="zh-CN"/>
                      <w14:textFill>
                        <w14:solidFill>
                          <w14:schemeClr w14:val="tx1"/>
                        </w14:solidFill>
                      </w14:textFill>
                    </w:rPr>
                    <w:t>、</w:t>
                  </w:r>
                  <w:r>
                    <w:rPr>
                      <w:rFonts w:hint="eastAsia"/>
                      <w:color w:val="000000" w:themeColor="text1"/>
                      <w:szCs w:val="21"/>
                      <w:lang w:val="en-US" w:eastAsia="zh-CN"/>
                      <w14:textFill>
                        <w14:solidFill>
                          <w14:schemeClr w14:val="tx1"/>
                        </w14:solidFill>
                      </w14:textFill>
                    </w:rPr>
                    <w:t>R</w:t>
                  </w:r>
                </w:p>
              </w:tc>
              <w:tc>
                <w:tcPr>
                  <w:tcW w:w="392" w:type="pct"/>
                  <w:vMerge w:val="continue"/>
                  <w:noWrap w:val="0"/>
                  <w:vAlign w:val="center"/>
                </w:tcPr>
                <w:p w14:paraId="20CDC7EC">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p>
              </w:tc>
            </w:tr>
            <w:tr w14:paraId="63214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pct"/>
                  <w:noWrap w:val="0"/>
                  <w:vAlign w:val="center"/>
                </w:tcPr>
                <w:p w14:paraId="64BC38C4">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废静电喷粉滤芯</w:t>
                  </w:r>
                </w:p>
              </w:tc>
              <w:tc>
                <w:tcPr>
                  <w:tcW w:w="510" w:type="pct"/>
                  <w:noWrap w:val="0"/>
                  <w:vAlign w:val="center"/>
                </w:tcPr>
                <w:p w14:paraId="234536A4">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HW49</w:t>
                  </w:r>
                </w:p>
              </w:tc>
              <w:tc>
                <w:tcPr>
                  <w:tcW w:w="542" w:type="pct"/>
                  <w:noWrap w:val="0"/>
                  <w:vAlign w:val="center"/>
                </w:tcPr>
                <w:p w14:paraId="4ED4DC47">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900-041-49</w:t>
                  </w:r>
                </w:p>
              </w:tc>
              <w:tc>
                <w:tcPr>
                  <w:tcW w:w="427" w:type="pct"/>
                  <w:shd w:val="clear" w:color="auto" w:fill="auto"/>
                  <w:noWrap w:val="0"/>
                  <w:vAlign w:val="center"/>
                </w:tcPr>
                <w:p w14:paraId="74B459E6">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0.096</w:t>
                  </w:r>
                </w:p>
              </w:tc>
              <w:tc>
                <w:tcPr>
                  <w:tcW w:w="442" w:type="pct"/>
                  <w:noWrap w:val="0"/>
                  <w:vAlign w:val="center"/>
                </w:tcPr>
                <w:p w14:paraId="61D70F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Times New Roman" w:hAnsi="Times New Roman" w:cs="Times New Roman"/>
                      <w:color w:val="000000" w:themeColor="text1"/>
                      <w:kern w:val="2"/>
                      <w:position w:val="0"/>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喷粉工序</w:t>
                  </w:r>
                </w:p>
              </w:tc>
              <w:tc>
                <w:tcPr>
                  <w:tcW w:w="397" w:type="pct"/>
                  <w:noWrap w:val="0"/>
                  <w:vAlign w:val="center"/>
                </w:tcPr>
                <w:p w14:paraId="3FF831B8">
                  <w:pPr>
                    <w:widowControl/>
                    <w:spacing w:line="240" w:lineRule="auto"/>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463" w:type="pct"/>
                  <w:noWrap w:val="0"/>
                  <w:vAlign w:val="center"/>
                </w:tcPr>
                <w:p w14:paraId="6D3E062D">
                  <w:pPr>
                    <w:widowControl/>
                    <w:spacing w:line="240" w:lineRule="auto"/>
                    <w:jc w:val="cente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有机树脂</w:t>
                  </w:r>
                </w:p>
              </w:tc>
              <w:tc>
                <w:tcPr>
                  <w:tcW w:w="383" w:type="pct"/>
                  <w:noWrap w:val="0"/>
                  <w:vAlign w:val="center"/>
                </w:tcPr>
                <w:p w14:paraId="4CB913CA">
                  <w:pPr>
                    <w:widowControl/>
                    <w:spacing w:line="240" w:lineRule="auto"/>
                    <w:jc w:val="cente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有机树脂</w:t>
                  </w:r>
                </w:p>
              </w:tc>
              <w:tc>
                <w:tcPr>
                  <w:tcW w:w="335" w:type="pct"/>
                  <w:noWrap w:val="0"/>
                  <w:vAlign w:val="center"/>
                </w:tcPr>
                <w:p w14:paraId="536A060B">
                  <w:pPr>
                    <w:keepNext w:val="0"/>
                    <w:keepLines w:val="0"/>
                    <w:pageBreakBefore w:val="0"/>
                    <w:suppressLineNumbers w:val="0"/>
                    <w:kinsoku/>
                    <w:overflowPunct/>
                    <w:topLinePunct w:val="0"/>
                    <w:bidi w:val="0"/>
                    <w:adjustRightInd w:val="0"/>
                    <w:snapToGrid/>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每月</w:t>
                  </w:r>
                </w:p>
              </w:tc>
              <w:tc>
                <w:tcPr>
                  <w:tcW w:w="370" w:type="pct"/>
                  <w:shd w:val="clear" w:color="auto" w:fill="auto"/>
                  <w:noWrap w:val="0"/>
                  <w:vAlign w:val="center"/>
                </w:tcPr>
                <w:p w14:paraId="58D24FFA">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color w:val="000000" w:themeColor="text1"/>
                      <w:szCs w:val="21"/>
                      <w14:textFill>
                        <w14:solidFill>
                          <w14:schemeClr w14:val="tx1"/>
                        </w14:solidFill>
                      </w14:textFill>
                    </w:rPr>
                    <w:t>T</w:t>
                  </w:r>
                  <w:r>
                    <w:rPr>
                      <w:rFonts w:hint="eastAsia"/>
                      <w:color w:val="000000" w:themeColor="text1"/>
                      <w:szCs w:val="21"/>
                      <w:lang w:val="en-US" w:eastAsia="zh-CN"/>
                      <w14:textFill>
                        <w14:solidFill>
                          <w14:schemeClr w14:val="tx1"/>
                        </w14:solidFill>
                      </w14:textFill>
                    </w:rPr>
                    <w:t>/In</w:t>
                  </w:r>
                </w:p>
              </w:tc>
              <w:tc>
                <w:tcPr>
                  <w:tcW w:w="392" w:type="pct"/>
                  <w:vMerge w:val="continue"/>
                  <w:noWrap w:val="0"/>
                  <w:vAlign w:val="center"/>
                </w:tcPr>
                <w:p w14:paraId="2CE5B3B0">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p>
              </w:tc>
            </w:tr>
            <w:tr w14:paraId="36FA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pct"/>
                  <w:noWrap w:val="0"/>
                  <w:vAlign w:val="center"/>
                </w:tcPr>
                <w:p w14:paraId="65EB057E">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废过滤棉</w:t>
                  </w:r>
                </w:p>
              </w:tc>
              <w:tc>
                <w:tcPr>
                  <w:tcW w:w="510" w:type="pct"/>
                  <w:noWrap w:val="0"/>
                  <w:vAlign w:val="center"/>
                </w:tcPr>
                <w:p w14:paraId="76A33082">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HW49</w:t>
                  </w:r>
                </w:p>
              </w:tc>
              <w:tc>
                <w:tcPr>
                  <w:tcW w:w="542" w:type="pct"/>
                  <w:noWrap w:val="0"/>
                  <w:vAlign w:val="center"/>
                </w:tcPr>
                <w:p w14:paraId="2E4CDDD5">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900-041-49</w:t>
                  </w:r>
                </w:p>
              </w:tc>
              <w:tc>
                <w:tcPr>
                  <w:tcW w:w="427" w:type="pct"/>
                  <w:shd w:val="clear" w:color="auto" w:fill="auto"/>
                  <w:noWrap w:val="0"/>
                  <w:vAlign w:val="center"/>
                </w:tcPr>
                <w:p w14:paraId="36538614">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0.12</w:t>
                  </w:r>
                </w:p>
              </w:tc>
              <w:tc>
                <w:tcPr>
                  <w:tcW w:w="442" w:type="pct"/>
                  <w:vMerge w:val="restart"/>
                  <w:noWrap w:val="0"/>
                  <w:vAlign w:val="center"/>
                </w:tcPr>
                <w:p w14:paraId="04BAB8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Times New Roman" w:hAnsi="Times New Roman" w:cs="Times New Roman"/>
                      <w:color w:val="000000" w:themeColor="text1"/>
                      <w:kern w:val="2"/>
                      <w:position w:val="0"/>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废气处理</w:t>
                  </w:r>
                </w:p>
              </w:tc>
              <w:tc>
                <w:tcPr>
                  <w:tcW w:w="397" w:type="pct"/>
                  <w:noWrap w:val="0"/>
                  <w:vAlign w:val="center"/>
                </w:tcPr>
                <w:p w14:paraId="60FF032D">
                  <w:pPr>
                    <w:widowControl/>
                    <w:spacing w:line="240" w:lineRule="auto"/>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463" w:type="pct"/>
                  <w:noWrap w:val="0"/>
                  <w:vAlign w:val="center"/>
                </w:tcPr>
                <w:p w14:paraId="6D2F55A3">
                  <w:pPr>
                    <w:widowControl/>
                    <w:spacing w:line="240" w:lineRule="auto"/>
                    <w:jc w:val="cente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有机物</w:t>
                  </w:r>
                </w:p>
              </w:tc>
              <w:tc>
                <w:tcPr>
                  <w:tcW w:w="383" w:type="pct"/>
                  <w:noWrap w:val="0"/>
                  <w:vAlign w:val="center"/>
                </w:tcPr>
                <w:p w14:paraId="402B385D">
                  <w:pPr>
                    <w:widowControl/>
                    <w:spacing w:line="240" w:lineRule="auto"/>
                    <w:jc w:val="cente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有机物</w:t>
                  </w:r>
                </w:p>
              </w:tc>
              <w:tc>
                <w:tcPr>
                  <w:tcW w:w="335" w:type="pct"/>
                  <w:noWrap w:val="0"/>
                  <w:vAlign w:val="center"/>
                </w:tcPr>
                <w:p w14:paraId="33B2AAF7">
                  <w:pPr>
                    <w:keepNext w:val="0"/>
                    <w:keepLines w:val="0"/>
                    <w:pageBreakBefore w:val="0"/>
                    <w:suppressLineNumbers w:val="0"/>
                    <w:kinsoku/>
                    <w:overflowPunct/>
                    <w:topLinePunct w:val="0"/>
                    <w:bidi w:val="0"/>
                    <w:adjustRightInd w:val="0"/>
                    <w:snapToGrid/>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每月</w:t>
                  </w:r>
                </w:p>
              </w:tc>
              <w:tc>
                <w:tcPr>
                  <w:tcW w:w="370" w:type="pct"/>
                  <w:shd w:val="clear" w:color="auto" w:fill="auto"/>
                  <w:noWrap w:val="0"/>
                  <w:vAlign w:val="center"/>
                </w:tcPr>
                <w:p w14:paraId="7E7F8220">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color w:val="000000" w:themeColor="text1"/>
                      <w:szCs w:val="21"/>
                      <w14:textFill>
                        <w14:solidFill>
                          <w14:schemeClr w14:val="tx1"/>
                        </w14:solidFill>
                      </w14:textFill>
                    </w:rPr>
                    <w:t>T</w:t>
                  </w:r>
                  <w:r>
                    <w:rPr>
                      <w:rFonts w:hint="eastAsia"/>
                      <w:color w:val="000000" w:themeColor="text1"/>
                      <w:szCs w:val="21"/>
                      <w:lang w:val="en-US" w:eastAsia="zh-CN"/>
                      <w14:textFill>
                        <w14:solidFill>
                          <w14:schemeClr w14:val="tx1"/>
                        </w14:solidFill>
                      </w14:textFill>
                    </w:rPr>
                    <w:t>/In</w:t>
                  </w:r>
                </w:p>
              </w:tc>
              <w:tc>
                <w:tcPr>
                  <w:tcW w:w="392" w:type="pct"/>
                  <w:vMerge w:val="continue"/>
                  <w:noWrap w:val="0"/>
                  <w:vAlign w:val="center"/>
                </w:tcPr>
                <w:p w14:paraId="18280130">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p>
              </w:tc>
            </w:tr>
            <w:tr w14:paraId="012F8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pct"/>
                  <w:noWrap w:val="0"/>
                  <w:vAlign w:val="center"/>
                </w:tcPr>
                <w:p w14:paraId="1D522D63">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废活性炭</w:t>
                  </w:r>
                </w:p>
              </w:tc>
              <w:tc>
                <w:tcPr>
                  <w:tcW w:w="510" w:type="pct"/>
                  <w:noWrap w:val="0"/>
                  <w:vAlign w:val="center"/>
                </w:tcPr>
                <w:p w14:paraId="0376D37E">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HW49</w:t>
                  </w:r>
                </w:p>
              </w:tc>
              <w:tc>
                <w:tcPr>
                  <w:tcW w:w="542" w:type="pct"/>
                  <w:noWrap w:val="0"/>
                  <w:vAlign w:val="center"/>
                </w:tcPr>
                <w:p w14:paraId="474B2106">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900-039-49</w:t>
                  </w:r>
                </w:p>
              </w:tc>
              <w:tc>
                <w:tcPr>
                  <w:tcW w:w="427" w:type="pct"/>
                  <w:shd w:val="clear" w:color="auto" w:fill="auto"/>
                  <w:noWrap w:val="0"/>
                  <w:vAlign w:val="center"/>
                </w:tcPr>
                <w:p w14:paraId="5D3F3A08">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29.027</w:t>
                  </w:r>
                </w:p>
              </w:tc>
              <w:tc>
                <w:tcPr>
                  <w:tcW w:w="442" w:type="pct"/>
                  <w:vMerge w:val="continue"/>
                  <w:noWrap w:val="0"/>
                  <w:vAlign w:val="center"/>
                </w:tcPr>
                <w:p w14:paraId="082937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Times New Roman" w:hAnsi="Times New Roman" w:cs="Times New Roman"/>
                      <w:color w:val="000000" w:themeColor="text1"/>
                      <w:kern w:val="2"/>
                      <w:position w:val="0"/>
                      <w:sz w:val="21"/>
                      <w:szCs w:val="21"/>
                      <w:highlight w:val="none"/>
                      <w:lang w:val="en-US" w:eastAsia="zh-CN"/>
                      <w14:textFill>
                        <w14:solidFill>
                          <w14:schemeClr w14:val="tx1"/>
                        </w14:solidFill>
                      </w14:textFill>
                    </w:rPr>
                  </w:pPr>
                </w:p>
              </w:tc>
              <w:tc>
                <w:tcPr>
                  <w:tcW w:w="397" w:type="pct"/>
                  <w:noWrap w:val="0"/>
                  <w:vAlign w:val="center"/>
                </w:tcPr>
                <w:p w14:paraId="78AAE520">
                  <w:pPr>
                    <w:widowControl/>
                    <w:spacing w:line="240" w:lineRule="auto"/>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463" w:type="pct"/>
                  <w:noWrap w:val="0"/>
                  <w:vAlign w:val="center"/>
                </w:tcPr>
                <w:p w14:paraId="030FB811">
                  <w:pPr>
                    <w:widowControl/>
                    <w:spacing w:line="240" w:lineRule="auto"/>
                    <w:jc w:val="cente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活性炭</w:t>
                  </w:r>
                </w:p>
              </w:tc>
              <w:tc>
                <w:tcPr>
                  <w:tcW w:w="383" w:type="pct"/>
                  <w:noWrap w:val="0"/>
                  <w:vAlign w:val="center"/>
                </w:tcPr>
                <w:p w14:paraId="33E875BA">
                  <w:pPr>
                    <w:widowControl/>
                    <w:spacing w:line="240" w:lineRule="auto"/>
                    <w:jc w:val="cente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活性炭</w:t>
                  </w:r>
                </w:p>
              </w:tc>
              <w:tc>
                <w:tcPr>
                  <w:tcW w:w="335" w:type="pct"/>
                  <w:noWrap w:val="0"/>
                  <w:vAlign w:val="center"/>
                </w:tcPr>
                <w:p w14:paraId="04004874">
                  <w:pPr>
                    <w:keepNext w:val="0"/>
                    <w:keepLines w:val="0"/>
                    <w:pageBreakBefore w:val="0"/>
                    <w:suppressLineNumbers w:val="0"/>
                    <w:kinsoku/>
                    <w:overflowPunct/>
                    <w:topLinePunct w:val="0"/>
                    <w:bidi w:val="0"/>
                    <w:adjustRightInd w:val="0"/>
                    <w:snapToGrid/>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每年</w:t>
                  </w:r>
                </w:p>
              </w:tc>
              <w:tc>
                <w:tcPr>
                  <w:tcW w:w="370" w:type="pct"/>
                  <w:shd w:val="clear" w:color="auto" w:fill="auto"/>
                  <w:noWrap w:val="0"/>
                  <w:vAlign w:val="center"/>
                </w:tcPr>
                <w:p w14:paraId="234FE681">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color w:val="000000" w:themeColor="text1"/>
                      <w:szCs w:val="21"/>
                      <w14:textFill>
                        <w14:solidFill>
                          <w14:schemeClr w14:val="tx1"/>
                        </w14:solidFill>
                      </w14:textFill>
                    </w:rPr>
                    <w:t>T</w:t>
                  </w:r>
                </w:p>
              </w:tc>
              <w:tc>
                <w:tcPr>
                  <w:tcW w:w="392" w:type="pct"/>
                  <w:vMerge w:val="continue"/>
                  <w:noWrap w:val="0"/>
                  <w:vAlign w:val="center"/>
                </w:tcPr>
                <w:p w14:paraId="5E6A8440">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p>
              </w:tc>
            </w:tr>
            <w:tr w14:paraId="7A16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pct"/>
                  <w:shd w:val="clear" w:color="auto" w:fill="auto"/>
                  <w:noWrap w:val="0"/>
                  <w:vAlign w:val="center"/>
                </w:tcPr>
                <w:p w14:paraId="13FBACF9">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废粉末涂料</w:t>
                  </w:r>
                </w:p>
              </w:tc>
              <w:tc>
                <w:tcPr>
                  <w:tcW w:w="510" w:type="pct"/>
                  <w:shd w:val="clear" w:color="auto" w:fill="auto"/>
                  <w:noWrap w:val="0"/>
                  <w:vAlign w:val="center"/>
                </w:tcPr>
                <w:p w14:paraId="046F1EC9">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待鉴定</w:t>
                  </w:r>
                </w:p>
              </w:tc>
              <w:tc>
                <w:tcPr>
                  <w:tcW w:w="542" w:type="pct"/>
                  <w:shd w:val="clear" w:color="auto" w:fill="auto"/>
                  <w:noWrap w:val="0"/>
                  <w:vAlign w:val="center"/>
                </w:tcPr>
                <w:p w14:paraId="35620218">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待鉴定</w:t>
                  </w:r>
                </w:p>
              </w:tc>
              <w:tc>
                <w:tcPr>
                  <w:tcW w:w="427" w:type="pct"/>
                  <w:shd w:val="clear" w:color="auto" w:fill="auto"/>
                  <w:noWrap w:val="0"/>
                  <w:vAlign w:val="center"/>
                </w:tcPr>
                <w:p w14:paraId="5B0A684D">
                  <w:pPr>
                    <w:keepNext w:val="0"/>
                    <w:keepLines w:val="0"/>
                    <w:widowControl/>
                    <w:suppressLineNumbers w:val="0"/>
                    <w:jc w:val="center"/>
                    <w:textAlignment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3.593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442" w:type="pct"/>
                  <w:shd w:val="clear" w:color="auto" w:fill="auto"/>
                  <w:noWrap w:val="0"/>
                  <w:vAlign w:val="center"/>
                </w:tcPr>
                <w:p w14:paraId="40E8E0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Times New Roman" w:hAnsi="Times New Roman" w:eastAsia="宋体" w:cs="Times New Roman"/>
                      <w:color w:val="000000" w:themeColor="text1"/>
                      <w:kern w:val="2"/>
                      <w:position w:val="0"/>
                      <w:sz w:val="21"/>
                      <w:szCs w:val="21"/>
                      <w:highlight w:val="none"/>
                      <w:lang w:val="en-US" w:eastAsia="zh-CN" w:bidi="ar-SA"/>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喷粉工序</w:t>
                  </w:r>
                </w:p>
              </w:tc>
              <w:tc>
                <w:tcPr>
                  <w:tcW w:w="397" w:type="pct"/>
                  <w:shd w:val="clear" w:color="auto" w:fill="auto"/>
                  <w:noWrap w:val="0"/>
                  <w:vAlign w:val="center"/>
                </w:tcPr>
                <w:p w14:paraId="758A6BA8">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固态</w:t>
                  </w:r>
                </w:p>
              </w:tc>
              <w:tc>
                <w:tcPr>
                  <w:tcW w:w="463" w:type="pct"/>
                  <w:shd w:val="clear" w:color="auto" w:fill="auto"/>
                  <w:noWrap w:val="0"/>
                  <w:vAlign w:val="center"/>
                </w:tcPr>
                <w:p w14:paraId="1D7D2C37">
                  <w:pPr>
                    <w:widowControl/>
                    <w:spacing w:line="240" w:lineRule="auto"/>
                    <w:jc w:val="center"/>
                    <w:rPr>
                      <w:rFonts w:hint="eastAsia" w:ascii="Times New Roman" w:hAnsi="Times New Roman" w:eastAsia="宋体" w:cs="Times New Roman"/>
                      <w:color w:val="000000" w:themeColor="text1"/>
                      <w:kern w:val="2"/>
                      <w:position w:val="0"/>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有机树脂</w:t>
                  </w:r>
                </w:p>
              </w:tc>
              <w:tc>
                <w:tcPr>
                  <w:tcW w:w="383" w:type="pct"/>
                  <w:shd w:val="clear" w:color="auto" w:fill="auto"/>
                  <w:noWrap w:val="0"/>
                  <w:vAlign w:val="center"/>
                </w:tcPr>
                <w:p w14:paraId="2E2699CF">
                  <w:pPr>
                    <w:widowControl/>
                    <w:spacing w:line="240" w:lineRule="auto"/>
                    <w:jc w:val="center"/>
                    <w:rPr>
                      <w:rFonts w:hint="eastAsia" w:ascii="Times New Roman" w:hAnsi="Times New Roman" w:eastAsia="宋体" w:cs="Times New Roman"/>
                      <w:color w:val="000000" w:themeColor="text1"/>
                      <w:kern w:val="2"/>
                      <w:position w:val="0"/>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有机树脂</w:t>
                  </w:r>
                </w:p>
              </w:tc>
              <w:tc>
                <w:tcPr>
                  <w:tcW w:w="335" w:type="pct"/>
                  <w:shd w:val="clear" w:color="auto" w:fill="auto"/>
                  <w:noWrap w:val="0"/>
                  <w:vAlign w:val="center"/>
                </w:tcPr>
                <w:p w14:paraId="3F03C199">
                  <w:pPr>
                    <w:keepNext w:val="0"/>
                    <w:keepLines w:val="0"/>
                    <w:pageBreakBefore w:val="0"/>
                    <w:suppressLineNumbers w:val="0"/>
                    <w:kinsoku/>
                    <w:overflowPunct/>
                    <w:topLinePunct w:val="0"/>
                    <w:bidi w:val="0"/>
                    <w:adjustRightInd w:val="0"/>
                    <w:snapToGrid/>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每月</w:t>
                  </w:r>
                </w:p>
              </w:tc>
              <w:tc>
                <w:tcPr>
                  <w:tcW w:w="370" w:type="pct"/>
                  <w:shd w:val="clear" w:color="auto" w:fill="auto"/>
                  <w:noWrap w:val="0"/>
                  <w:vAlign w:val="center"/>
                </w:tcPr>
                <w:p w14:paraId="02663230">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color w:val="000000" w:themeColor="text1"/>
                      <w:szCs w:val="21"/>
                      <w14:textFill>
                        <w14:solidFill>
                          <w14:schemeClr w14:val="tx1"/>
                        </w14:solidFill>
                      </w14:textFill>
                    </w:rPr>
                    <w:t>T</w:t>
                  </w:r>
                </w:p>
              </w:tc>
              <w:tc>
                <w:tcPr>
                  <w:tcW w:w="392" w:type="pct"/>
                  <w:vMerge w:val="continue"/>
                  <w:noWrap w:val="0"/>
                  <w:vAlign w:val="center"/>
                </w:tcPr>
                <w:p w14:paraId="5A26E250">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p>
              </w:tc>
            </w:tr>
            <w:tr w14:paraId="6C067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pct"/>
                  <w:noWrap w:val="0"/>
                  <w:vAlign w:val="center"/>
                </w:tcPr>
                <w:p w14:paraId="1EB53B64">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废催化剂</w:t>
                  </w:r>
                </w:p>
              </w:tc>
              <w:tc>
                <w:tcPr>
                  <w:tcW w:w="510" w:type="pct"/>
                  <w:noWrap w:val="0"/>
                  <w:vAlign w:val="center"/>
                </w:tcPr>
                <w:p w14:paraId="4D6C2F26">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HW50</w:t>
                  </w:r>
                </w:p>
              </w:tc>
              <w:tc>
                <w:tcPr>
                  <w:tcW w:w="542" w:type="pct"/>
                  <w:noWrap w:val="0"/>
                  <w:vAlign w:val="center"/>
                </w:tcPr>
                <w:p w14:paraId="5F221448">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900-049-50</w:t>
                  </w:r>
                </w:p>
              </w:tc>
              <w:tc>
                <w:tcPr>
                  <w:tcW w:w="427" w:type="pct"/>
                  <w:shd w:val="clear" w:color="auto" w:fill="auto"/>
                  <w:noWrap w:val="0"/>
                  <w:vAlign w:val="center"/>
                </w:tcPr>
                <w:p w14:paraId="7C726662">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0.16</w:t>
                  </w:r>
                </w:p>
              </w:tc>
              <w:tc>
                <w:tcPr>
                  <w:tcW w:w="442" w:type="pct"/>
                  <w:noWrap w:val="0"/>
                  <w:vAlign w:val="center"/>
                </w:tcPr>
                <w:p w14:paraId="6F2078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pPr>
                  <w:r>
                    <w:rPr>
                      <w:rFonts w:hint="eastAsia" w:cs="Times New Roman"/>
                      <w:color w:val="000000" w:themeColor="text1"/>
                      <w:kern w:val="2"/>
                      <w:position w:val="0"/>
                      <w:sz w:val="21"/>
                      <w:szCs w:val="21"/>
                      <w:highlight w:val="none"/>
                      <w:lang w:val="en-US" w:eastAsia="zh-CN"/>
                      <w14:textFill>
                        <w14:solidFill>
                          <w14:schemeClr w14:val="tx1"/>
                        </w14:solidFill>
                      </w14:textFill>
                    </w:rPr>
                    <w:t>废气处理</w:t>
                  </w:r>
                </w:p>
              </w:tc>
              <w:tc>
                <w:tcPr>
                  <w:tcW w:w="397" w:type="pct"/>
                  <w:noWrap w:val="0"/>
                  <w:vAlign w:val="center"/>
                </w:tcPr>
                <w:p w14:paraId="08929B11">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固体</w:t>
                  </w:r>
                </w:p>
              </w:tc>
              <w:tc>
                <w:tcPr>
                  <w:tcW w:w="463" w:type="pct"/>
                  <w:noWrap w:val="0"/>
                  <w:vAlign w:val="center"/>
                </w:tcPr>
                <w:p w14:paraId="36028E85">
                  <w:pPr>
                    <w:widowControl/>
                    <w:spacing w:line="240" w:lineRule="auto"/>
                    <w:jc w:val="cente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pPr>
                  <w:r>
                    <w:rPr>
                      <w:rFonts w:hint="eastAsia" w:cs="Times New Roman"/>
                      <w:color w:val="000000" w:themeColor="text1"/>
                      <w:kern w:val="2"/>
                      <w:position w:val="0"/>
                      <w:sz w:val="21"/>
                      <w:szCs w:val="21"/>
                      <w:highlight w:val="none"/>
                      <w:lang w:val="en-US" w:eastAsia="zh-CN"/>
                      <w14:textFill>
                        <w14:solidFill>
                          <w14:schemeClr w14:val="tx1"/>
                        </w14:solidFill>
                      </w14:textFill>
                    </w:rPr>
                    <w:t>有机物</w:t>
                  </w:r>
                </w:p>
              </w:tc>
              <w:tc>
                <w:tcPr>
                  <w:tcW w:w="383" w:type="pct"/>
                  <w:noWrap w:val="0"/>
                  <w:vAlign w:val="center"/>
                </w:tcPr>
                <w:p w14:paraId="744261CA">
                  <w:pPr>
                    <w:widowControl/>
                    <w:spacing w:line="240" w:lineRule="auto"/>
                    <w:jc w:val="center"/>
                    <w:rPr>
                      <w:rFonts w:hint="default" w:ascii="Times New Roman" w:hAnsi="Times New Roman" w:cs="Times New Roman"/>
                      <w:color w:val="000000" w:themeColor="text1"/>
                      <w:kern w:val="2"/>
                      <w:position w:val="0"/>
                      <w:sz w:val="21"/>
                      <w:szCs w:val="21"/>
                      <w:highlight w:val="none"/>
                      <w:lang w:val="en-US" w:eastAsia="zh-CN"/>
                      <w14:textFill>
                        <w14:solidFill>
                          <w14:schemeClr w14:val="tx1"/>
                        </w14:solidFill>
                      </w14:textFill>
                    </w:rPr>
                  </w:pPr>
                  <w:r>
                    <w:rPr>
                      <w:rFonts w:hint="eastAsia" w:cs="Times New Roman"/>
                      <w:color w:val="000000" w:themeColor="text1"/>
                      <w:kern w:val="2"/>
                      <w:position w:val="0"/>
                      <w:sz w:val="21"/>
                      <w:szCs w:val="21"/>
                      <w:highlight w:val="none"/>
                      <w:lang w:val="en-US" w:eastAsia="zh-CN"/>
                      <w14:textFill>
                        <w14:solidFill>
                          <w14:schemeClr w14:val="tx1"/>
                        </w14:solidFill>
                      </w14:textFill>
                    </w:rPr>
                    <w:t>有机物</w:t>
                  </w:r>
                </w:p>
              </w:tc>
              <w:tc>
                <w:tcPr>
                  <w:tcW w:w="335" w:type="pct"/>
                  <w:noWrap w:val="0"/>
                  <w:vAlign w:val="center"/>
                </w:tcPr>
                <w:p w14:paraId="227D50E2">
                  <w:pPr>
                    <w:keepNext w:val="0"/>
                    <w:keepLines w:val="0"/>
                    <w:pageBreakBefore w:val="0"/>
                    <w:suppressLineNumbers w:val="0"/>
                    <w:kinsoku/>
                    <w:overflowPunct/>
                    <w:topLinePunct w:val="0"/>
                    <w:bidi w:val="0"/>
                    <w:adjustRightInd w:val="0"/>
                    <w:snapToGrid/>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每年</w:t>
                  </w:r>
                </w:p>
              </w:tc>
              <w:tc>
                <w:tcPr>
                  <w:tcW w:w="370" w:type="pct"/>
                  <w:shd w:val="clear" w:color="auto" w:fill="auto"/>
                  <w:noWrap w:val="0"/>
                  <w:vAlign w:val="center"/>
                </w:tcPr>
                <w:p w14:paraId="56D6F38F">
                  <w:pPr>
                    <w:widowControl/>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T</w:t>
                  </w:r>
                </w:p>
              </w:tc>
              <w:tc>
                <w:tcPr>
                  <w:tcW w:w="392" w:type="pct"/>
                  <w:vMerge w:val="continue"/>
                  <w:noWrap w:val="0"/>
                  <w:vAlign w:val="center"/>
                </w:tcPr>
                <w:p w14:paraId="35C6DF74">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p>
              </w:tc>
            </w:tr>
            <w:tr w14:paraId="7814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pct"/>
                  <w:noWrap w:val="0"/>
                  <w:vAlign w:val="center"/>
                </w:tcPr>
                <w:p w14:paraId="5953E1E1">
                  <w:pPr>
                    <w:pStyle w:val="109"/>
                    <w:pageBreakBefore w:val="0"/>
                    <w:tabs>
                      <w:tab w:val="left" w:pos="-2848"/>
                    </w:tabs>
                    <w:wordWrap w:val="0"/>
                    <w:topLinePunct/>
                    <w:bidi w:val="0"/>
                    <w:spacing w:beforeAutospacing="0" w:afterAutospacing="0"/>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喷淋废液及沉渣</w:t>
                  </w:r>
                </w:p>
              </w:tc>
              <w:tc>
                <w:tcPr>
                  <w:tcW w:w="510" w:type="pct"/>
                  <w:noWrap w:val="0"/>
                  <w:vAlign w:val="center"/>
                </w:tcPr>
                <w:p w14:paraId="1B5CFD1C">
                  <w:pPr>
                    <w:pStyle w:val="109"/>
                    <w:pageBreakBefore w:val="0"/>
                    <w:tabs>
                      <w:tab w:val="left" w:pos="-2848"/>
                    </w:tabs>
                    <w:wordWrap w:val="0"/>
                    <w:topLinePunct/>
                    <w:bidi w:val="0"/>
                    <w:spacing w:beforeAutospacing="0" w:afterAutospacing="0"/>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HW12</w:t>
                  </w:r>
                </w:p>
              </w:tc>
              <w:tc>
                <w:tcPr>
                  <w:tcW w:w="542" w:type="pct"/>
                  <w:noWrap w:val="0"/>
                  <w:vAlign w:val="center"/>
                </w:tcPr>
                <w:p w14:paraId="0FFB74C1">
                  <w:pPr>
                    <w:pStyle w:val="109"/>
                    <w:pageBreakBefore w:val="0"/>
                    <w:tabs>
                      <w:tab w:val="left" w:pos="-2848"/>
                    </w:tabs>
                    <w:wordWrap w:val="0"/>
                    <w:topLinePunct/>
                    <w:bidi w:val="0"/>
                    <w:spacing w:beforeAutospacing="0" w:afterAutospacing="0"/>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900-252-12</w:t>
                  </w:r>
                </w:p>
              </w:tc>
              <w:tc>
                <w:tcPr>
                  <w:tcW w:w="427" w:type="pct"/>
                  <w:shd w:val="clear" w:color="auto" w:fill="auto"/>
                  <w:noWrap w:val="0"/>
                  <w:vAlign w:val="center"/>
                </w:tcPr>
                <w:p w14:paraId="26ADD1B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229.091</w:t>
                  </w:r>
                </w:p>
              </w:tc>
              <w:tc>
                <w:tcPr>
                  <w:tcW w:w="442" w:type="pct"/>
                  <w:noWrap w:val="0"/>
                  <w:vAlign w:val="center"/>
                </w:tcPr>
                <w:p w14:paraId="4D2527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cs="Times New Roman"/>
                      <w:color w:val="000000" w:themeColor="text1"/>
                      <w:kern w:val="2"/>
                      <w:position w:val="0"/>
                      <w:sz w:val="21"/>
                      <w:szCs w:val="21"/>
                      <w:highlight w:val="none"/>
                      <w:lang w:val="en-US" w:eastAsia="zh-CN"/>
                      <w14:textFill>
                        <w14:solidFill>
                          <w14:schemeClr w14:val="tx1"/>
                        </w14:solidFill>
                      </w14:textFill>
                    </w:rPr>
                  </w:pPr>
                  <w:r>
                    <w:rPr>
                      <w:rFonts w:hint="eastAsia" w:cs="Times New Roman"/>
                      <w:color w:val="000000" w:themeColor="text1"/>
                      <w:kern w:val="2"/>
                      <w:position w:val="0"/>
                      <w:sz w:val="21"/>
                      <w:szCs w:val="21"/>
                      <w:highlight w:val="none"/>
                      <w:lang w:val="en-US" w:eastAsia="zh-CN"/>
                      <w14:textFill>
                        <w14:solidFill>
                          <w14:schemeClr w14:val="tx1"/>
                        </w14:solidFill>
                      </w14:textFill>
                    </w:rPr>
                    <w:t>废气处理</w:t>
                  </w:r>
                </w:p>
              </w:tc>
              <w:tc>
                <w:tcPr>
                  <w:tcW w:w="397" w:type="pct"/>
                  <w:noWrap w:val="0"/>
                  <w:vAlign w:val="center"/>
                </w:tcPr>
                <w:p w14:paraId="1474E471">
                  <w:pPr>
                    <w:widowControl/>
                    <w:spacing w:line="240" w:lineRule="auto"/>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固体</w:t>
                  </w:r>
                </w:p>
              </w:tc>
              <w:tc>
                <w:tcPr>
                  <w:tcW w:w="463" w:type="pct"/>
                  <w:noWrap w:val="0"/>
                  <w:vAlign w:val="center"/>
                </w:tcPr>
                <w:p w14:paraId="1D9C2C2C">
                  <w:pPr>
                    <w:widowControl/>
                    <w:spacing w:line="240" w:lineRule="auto"/>
                    <w:jc w:val="center"/>
                    <w:rPr>
                      <w:rFonts w:hint="eastAsia" w:cs="Times New Roman"/>
                      <w:color w:val="000000" w:themeColor="text1"/>
                      <w:kern w:val="2"/>
                      <w:position w:val="0"/>
                      <w:sz w:val="21"/>
                      <w:szCs w:val="21"/>
                      <w:highlight w:val="none"/>
                      <w:lang w:val="en-US" w:eastAsia="zh-CN"/>
                      <w14:textFill>
                        <w14:solidFill>
                          <w14:schemeClr w14:val="tx1"/>
                        </w14:solidFill>
                      </w14:textFill>
                    </w:rPr>
                  </w:pPr>
                  <w:r>
                    <w:rPr>
                      <w:rFonts w:hint="eastAsia" w:cs="Times New Roman"/>
                      <w:color w:val="000000" w:themeColor="text1"/>
                      <w:kern w:val="2"/>
                      <w:position w:val="0"/>
                      <w:sz w:val="21"/>
                      <w:szCs w:val="21"/>
                      <w:highlight w:val="none"/>
                      <w:lang w:val="en-US" w:eastAsia="zh-CN"/>
                      <w14:textFill>
                        <w14:solidFill>
                          <w14:schemeClr w14:val="tx1"/>
                        </w14:solidFill>
                      </w14:textFill>
                    </w:rPr>
                    <w:t>有机物</w:t>
                  </w:r>
                </w:p>
              </w:tc>
              <w:tc>
                <w:tcPr>
                  <w:tcW w:w="383" w:type="pct"/>
                  <w:noWrap w:val="0"/>
                  <w:vAlign w:val="center"/>
                </w:tcPr>
                <w:p w14:paraId="300ED2A4">
                  <w:pPr>
                    <w:widowControl/>
                    <w:spacing w:line="240" w:lineRule="auto"/>
                    <w:jc w:val="center"/>
                    <w:rPr>
                      <w:rFonts w:hint="eastAsia" w:cs="Times New Roman"/>
                      <w:color w:val="000000" w:themeColor="text1"/>
                      <w:kern w:val="2"/>
                      <w:position w:val="0"/>
                      <w:sz w:val="21"/>
                      <w:szCs w:val="21"/>
                      <w:highlight w:val="none"/>
                      <w:lang w:val="en-US" w:eastAsia="zh-CN"/>
                      <w14:textFill>
                        <w14:solidFill>
                          <w14:schemeClr w14:val="tx1"/>
                        </w14:solidFill>
                      </w14:textFill>
                    </w:rPr>
                  </w:pPr>
                  <w:r>
                    <w:rPr>
                      <w:rFonts w:hint="eastAsia" w:cs="Times New Roman"/>
                      <w:color w:val="000000" w:themeColor="text1"/>
                      <w:kern w:val="2"/>
                      <w:position w:val="0"/>
                      <w:sz w:val="21"/>
                      <w:szCs w:val="21"/>
                      <w:highlight w:val="none"/>
                      <w:lang w:val="en-US" w:eastAsia="zh-CN"/>
                      <w14:textFill>
                        <w14:solidFill>
                          <w14:schemeClr w14:val="tx1"/>
                        </w14:solidFill>
                      </w14:textFill>
                    </w:rPr>
                    <w:t>有机物</w:t>
                  </w:r>
                </w:p>
              </w:tc>
              <w:tc>
                <w:tcPr>
                  <w:tcW w:w="335" w:type="pct"/>
                  <w:noWrap w:val="0"/>
                  <w:vAlign w:val="center"/>
                </w:tcPr>
                <w:p w14:paraId="6F82A715">
                  <w:pPr>
                    <w:keepNext w:val="0"/>
                    <w:keepLines w:val="0"/>
                    <w:pageBreakBefore w:val="0"/>
                    <w:suppressLineNumbers w:val="0"/>
                    <w:kinsoku/>
                    <w:overflowPunct/>
                    <w:topLinePunct w:val="0"/>
                    <w:bidi w:val="0"/>
                    <w:adjustRightInd w:val="0"/>
                    <w:snapToGrid/>
                    <w:spacing w:before="0" w:beforeAutospacing="0" w:after="0" w:afterAutospacing="0" w:line="240" w:lineRule="auto"/>
                    <w:ind w:left="0" w:leftChars="0" w:right="0" w:rightChars="0"/>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每月</w:t>
                  </w:r>
                </w:p>
              </w:tc>
              <w:tc>
                <w:tcPr>
                  <w:tcW w:w="370" w:type="pct"/>
                  <w:shd w:val="clear" w:color="auto" w:fill="auto"/>
                  <w:noWrap w:val="0"/>
                  <w:vAlign w:val="center"/>
                </w:tcPr>
                <w:p w14:paraId="4F650726">
                  <w:pPr>
                    <w:widowControl/>
                    <w:spacing w:line="240" w:lineRule="auto"/>
                    <w:jc w:val="center"/>
                    <w:rPr>
                      <w:rFonts w:hint="eastAsia"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T</w:t>
                  </w:r>
                </w:p>
              </w:tc>
              <w:tc>
                <w:tcPr>
                  <w:tcW w:w="392" w:type="pct"/>
                  <w:vMerge w:val="continue"/>
                  <w:noWrap w:val="0"/>
                  <w:vAlign w:val="center"/>
                </w:tcPr>
                <w:p w14:paraId="7AE7AD6F">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right="0"/>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p>
              </w:tc>
            </w:tr>
          </w:tbl>
          <w:p w14:paraId="0C7E1541">
            <w:pPr>
              <w:pStyle w:val="39"/>
              <w:spacing w:after="0" w:line="120" w:lineRule="auto"/>
              <w:ind w:firstLine="482"/>
              <w:rPr>
                <w:rFonts w:hint="default" w:ascii="Times New Roman" w:hAnsi="Times New Roman" w:eastAsia="宋体" w:cs="Times New Roman"/>
                <w:b/>
                <w:color w:val="000000" w:themeColor="text1"/>
                <w:szCs w:val="21"/>
                <w:highlight w:val="none"/>
                <w14:textFill>
                  <w14:solidFill>
                    <w14:schemeClr w14:val="tx1"/>
                  </w14:solidFill>
                </w14:textFill>
              </w:rPr>
            </w:pPr>
          </w:p>
          <w:p w14:paraId="255D5E53">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default" w:ascii="Times New Roman" w:hAnsi="Times New Roman" w:cs="Times New Roman"/>
                <w:b/>
                <w:bCs/>
                <w:color w:val="000000" w:themeColor="text1"/>
                <w:sz w:val="24"/>
                <w:szCs w:val="24"/>
                <w:highlight w:val="none"/>
                <w14:textFill>
                  <w14:solidFill>
                    <w14:schemeClr w14:val="tx1"/>
                  </w14:solidFill>
                </w14:textFill>
              </w:rPr>
              <w:t>（1）生活垃圾</w:t>
            </w:r>
          </w:p>
          <w:p w14:paraId="072F153D">
            <w:pPr>
              <w:keepNext w:val="0"/>
              <w:keepLines w:val="0"/>
              <w:suppressLineNumbers w:val="0"/>
              <w:spacing w:before="0" w:beforeAutospacing="0" w:after="0" w:afterAutospacing="0" w:line="360" w:lineRule="auto"/>
              <w:ind w:left="0" w:right="0" w:firstLine="480"/>
              <w:rPr>
                <w:rFonts w:hint="default"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①</w:t>
            </w:r>
            <w:r>
              <w:rPr>
                <w:rFonts w:hint="default" w:ascii="Times New Roman" w:hAnsi="Times New Roman" w:cs="Times New Roman"/>
                <w:color w:val="000000" w:themeColor="text1"/>
                <w:sz w:val="24"/>
                <w:szCs w:val="24"/>
                <w:highlight w:val="none"/>
                <w14:textFill>
                  <w14:solidFill>
                    <w14:schemeClr w14:val="tx1"/>
                  </w14:solidFill>
                </w14:textFill>
              </w:rPr>
              <w:t>本项目劳动定员</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160</w:t>
            </w:r>
            <w:r>
              <w:rPr>
                <w:rFonts w:hint="default" w:ascii="Times New Roman" w:hAnsi="Times New Roman" w:cs="Times New Roman"/>
                <w:color w:val="000000" w:themeColor="text1"/>
                <w:sz w:val="24"/>
                <w:szCs w:val="24"/>
                <w:highlight w:val="none"/>
                <w14:textFill>
                  <w14:solidFill>
                    <w14:schemeClr w14:val="tx1"/>
                  </w14:solidFill>
                </w14:textFill>
              </w:rPr>
              <w:t>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其中140人</w:t>
            </w:r>
            <w:r>
              <w:rPr>
                <w:rFonts w:hint="default" w:ascii="Times New Roman" w:hAnsi="Times New Roman" w:cs="Times New Roman"/>
                <w:color w:val="000000" w:themeColor="text1"/>
                <w:sz w:val="24"/>
                <w:szCs w:val="24"/>
                <w:highlight w:val="none"/>
                <w14:textFill>
                  <w14:solidFill>
                    <w14:schemeClr w14:val="tx1"/>
                  </w14:solidFill>
                </w14:textFill>
              </w:rPr>
              <w:t>在厂内</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食宿</w:t>
            </w:r>
            <w:r>
              <w:rPr>
                <w:rFonts w:hint="default" w:ascii="Times New Roman" w:hAnsi="Times New Roman" w:cs="Times New Roman"/>
                <w:color w:val="000000" w:themeColor="text1"/>
                <w:sz w:val="24"/>
                <w:szCs w:val="24"/>
                <w:highlight w:val="none"/>
                <w14:textFill>
                  <w14:solidFill>
                    <w14:schemeClr w14:val="tx1"/>
                  </w14:solidFill>
                </w14:textFill>
              </w:rPr>
              <w:t>，年工作</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241</w:t>
            </w:r>
            <w:r>
              <w:rPr>
                <w:rFonts w:hint="default" w:ascii="Times New Roman" w:hAnsi="Times New Roman" w:cs="Times New Roman"/>
                <w:color w:val="000000" w:themeColor="text1"/>
                <w:sz w:val="24"/>
                <w:szCs w:val="24"/>
                <w:highlight w:val="none"/>
                <w14:textFill>
                  <w14:solidFill>
                    <w14:schemeClr w14:val="tx1"/>
                  </w14:solidFill>
                </w14:textFill>
              </w:rPr>
              <w:t>天，</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住宿</w:t>
            </w:r>
            <w:r>
              <w:rPr>
                <w:rFonts w:hint="default" w:ascii="Times New Roman" w:hAnsi="Times New Roman" w:cs="Times New Roman"/>
                <w:color w:val="000000" w:themeColor="text1"/>
                <w:sz w:val="24"/>
                <w:szCs w:val="24"/>
                <w:highlight w:val="none"/>
                <w14:textFill>
                  <w14:solidFill>
                    <w14:schemeClr w14:val="tx1"/>
                  </w14:solidFill>
                </w14:textFill>
              </w:rPr>
              <w:t>按每人每天生活垃圾产生量为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1.0</w:t>
            </w:r>
            <w:r>
              <w:rPr>
                <w:rFonts w:hint="default" w:ascii="Times New Roman" w:hAnsi="Times New Roman" w:cs="Times New Roman"/>
                <w:color w:val="000000" w:themeColor="text1"/>
                <w:sz w:val="24"/>
                <w:szCs w:val="24"/>
                <w:highlight w:val="none"/>
                <w14:textFill>
                  <w14:solidFill>
                    <w14:schemeClr w14:val="tx1"/>
                  </w14:solidFill>
                </w14:textFill>
              </w:rPr>
              <w:t>kg，</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不住宿</w:t>
            </w:r>
            <w:r>
              <w:rPr>
                <w:rFonts w:hint="default" w:ascii="Times New Roman" w:hAnsi="Times New Roman" w:cs="Times New Roman"/>
                <w:color w:val="000000" w:themeColor="text1"/>
                <w:sz w:val="24"/>
                <w:szCs w:val="24"/>
                <w:highlight w:val="none"/>
                <w14:textFill>
                  <w14:solidFill>
                    <w14:schemeClr w14:val="tx1"/>
                  </w14:solidFill>
                </w14:textFill>
              </w:rPr>
              <w:t>按每人每天生活垃圾产生量为0.5kg，生活垃圾产生量为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36.15</w:t>
            </w:r>
            <w:r>
              <w:rPr>
                <w:rFonts w:hint="default" w:ascii="Times New Roman" w:hAnsi="Times New Roman" w:cs="Times New Roman"/>
                <w:color w:val="000000" w:themeColor="text1"/>
                <w:sz w:val="24"/>
                <w:szCs w:val="24"/>
                <w:highlight w:val="none"/>
                <w14:textFill>
                  <w14:solidFill>
                    <w14:schemeClr w14:val="tx1"/>
                  </w14:solidFill>
                </w14:textFill>
              </w:rPr>
              <w:t>t/a。</w:t>
            </w:r>
          </w:p>
          <w:p w14:paraId="57BABF47">
            <w:pPr>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4"/>
                <w:sz w:val="24"/>
                <w:szCs w:val="24"/>
                <w:highlight w:val="none"/>
                <w:lang w:eastAsia="zh-CN"/>
                <w14:textFill>
                  <w14:solidFill>
                    <w14:schemeClr w14:val="tx1"/>
                  </w14:solidFill>
                </w14:textFill>
              </w:rPr>
              <w:t>生活垃圾</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属于《固体废物分类与代码</w:t>
            </w:r>
            <w:r>
              <w:rPr>
                <w:rFonts w:hint="eastAsia" w:cs="Times New Roman"/>
                <w:color w:val="000000" w:themeColor="text1"/>
                <w:kern w:val="24"/>
                <w:sz w:val="24"/>
                <w:szCs w:val="24"/>
                <w:highlight w:val="none"/>
                <w:lang w:val="en-US" w:eastAsia="zh-CN"/>
                <w14:textFill>
                  <w14:solidFill>
                    <w14:schemeClr w14:val="tx1"/>
                  </w14:solidFill>
                </w14:textFill>
              </w:rPr>
              <w:t>目</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录》（公告2024年第4号）</w:t>
            </w:r>
            <w:r>
              <w:rPr>
                <w:rFonts w:hint="default" w:ascii="Times New Roman" w:hAnsi="Times New Roman" w:eastAsia="宋体" w:cs="Times New Roman"/>
                <w:color w:val="000000" w:themeColor="text1"/>
                <w:kern w:val="24"/>
                <w:sz w:val="24"/>
                <w:szCs w:val="24"/>
                <w:highlight w:val="none"/>
                <w:lang w:eastAsia="zh-CN"/>
                <w14:textFill>
                  <w14:solidFill>
                    <w14:schemeClr w14:val="tx1"/>
                  </w14:solidFill>
                </w14:textFill>
              </w:rPr>
              <w:t>中“SW64其他垃圾”，代码900-099-S64，</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生活垃圾主要成分是废纸张、瓜果皮核、饮料包装瓶和塑料包装纸等，统一收集后交由环卫部门定期清运处理</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p>
          <w:p w14:paraId="05DF21BC">
            <w:pPr>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t>②废油脂</w:t>
            </w:r>
          </w:p>
          <w:p w14:paraId="423179A9">
            <w:pPr>
              <w:keepNext w:val="0"/>
              <w:keepLines w:val="0"/>
              <w:suppressLineNumbers w:val="0"/>
              <w:spacing w:before="0" w:beforeAutospacing="0" w:after="0" w:afterAutospacing="0" w:line="360" w:lineRule="auto"/>
              <w:ind w:left="0" w:right="0" w:firstLine="480"/>
              <w:rPr>
                <w:rFonts w:hint="eastAsia"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24"/>
                <w:sz w:val="24"/>
                <w:szCs w:val="24"/>
                <w:highlight w:val="none"/>
                <w:lang w:eastAsia="zh-CN"/>
                <w14:textFill>
                  <w14:solidFill>
                    <w14:schemeClr w14:val="tx1"/>
                  </w14:solidFill>
                </w14:textFill>
              </w:rPr>
              <w:t>废油脂来源于隔油隔渣池和静电除油烟净化器，根据前文工程分析，隔油隔渣池废油脂产生量按动植物油削减量核算（</w:t>
            </w:r>
            <w:r>
              <w:rPr>
                <w:rFonts w:hint="eastAsia"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t>0.166</w:t>
            </w:r>
            <w:r>
              <w:rPr>
                <w:rFonts w:hint="eastAsia" w:ascii="Times New Roman" w:hAnsi="Times New Roman" w:eastAsia="宋体" w:cs="Times New Roman"/>
                <w:color w:val="000000" w:themeColor="text1"/>
                <w:kern w:val="24"/>
                <w:sz w:val="24"/>
                <w:szCs w:val="24"/>
                <w:highlight w:val="none"/>
                <w:lang w:eastAsia="zh-CN"/>
                <w14:textFill>
                  <w14:solidFill>
                    <w14:schemeClr w14:val="tx1"/>
                  </w14:solidFill>
                </w14:textFill>
              </w:rPr>
              <w:t>t/a），即本项目废油脂产生量约为</w:t>
            </w:r>
            <w:r>
              <w:rPr>
                <w:rFonts w:hint="eastAsia"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t>0.166</w:t>
            </w:r>
            <w:r>
              <w:rPr>
                <w:rFonts w:hint="eastAsia" w:ascii="Times New Roman" w:hAnsi="Times New Roman" w:eastAsia="宋体" w:cs="Times New Roman"/>
                <w:color w:val="000000" w:themeColor="text1"/>
                <w:kern w:val="24"/>
                <w:sz w:val="24"/>
                <w:szCs w:val="24"/>
                <w:highlight w:val="none"/>
                <w:lang w:eastAsia="zh-CN"/>
                <w14:textFill>
                  <w14:solidFill>
                    <w14:schemeClr w14:val="tx1"/>
                  </w14:solidFill>
                </w14:textFill>
              </w:rPr>
              <w:t>t/a。食堂餐厨垃圾及废油脂经收集后，交专业单位进行回收处置。</w:t>
            </w:r>
            <w:r>
              <w:rPr>
                <w:rFonts w:hint="default"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t>根据《固体废物分类与代码目录》（生态环境部公告2024年第4号），其属于SW61厨余垃圾（900-002-S61餐厨垃圾）</w:t>
            </w:r>
            <w:r>
              <w:rPr>
                <w:rFonts w:hint="eastAsia"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t>。</w:t>
            </w:r>
          </w:p>
          <w:p w14:paraId="177DCB89">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default" w:ascii="Times New Roman" w:hAnsi="Times New Roman" w:cs="Times New Roman"/>
                <w:b/>
                <w:bCs/>
                <w:color w:val="000000" w:themeColor="text1"/>
                <w:sz w:val="24"/>
                <w:szCs w:val="24"/>
                <w:highlight w:val="none"/>
                <w14:textFill>
                  <w14:solidFill>
                    <w14:schemeClr w14:val="tx1"/>
                  </w14:solidFill>
                </w14:textFill>
              </w:rPr>
              <w:t>（2）一般工业固体废物</w:t>
            </w:r>
          </w:p>
          <w:p w14:paraId="11271834">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default" w:ascii="Times New Roman" w:hAnsi="Times New Roman" w:cs="Times New Roman"/>
                <w:b/>
                <w:bCs/>
                <w:color w:val="000000" w:themeColor="text1"/>
                <w:sz w:val="24"/>
                <w:szCs w:val="24"/>
                <w:highlight w:val="none"/>
                <w14:textFill>
                  <w14:solidFill>
                    <w14:schemeClr w14:val="tx1"/>
                  </w14:solidFill>
                </w14:textFill>
              </w:rPr>
              <w:t>①边角料</w:t>
            </w:r>
          </w:p>
          <w:p w14:paraId="1BE75F2A">
            <w:pPr>
              <w:pStyle w:val="2"/>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本项目机加工过程会产生少量边角料，</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边角料产生量约为铝卷使用量的0.5%，铝卷使用量为8</w:t>
            </w:r>
            <w:r>
              <w:rPr>
                <w:rFonts w:hint="eastAsia" w:ascii="Times New Roman" w:cs="Times New Roman"/>
                <w:color w:val="000000" w:themeColor="text1"/>
                <w:sz w:val="24"/>
                <w:szCs w:val="24"/>
                <w:highlight w:val="none"/>
                <w:lang w:val="en-US" w:eastAsia="zh-CN"/>
                <w14:textFill>
                  <w14:solidFill>
                    <w14:schemeClr w14:val="tx1"/>
                  </w14:solidFill>
                </w14:textFill>
              </w:rPr>
              <w:t>91</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0t/a，则边角料</w:t>
            </w:r>
            <w:r>
              <w:rPr>
                <w:rFonts w:hint="default" w:ascii="Times New Roman" w:hAnsi="Times New Roman" w:cs="Times New Roman"/>
                <w:color w:val="000000" w:themeColor="text1"/>
                <w:sz w:val="24"/>
                <w:szCs w:val="24"/>
                <w:highlight w:val="none"/>
                <w14:textFill>
                  <w14:solidFill>
                    <w14:schemeClr w14:val="tx1"/>
                  </w14:solidFill>
                </w14:textFill>
              </w:rPr>
              <w:t>产生量为</w:t>
            </w:r>
            <w:r>
              <w:rPr>
                <w:rFonts w:hint="eastAsia" w:ascii="Times New Roman" w:cs="Times New Roman"/>
                <w:color w:val="000000" w:themeColor="text1"/>
                <w:sz w:val="24"/>
                <w:szCs w:val="24"/>
                <w:highlight w:val="none"/>
                <w:lang w:val="en-US" w:eastAsia="zh-CN"/>
                <w14:textFill>
                  <w14:solidFill>
                    <w14:schemeClr w14:val="tx1"/>
                  </w14:solidFill>
                </w14:textFill>
              </w:rPr>
              <w:t>44.55</w:t>
            </w:r>
            <w:r>
              <w:rPr>
                <w:rFonts w:hint="default" w:ascii="Times New Roman" w:hAnsi="Times New Roman" w:cs="Times New Roman"/>
                <w:color w:val="000000" w:themeColor="text1"/>
                <w:sz w:val="24"/>
                <w:szCs w:val="24"/>
                <w:highlight w:val="none"/>
                <w14:textFill>
                  <w14:solidFill>
                    <w14:schemeClr w14:val="tx1"/>
                  </w14:solidFill>
                </w14:textFill>
              </w:rPr>
              <w:t>t/a，属于一般工业固体废物，</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为《固体废物分类与代码目录》（生态环境部公告2024年第4号）中的“SW17可再生类废物”</w:t>
            </w:r>
            <w:r>
              <w:rPr>
                <w:rFonts w:hint="default" w:ascii="Times New Roman" w:hAnsi="Times New Roman" w:cs="Times New Roman"/>
                <w:color w:val="000000" w:themeColor="text1"/>
                <w:sz w:val="24"/>
                <w:szCs w:val="24"/>
                <w:highlight w:val="none"/>
                <w14:textFill>
                  <w14:solidFill>
                    <w14:schemeClr w14:val="tx1"/>
                  </w14:solidFill>
                </w14:textFill>
              </w:rPr>
              <w:t>，代码为900-0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02</w:t>
            </w:r>
            <w:r>
              <w:rPr>
                <w:rFonts w:hint="default" w:ascii="Times New Roman" w:hAnsi="Times New Roman" w:cs="Times New Roman"/>
                <w:color w:val="000000" w:themeColor="text1"/>
                <w:sz w:val="24"/>
                <w:szCs w:val="24"/>
                <w:highlight w:val="none"/>
                <w14:textFill>
                  <w14:solidFill>
                    <w14:schemeClr w14:val="tx1"/>
                  </w14:solidFill>
                </w14:textFill>
              </w:rPr>
              <w:t>-S17</w:t>
            </w:r>
            <w:r>
              <w:rPr>
                <w:rFonts w:hint="default" w:ascii="Times New Roman" w:hAnsi="Times New Roman" w:cs="Times New Roman"/>
                <w:color w:val="000000" w:themeColor="text1"/>
                <w:sz w:val="24"/>
                <w:szCs w:val="24"/>
                <w:highlight w:val="none"/>
                <w:lang w:eastAsia="zh-CN"/>
                <w14:textFill>
                  <w14:solidFill>
                    <w14:schemeClr w14:val="tx1"/>
                  </w14:solidFill>
                </w14:textFill>
              </w:rPr>
              <w:t>（废</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有色金属</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考虑到焊接</w:t>
            </w:r>
            <w:r>
              <w:rPr>
                <w:rFonts w:hint="eastAsia" w:ascii="Times New Roman" w:hAnsi="Times New Roman" w:cs="Times New Roman"/>
                <w:color w:val="000000" w:themeColor="text1"/>
                <w:highlight w:val="none"/>
                <w:lang w:val="en-US" w:eastAsia="zh-CN"/>
                <w14:textFill>
                  <w14:solidFill>
                    <w14:schemeClr w14:val="tx1"/>
                  </w14:solidFill>
                </w14:textFill>
              </w:rPr>
              <w:t>过程</w:t>
            </w:r>
            <w:r>
              <w:rPr>
                <w:rFonts w:hint="default" w:ascii="Times New Roman" w:hAnsi="Times New Roman" w:cs="Times New Roman"/>
                <w:color w:val="000000" w:themeColor="text1"/>
                <w:highlight w:val="none"/>
                <w:lang w:val="en-US" w:eastAsia="zh-CN"/>
                <w14:textFill>
                  <w14:solidFill>
                    <w14:schemeClr w14:val="tx1"/>
                  </w14:solidFill>
                </w14:textFill>
              </w:rPr>
              <w:t>会产生焊渣，</w:t>
            </w:r>
            <w:r>
              <w:rPr>
                <w:rFonts w:hint="default" w:ascii="Times New Roman" w:hAnsi="Times New Roman" w:cs="Times New Roman"/>
                <w:color w:val="000000" w:themeColor="text1"/>
                <w:highlight w:val="none"/>
                <w14:textFill>
                  <w14:solidFill>
                    <w14:schemeClr w14:val="tx1"/>
                  </w14:solidFill>
                </w14:textFill>
              </w:rPr>
              <w:t>焊渣约占焊材用量5%</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eastAsia" w:ascii="Times New Roman" w:hAnsi="Times New Roman" w:cs="Times New Roman"/>
                <w:color w:val="000000" w:themeColor="text1"/>
                <w:highlight w:val="none"/>
                <w:lang w:val="en-US" w:eastAsia="zh-CN"/>
                <w14:textFill>
                  <w14:solidFill>
                    <w14:schemeClr w14:val="tx1"/>
                  </w14:solidFill>
                </w14:textFill>
              </w:rPr>
              <w:t>项目年用焊丝16.9吨，</w:t>
            </w:r>
            <w:r>
              <w:rPr>
                <w:rFonts w:hint="default" w:ascii="Times New Roman" w:hAnsi="Times New Roman" w:cs="Times New Roman"/>
                <w:color w:val="000000" w:themeColor="text1"/>
                <w:highlight w:val="none"/>
                <w:lang w:val="en-US" w:eastAsia="zh-CN"/>
                <w14:textFill>
                  <w14:solidFill>
                    <w14:schemeClr w14:val="tx1"/>
                  </w14:solidFill>
                </w14:textFill>
              </w:rPr>
              <w:t>计</w:t>
            </w:r>
            <w:r>
              <w:rPr>
                <w:rFonts w:hint="eastAsia" w:ascii="Times New Roman" w:hAnsi="Times New Roman" w:cs="Times New Roman"/>
                <w:color w:val="000000" w:themeColor="text1"/>
                <w:highlight w:val="none"/>
                <w:lang w:val="en-US" w:eastAsia="zh-CN"/>
                <w14:textFill>
                  <w14:solidFill>
                    <w14:schemeClr w14:val="tx1"/>
                  </w14:solidFill>
                </w14:textFill>
              </w:rPr>
              <w:t>得</w:t>
            </w:r>
            <w:r>
              <w:rPr>
                <w:rFonts w:hint="default" w:ascii="Times New Roman" w:hAnsi="Times New Roman" w:cs="Times New Roman"/>
                <w:color w:val="000000" w:themeColor="text1"/>
                <w:highlight w:val="none"/>
                <w:lang w:val="en-US" w:eastAsia="zh-CN"/>
                <w14:textFill>
                  <w14:solidFill>
                    <w14:schemeClr w14:val="tx1"/>
                  </w14:solidFill>
                </w14:textFill>
              </w:rPr>
              <w:t>焊渣产生量为0.</w:t>
            </w:r>
            <w:r>
              <w:rPr>
                <w:rFonts w:hint="eastAsia" w:ascii="Times New Roman" w:hAnsi="Times New Roman" w:cs="Times New Roman"/>
                <w:color w:val="000000" w:themeColor="text1"/>
                <w:highlight w:val="none"/>
                <w:lang w:val="en-US" w:eastAsia="zh-CN"/>
                <w14:textFill>
                  <w14:solidFill>
                    <w14:schemeClr w14:val="tx1"/>
                  </w14:solidFill>
                </w14:textFill>
              </w:rPr>
              <w:t>845</w:t>
            </w:r>
            <w:r>
              <w:rPr>
                <w:rFonts w:hint="default" w:ascii="Times New Roman" w:hAnsi="Times New Roman" w:cs="Times New Roman"/>
                <w:color w:val="000000" w:themeColor="text1"/>
                <w:highlight w:val="none"/>
                <w:lang w:val="en-US" w:eastAsia="zh-CN"/>
                <w14:textFill>
                  <w14:solidFill>
                    <w14:schemeClr w14:val="tx1"/>
                  </w14:solidFill>
                </w14:textFill>
              </w:rPr>
              <w:t>t/a，本项目将焊渣按作</w:t>
            </w:r>
            <w:r>
              <w:rPr>
                <w:rFonts w:hint="default" w:ascii="Times New Roman" w:hAnsi="Times New Roman" w:cs="Times New Roman"/>
                <w:color w:val="000000" w:themeColor="text1"/>
                <w:highlight w:val="none"/>
                <w14:textFill>
                  <w14:solidFill>
                    <w14:schemeClr w14:val="tx1"/>
                  </w14:solidFill>
                </w14:textFill>
              </w:rPr>
              <w:t>边角料</w:t>
            </w:r>
            <w:r>
              <w:rPr>
                <w:rFonts w:hint="default" w:ascii="Times New Roman" w:hAnsi="Times New Roman" w:cs="Times New Roman"/>
                <w:color w:val="000000" w:themeColor="text1"/>
                <w:highlight w:val="none"/>
                <w:lang w:val="en-US" w:eastAsia="zh-CN"/>
                <w14:textFill>
                  <w14:solidFill>
                    <w14:schemeClr w14:val="tx1"/>
                  </w14:solidFill>
                </w14:textFill>
              </w:rPr>
              <w:t>处理，计算得本项目边角料产生量为</w:t>
            </w:r>
            <w:r>
              <w:rPr>
                <w:rFonts w:hint="eastAsia" w:ascii="Times New Roman" w:cs="Times New Roman"/>
                <w:color w:val="000000" w:themeColor="text1"/>
                <w:highlight w:val="none"/>
                <w:lang w:val="en-US" w:eastAsia="zh-CN"/>
                <w14:textFill>
                  <w14:solidFill>
                    <w14:schemeClr w14:val="tx1"/>
                  </w14:solidFill>
                </w14:textFill>
              </w:rPr>
              <w:t>45.395</w:t>
            </w:r>
            <w:r>
              <w:rPr>
                <w:rFonts w:hint="default" w:ascii="Times New Roman" w:hAnsi="Times New Roman" w:cs="Times New Roman"/>
                <w:color w:val="000000" w:themeColor="text1"/>
                <w:highlight w:val="none"/>
                <w:lang w:val="en-US" w:eastAsia="zh-CN"/>
                <w14:textFill>
                  <w14:solidFill>
                    <w14:schemeClr w14:val="tx1"/>
                  </w14:solidFill>
                </w14:textFill>
              </w:rPr>
              <w:t>/a，</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边角料</w:t>
            </w:r>
            <w:r>
              <w:rPr>
                <w:rFonts w:hint="default" w:ascii="Times New Roman" w:hAnsi="Times New Roman" w:cs="Times New Roman"/>
                <w:color w:val="000000" w:themeColor="text1"/>
                <w:sz w:val="24"/>
                <w:szCs w:val="24"/>
                <w:highlight w:val="none"/>
                <w14:textFill>
                  <w14:solidFill>
                    <w14:schemeClr w14:val="tx1"/>
                  </w14:solidFill>
                </w14:textFill>
              </w:rPr>
              <w:t>统一收集后外售至资源回收利用单位。</w:t>
            </w:r>
          </w:p>
          <w:p w14:paraId="1951B308">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kern w:val="24"/>
                <w:sz w:val="24"/>
                <w:szCs w:val="24"/>
                <w:highlight w:val="none"/>
                <w14:textFill>
                  <w14:solidFill>
                    <w14:schemeClr w14:val="tx1"/>
                  </w14:solidFill>
                </w14:textFill>
              </w:rPr>
              <w:t>②</w:t>
            </w:r>
            <w:r>
              <w:rPr>
                <w:rFonts w:hint="default" w:ascii="Times New Roman" w:hAnsi="Times New Roman" w:cs="Times New Roman"/>
                <w:b/>
                <w:bCs/>
                <w:color w:val="000000" w:themeColor="text1"/>
                <w:sz w:val="24"/>
                <w:szCs w:val="24"/>
                <w:highlight w:val="none"/>
                <w14:textFill>
                  <w14:solidFill>
                    <w14:schemeClr w14:val="tx1"/>
                  </w14:solidFill>
                </w14:textFill>
              </w:rPr>
              <w:t>包装废料</w:t>
            </w:r>
          </w:p>
          <w:p w14:paraId="61A8EFDC">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bCs/>
                <w:color w:val="000000" w:themeColor="text1"/>
                <w:kern w:val="24"/>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主要为项目原辅材料的包装材料，主要为纸箱、包装绳、塑料袋等，产生量约为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14:textFill>
                  <w14:solidFill>
                    <w14:schemeClr w14:val="tx1"/>
                  </w14:solidFill>
                </w14:textFill>
              </w:rPr>
              <w:t>t/a，属于一般工业固废，属于</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《固体废物分类与代码目录》（生态环境部公告2024年第4号）中的“SW17可再生类废物”</w:t>
            </w:r>
            <w:r>
              <w:rPr>
                <w:rFonts w:hint="default" w:ascii="Times New Roman" w:hAnsi="Times New Roman" w:cs="Times New Roman"/>
                <w:color w:val="000000" w:themeColor="text1"/>
                <w:sz w:val="24"/>
                <w:szCs w:val="24"/>
                <w:highlight w:val="none"/>
                <w14:textFill>
                  <w14:solidFill>
                    <w14:schemeClr w14:val="tx1"/>
                  </w14:solidFill>
                </w14:textFill>
              </w:rPr>
              <w:t>，代码</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分别</w:t>
            </w:r>
            <w:r>
              <w:rPr>
                <w:rFonts w:hint="default" w:ascii="Times New Roman" w:hAnsi="Times New Roman" w:cs="Times New Roman"/>
                <w:color w:val="000000" w:themeColor="text1"/>
                <w:sz w:val="24"/>
                <w:szCs w:val="24"/>
                <w:highlight w:val="none"/>
                <w14:textFill>
                  <w14:solidFill>
                    <w14:schemeClr w14:val="tx1"/>
                  </w14:solidFill>
                </w14:textFill>
              </w:rPr>
              <w:t>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900-003-S17</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废塑料</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900-005-S17</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废纸</w:t>
            </w:r>
            <w:r>
              <w:rPr>
                <w:rFonts w:hint="default" w:ascii="Times New Roman" w:hAnsi="Times New Roman" w:cs="Times New Roman"/>
                <w:color w:val="000000" w:themeColor="text1"/>
                <w:sz w:val="24"/>
                <w:szCs w:val="24"/>
                <w:highlight w:val="none"/>
                <w14:textFill>
                  <w14:solidFill>
                    <w14:schemeClr w14:val="tx1"/>
                  </w14:solidFill>
                </w14:textFill>
              </w:rPr>
              <w:t>），统一收集后外售至资源回收利用单位。</w:t>
            </w:r>
          </w:p>
          <w:p w14:paraId="51D4E8EC">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③</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沉降金属粉尘</w:t>
            </w:r>
          </w:p>
          <w:p w14:paraId="19FF3F00">
            <w:pPr>
              <w:pStyle w:val="2"/>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本项目切割、抛光打磨粉尘比重和粒径较大，一般会沉降到工作台周边，根据上文计算，</w:t>
            </w:r>
            <w:r>
              <w:rPr>
                <w:rFonts w:hint="eastAsia" w:ascii="Times New Roman" w:cs="Times New Roman"/>
                <w:b w:val="0"/>
                <w:bCs w:val="0"/>
                <w:color w:val="000000" w:themeColor="text1"/>
                <w:sz w:val="24"/>
                <w:szCs w:val="24"/>
                <w:highlight w:val="none"/>
                <w:lang w:val="en-US" w:eastAsia="zh-CN"/>
                <w14:textFill>
                  <w14:solidFill>
                    <w14:schemeClr w14:val="tx1"/>
                  </w14:solidFill>
                </w14:textFill>
              </w:rPr>
              <w:t>切割粉尘沉降量9.31t/a，</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金属粉尘</w:t>
            </w:r>
            <w:r>
              <w:rPr>
                <w:rFonts w:hint="eastAsia" w:ascii="Times New Roman" w:cs="Times New Roman"/>
                <w:b w:val="0"/>
                <w:bCs w:val="0"/>
                <w:color w:val="000000" w:themeColor="text1"/>
                <w:sz w:val="24"/>
                <w:szCs w:val="24"/>
                <w:highlight w:val="none"/>
                <w:lang w:val="en-US" w:eastAsia="zh-CN"/>
                <w14:textFill>
                  <w14:solidFill>
                    <w14:schemeClr w14:val="tx1"/>
                  </w14:solidFill>
                </w14:textFill>
              </w:rPr>
              <w:t>沉降</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量为</w:t>
            </w:r>
            <w:r>
              <w:rPr>
                <w:rFonts w:hint="eastAsia" w:ascii="Times New Roman" w:cs="Times New Roman"/>
                <w:b w:val="0"/>
                <w:bCs w:val="0"/>
                <w:color w:val="000000" w:themeColor="text1"/>
                <w:sz w:val="24"/>
                <w:szCs w:val="24"/>
                <w:highlight w:val="none"/>
                <w:lang w:val="en-US" w:eastAsia="zh-CN"/>
                <w14:textFill>
                  <w14:solidFill>
                    <w14:schemeClr w14:val="tx1"/>
                  </w14:solidFill>
                </w14:textFill>
              </w:rPr>
              <w:t>1.87</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t/a，合计为</w:t>
            </w:r>
            <w:r>
              <w:rPr>
                <w:rFonts w:hint="eastAsia" w:ascii="Times New Roman" w:cs="Times New Roman"/>
                <w:b w:val="0"/>
                <w:bCs w:val="0"/>
                <w:color w:val="000000" w:themeColor="text1"/>
                <w:sz w:val="24"/>
                <w:szCs w:val="24"/>
                <w:highlight w:val="none"/>
                <w:lang w:val="en-US" w:eastAsia="zh-CN"/>
                <w14:textFill>
                  <w14:solidFill>
                    <w14:schemeClr w14:val="tx1"/>
                  </w14:solidFill>
                </w14:textFill>
              </w:rPr>
              <w:t>11.18</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t/a，</w:t>
            </w:r>
            <w:r>
              <w:rPr>
                <w:rFonts w:hint="default" w:ascii="Times New Roman" w:hAnsi="Times New Roman" w:cs="Times New Roman"/>
                <w:b w:val="0"/>
                <w:bCs w:val="0"/>
                <w:color w:val="000000" w:themeColor="text1"/>
                <w:sz w:val="24"/>
                <w:szCs w:val="24"/>
                <w:highlight w:val="none"/>
                <w14:textFill>
                  <w14:solidFill>
                    <w14:schemeClr w14:val="tx1"/>
                  </w14:solidFill>
                </w14:textFill>
              </w:rPr>
              <w:t>属</w:t>
            </w:r>
            <w:r>
              <w:rPr>
                <w:rFonts w:hint="default" w:ascii="Times New Roman" w:hAnsi="Times New Roman" w:cs="Times New Roman"/>
                <w:color w:val="000000" w:themeColor="text1"/>
                <w:sz w:val="24"/>
                <w:szCs w:val="24"/>
                <w:highlight w:val="none"/>
                <w14:textFill>
                  <w14:solidFill>
                    <w14:schemeClr w14:val="tx1"/>
                  </w14:solidFill>
                </w14:textFill>
              </w:rPr>
              <w:t>于一般固废，</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为《固体废物分类与代码目录》（生态环境部公告2024年第4号）中的“SW17可再生类废物”</w:t>
            </w:r>
            <w:r>
              <w:rPr>
                <w:rFonts w:hint="default" w:ascii="Times New Roman" w:hAnsi="Times New Roman" w:cs="Times New Roman"/>
                <w:color w:val="000000" w:themeColor="text1"/>
                <w:sz w:val="24"/>
                <w:szCs w:val="24"/>
                <w:highlight w:val="none"/>
                <w14:textFill>
                  <w14:solidFill>
                    <w14:schemeClr w14:val="tx1"/>
                  </w14:solidFill>
                </w14:textFill>
              </w:rPr>
              <w:t>，代码为900-0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02</w:t>
            </w:r>
            <w:r>
              <w:rPr>
                <w:rFonts w:hint="default" w:ascii="Times New Roman" w:hAnsi="Times New Roman" w:cs="Times New Roman"/>
                <w:color w:val="000000" w:themeColor="text1"/>
                <w:sz w:val="24"/>
                <w:szCs w:val="24"/>
                <w:highlight w:val="none"/>
                <w14:textFill>
                  <w14:solidFill>
                    <w14:schemeClr w14:val="tx1"/>
                  </w14:solidFill>
                </w14:textFill>
              </w:rPr>
              <w:t>-S17</w:t>
            </w:r>
            <w:r>
              <w:rPr>
                <w:rFonts w:hint="default" w:ascii="Times New Roman" w:hAnsi="Times New Roman" w:cs="Times New Roman"/>
                <w:color w:val="000000" w:themeColor="text1"/>
                <w:sz w:val="24"/>
                <w:szCs w:val="24"/>
                <w:highlight w:val="none"/>
                <w:lang w:eastAsia="zh-CN"/>
                <w14:textFill>
                  <w14:solidFill>
                    <w14:schemeClr w14:val="tx1"/>
                  </w14:solidFill>
                </w14:textFill>
              </w:rPr>
              <w:t>（废</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有色金属</w:t>
            </w:r>
            <w:r>
              <w:rPr>
                <w:rFonts w:hint="default" w:ascii="Times New Roman" w:hAnsi="Times New Roman" w:cs="Times New Roman"/>
                <w:color w:val="000000" w:themeColor="text1"/>
                <w:sz w:val="24"/>
                <w:szCs w:val="24"/>
                <w:highlight w:val="none"/>
                <w:lang w:eastAsia="zh-CN"/>
                <w14:textFill>
                  <w14:solidFill>
                    <w14:schemeClr w14:val="tx1"/>
                  </w14:solidFill>
                </w14:textFill>
              </w:rPr>
              <w:t>），沉降金属粉尘和除尘器收集粉尘</w:t>
            </w:r>
            <w:r>
              <w:rPr>
                <w:rFonts w:hint="default" w:ascii="Times New Roman" w:hAnsi="Times New Roman" w:cs="Times New Roman"/>
                <w:color w:val="000000" w:themeColor="text1"/>
                <w:sz w:val="24"/>
                <w:szCs w:val="24"/>
                <w:highlight w:val="none"/>
                <w14:textFill>
                  <w14:solidFill>
                    <w14:schemeClr w14:val="tx1"/>
                  </w14:solidFill>
                </w14:textFill>
              </w:rPr>
              <w:t>统一收集后外售至资源回收利用单位。</w:t>
            </w:r>
          </w:p>
          <w:p w14:paraId="29D0A0A1">
            <w:pPr>
              <w:pStyle w:val="158"/>
              <w:pageBreakBefore w:val="0"/>
              <w:wordWrap w:val="0"/>
              <w:topLinePunct/>
              <w:bidi w:val="0"/>
              <w:snapToGrid/>
              <w:spacing w:beforeAutospacing="0" w:afterAutospacing="0"/>
              <w:ind w:firstLine="482"/>
              <w:rPr>
                <w:b/>
                <w:bCs/>
                <w:color w:val="000000" w:themeColor="text1"/>
                <w14:textFill>
                  <w14:solidFill>
                    <w14:schemeClr w14:val="tx1"/>
                  </w14:solidFill>
                </w14:textFill>
              </w:rPr>
            </w:pPr>
            <w:bookmarkStart w:id="32" w:name="_Toc724"/>
            <w:r>
              <w:rPr>
                <w:rFonts w:hint="eastAsia"/>
                <w:b/>
                <w:bCs/>
                <w:color w:val="000000" w:themeColor="text1"/>
                <w:lang w:val="en-US" w:eastAsia="zh-CN"/>
                <w14:textFill>
                  <w14:solidFill>
                    <w14:schemeClr w14:val="tx1"/>
                  </w14:solidFill>
                </w14:textFill>
              </w:rPr>
              <w:t>④</w:t>
            </w:r>
            <w:r>
              <w:rPr>
                <w:b/>
                <w:bCs/>
                <w:color w:val="000000" w:themeColor="text1"/>
                <w14:textFill>
                  <w14:solidFill>
                    <w14:schemeClr w14:val="tx1"/>
                  </w14:solidFill>
                </w14:textFill>
              </w:rPr>
              <w:t>废滤芯</w:t>
            </w:r>
            <w:bookmarkEnd w:id="32"/>
          </w:p>
          <w:p w14:paraId="2D67FDFC">
            <w:pPr>
              <w:pStyle w:val="2"/>
              <w:keepNext w:val="0"/>
              <w:keepLines w:val="0"/>
              <w:suppressLineNumbers w:val="0"/>
              <w:spacing w:before="0" w:beforeAutospacing="0" w:after="0" w:afterAutospacing="0" w:line="360" w:lineRule="auto"/>
              <w:ind w:left="0" w:right="0"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本</w:t>
            </w:r>
            <w:r>
              <w:rPr>
                <w:rFonts w:hint="default" w:ascii="Times New Roman" w:hAnsi="Times New Roman" w:cs="Times New Roman"/>
                <w:color w:val="000000" w:themeColor="text1"/>
                <w14:textFill>
                  <w14:solidFill>
                    <w14:schemeClr w14:val="tx1"/>
                  </w14:solidFill>
                </w14:textFill>
              </w:rPr>
              <w:t>项目</w:t>
            </w:r>
            <w:r>
              <w:rPr>
                <w:rFonts w:hint="eastAsia" w:ascii="Times New Roman" w:cs="Times New Roman"/>
                <w:color w:val="000000" w:themeColor="text1"/>
                <w:lang w:val="en-US" w:eastAsia="zh-CN"/>
                <w14:textFill>
                  <w14:solidFill>
                    <w14:schemeClr w14:val="tx1"/>
                  </w14:solidFill>
                </w14:textFill>
              </w:rPr>
              <w:t>切割粉尘采用滤筒除尘器处理、</w:t>
            </w:r>
            <w:r>
              <w:rPr>
                <w:rFonts w:hint="default" w:ascii="Times New Roman" w:hAnsi="Times New Roman" w:cs="Times New Roman"/>
                <w:color w:val="000000" w:themeColor="text1"/>
                <w14:textFill>
                  <w14:solidFill>
                    <w14:schemeClr w14:val="tx1"/>
                  </w14:solidFill>
                </w14:textFill>
              </w:rPr>
              <w:t>焊接烟尘采用“移动式焊烟净化器”处理，需要定期更换滤芯，故产生废滤芯。其产生量</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滤芯年更换量</w:t>
            </w:r>
            <w:r>
              <w:rPr>
                <w:rFonts w:hint="default" w:ascii="Times New Roman" w:hAnsi="Times New Roman" w:cs="Times New Roman"/>
                <w:color w:val="000000" w:themeColor="text1"/>
                <w:lang w:val="en-US" w:eastAsia="zh-CN"/>
                <w14:textFill>
                  <w14:solidFill>
                    <w14:schemeClr w14:val="tx1"/>
                  </w14:solidFill>
                </w14:textFill>
              </w:rPr>
              <w:t>=滤芯单个重量×一次更换数量×年更换次数</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5kg×3个×12次/a=</w:t>
            </w:r>
            <w:r>
              <w:rPr>
                <w:rFonts w:hint="eastAsia" w:ascii="Times New Roman" w:cs="Times New Roman"/>
                <w:color w:val="000000" w:themeColor="text1"/>
                <w:lang w:val="en-US" w:eastAsia="zh-CN"/>
                <w14:textFill>
                  <w14:solidFill>
                    <w14:schemeClr w14:val="tx1"/>
                  </w14:solidFill>
                </w14:textFill>
              </w:rPr>
              <w:t>0.18</w:t>
            </w:r>
            <w:r>
              <w:rPr>
                <w:rFonts w:hint="default" w:ascii="Times New Roman" w:hAnsi="Times New Roman" w:cs="Times New Roman"/>
                <w:color w:val="000000" w:themeColor="text1"/>
                <w14:textFill>
                  <w14:solidFill>
                    <w14:schemeClr w14:val="tx1"/>
                  </w14:solidFill>
                </w14:textFill>
              </w:rPr>
              <w:t>t/a，属于《固体废物分类与代码名录》（公告 2024年 第4号）中“SW59 其他工业固体废物”，代码为900-099-S59，经统一收集后，外售至资源回收利用单位。</w:t>
            </w:r>
          </w:p>
          <w:p w14:paraId="5EF9FA1B">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default" w:ascii="Times New Roman" w:hAnsi="Times New Roman" w:cs="Times New Roman"/>
                <w:b/>
                <w:bCs/>
                <w:color w:val="000000" w:themeColor="text1"/>
                <w:sz w:val="24"/>
                <w:szCs w:val="24"/>
                <w:highlight w:val="none"/>
                <w14:textFill>
                  <w14:solidFill>
                    <w14:schemeClr w14:val="tx1"/>
                  </w14:solidFill>
                </w14:textFill>
              </w:rPr>
              <w:t>（3）危险废物</w:t>
            </w:r>
          </w:p>
          <w:p w14:paraId="64C17939">
            <w:pPr>
              <w:pStyle w:val="22"/>
              <w:keepNext w:val="0"/>
              <w:keepLines w:val="0"/>
              <w:suppressLineNumbers w:val="0"/>
              <w:spacing w:before="0" w:beforeAutospacing="0" w:after="0" w:afterAutospacing="0" w:line="360" w:lineRule="auto"/>
              <w:ind w:left="0" w:right="0" w:firstLine="48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危险废物类别根据</w:t>
            </w:r>
            <w:r>
              <w:rPr>
                <w:rFonts w:hint="default" w:ascii="Times New Roman" w:hAnsi="Times New Roman" w:cs="Times New Roman"/>
                <w:color w:val="000000" w:themeColor="text1"/>
                <w:sz w:val="24"/>
                <w:szCs w:val="24"/>
                <w:highlight w:val="none"/>
                <w:lang w:eastAsia="zh-CN"/>
                <w14:textFill>
                  <w14:solidFill>
                    <w14:schemeClr w14:val="tx1"/>
                  </w14:solidFill>
                </w14:textFill>
              </w:rPr>
              <w:t>《国家危险废物名录》（2025年版）</w:t>
            </w:r>
            <w:r>
              <w:rPr>
                <w:rFonts w:hint="default" w:ascii="Times New Roman" w:hAnsi="Times New Roman" w:cs="Times New Roman"/>
                <w:color w:val="000000" w:themeColor="text1"/>
                <w:sz w:val="24"/>
                <w:szCs w:val="24"/>
                <w:highlight w:val="none"/>
                <w14:textFill>
                  <w14:solidFill>
                    <w14:schemeClr w14:val="tx1"/>
                  </w14:solidFill>
                </w14:textFill>
              </w:rPr>
              <w:t>进行辨识，分类收集后委托危险废物资质单位处理。</w:t>
            </w:r>
          </w:p>
          <w:p w14:paraId="672DB4FC">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default" w:ascii="Times New Roman" w:hAnsi="Times New Roman" w:cs="Times New Roman"/>
                <w:b/>
                <w:bCs/>
                <w:color w:val="000000" w:themeColor="text1"/>
                <w:sz w:val="24"/>
                <w:szCs w:val="24"/>
                <w:highlight w:val="none"/>
                <w14:textFill>
                  <w14:solidFill>
                    <w14:schemeClr w14:val="tx1"/>
                  </w14:solidFill>
                </w14:textFill>
              </w:rPr>
              <w:t>①废表面处理剂包装桶</w:t>
            </w:r>
          </w:p>
          <w:p w14:paraId="43E3326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项目预处理表面处理剂包括</w:t>
            </w:r>
            <w:r>
              <w:rPr>
                <w:rFonts w:hint="eastAsia" w:cs="Times New Roman"/>
                <w:color w:val="000000" w:themeColor="text1"/>
                <w:kern w:val="0"/>
                <w:sz w:val="24"/>
                <w:szCs w:val="24"/>
                <w:highlight w:val="none"/>
                <w:lang w:val="en-US" w:eastAsia="zh-CN" w:bidi="ar-SA"/>
                <w14:textFill>
                  <w14:solidFill>
                    <w14:schemeClr w14:val="tx1"/>
                  </w14:solidFill>
                </w14:textFill>
              </w:rPr>
              <w:t>除油</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剂、无铬钝化剂，表面处理剂使用完后会产生废表面处理剂包装桶，合计</w:t>
            </w:r>
            <w:r>
              <w:rPr>
                <w:rFonts w:hint="eastAsia" w:cs="Times New Roman"/>
                <w:color w:val="000000" w:themeColor="text1"/>
                <w:kern w:val="0"/>
                <w:sz w:val="24"/>
                <w:szCs w:val="24"/>
                <w:highlight w:val="none"/>
                <w:lang w:val="en-US" w:eastAsia="zh-CN" w:bidi="ar-SA"/>
                <w14:textFill>
                  <w14:solidFill>
                    <w14:schemeClr w14:val="tx1"/>
                  </w14:solidFill>
                </w14:textFill>
              </w:rPr>
              <w:t>1.658</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t/a（</w:t>
            </w:r>
            <w:r>
              <w:rPr>
                <w:rFonts w:hint="eastAsia" w:cs="Times New Roman"/>
                <w:color w:val="000000" w:themeColor="text1"/>
                <w:kern w:val="0"/>
                <w:sz w:val="24"/>
                <w:szCs w:val="24"/>
                <w:highlight w:val="none"/>
                <w:lang w:val="en-US" w:eastAsia="zh-CN" w:bidi="ar-SA"/>
                <w14:textFill>
                  <w14:solidFill>
                    <w14:schemeClr w14:val="tx1"/>
                  </w14:solidFill>
                </w14:textFill>
              </w:rPr>
              <w:t>约3315</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个，废空桶平均重0.5kg/个）。属于</w:t>
            </w:r>
            <w:r>
              <w:rPr>
                <w:rFonts w:hint="default" w:ascii="Times New Roman" w:hAnsi="Times New Roman" w:cs="Times New Roman"/>
                <w:color w:val="000000" w:themeColor="text1"/>
                <w:kern w:val="0"/>
                <w:sz w:val="24"/>
                <w:szCs w:val="24"/>
                <w:highlight w:val="none"/>
                <w:lang w:val="en-US" w:eastAsia="zh-CN" w:bidi="ar-SA"/>
                <w14:textFill>
                  <w14:solidFill>
                    <w14:schemeClr w14:val="tx1"/>
                  </w14:solidFill>
                </w14:textFill>
              </w:rPr>
              <w:t>《国家危险废物名录》（2025年版）</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中编号为HW49其他废物，废物代码900-041-49。收集后交由有相应危险废物处理资质的单位处理。</w:t>
            </w:r>
          </w:p>
          <w:p w14:paraId="6B59941B">
            <w:pPr>
              <w:pStyle w:val="4"/>
              <w:keepNext w:val="0"/>
              <w:keepLines w:val="0"/>
              <w:suppressLineNumbers w:val="0"/>
              <w:spacing w:before="0" w:beforeAutospacing="0" w:after="0" w:afterAutospacing="0" w:line="360" w:lineRule="auto"/>
              <w:ind w:left="0" w:right="0" w:firstLine="482" w:firstLineChars="200"/>
              <w:rPr>
                <w:rFonts w:hint="eastAsia" w:ascii="Times New Roman" w:hAnsi="Times New Roman" w:eastAsia="宋体" w:cs="Times New Roman"/>
                <w:b/>
                <w:bCs w:val="0"/>
                <w:color w:val="000000" w:themeColor="text1"/>
                <w:sz w:val="24"/>
                <w:szCs w:val="24"/>
                <w:highlight w:val="none"/>
                <w:lang w:eastAsia="zh-CN"/>
                <w14:textFill>
                  <w14:solidFill>
                    <w14:schemeClr w14:val="tx1"/>
                  </w14:solidFill>
                </w14:textFill>
              </w:rPr>
            </w:pPr>
            <w:r>
              <w:rPr>
                <w:rFonts w:hint="default" w:ascii="Times New Roman" w:hAnsi="Times New Roman" w:cs="Times New Roman"/>
                <w:b/>
                <w:bCs w:val="0"/>
                <w:color w:val="000000" w:themeColor="text1"/>
                <w:sz w:val="24"/>
                <w:szCs w:val="24"/>
                <w:highlight w:val="none"/>
                <w14:textFill>
                  <w14:solidFill>
                    <w14:schemeClr w14:val="tx1"/>
                  </w14:solidFill>
                </w14:textFill>
              </w:rPr>
              <w:t>②</w:t>
            </w:r>
            <w:r>
              <w:rPr>
                <w:rFonts w:hint="eastAsia" w:ascii="Times New Roman" w:cs="Times New Roman"/>
                <w:b/>
                <w:bCs w:val="0"/>
                <w:color w:val="000000" w:themeColor="text1"/>
                <w:sz w:val="24"/>
                <w:szCs w:val="24"/>
                <w:highlight w:val="none"/>
                <w:lang w:eastAsia="zh-CN"/>
                <w14:textFill>
                  <w14:solidFill>
                    <w14:schemeClr w14:val="tx1"/>
                  </w14:solidFill>
                </w14:textFill>
              </w:rPr>
              <w:t>预处理池泥渣及管道循环装置废物</w:t>
            </w:r>
          </w:p>
          <w:p w14:paraId="199DB390">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根据企业提供的生产经验和行业相关类比分析，本项目</w:t>
            </w:r>
            <w:r>
              <w:rPr>
                <w:rFonts w:hint="eastAsia" w:cs="Times New Roman"/>
                <w:color w:val="000000" w:themeColor="text1"/>
                <w:sz w:val="24"/>
                <w:szCs w:val="24"/>
                <w:highlight w:val="none"/>
                <w:lang w:eastAsia="zh-CN"/>
                <w14:textFill>
                  <w14:solidFill>
                    <w14:schemeClr w14:val="tx1"/>
                  </w14:solidFill>
                </w14:textFill>
              </w:rPr>
              <w:t>预处理池泥渣及管道循环装置废物</w:t>
            </w:r>
            <w:r>
              <w:rPr>
                <w:rFonts w:hint="default" w:ascii="Times New Roman" w:hAnsi="Times New Roman" w:cs="Times New Roman"/>
                <w:color w:val="000000" w:themeColor="text1"/>
                <w:sz w:val="24"/>
                <w:szCs w:val="24"/>
                <w:highlight w:val="none"/>
                <w14:textFill>
                  <w14:solidFill>
                    <w14:schemeClr w14:val="tx1"/>
                  </w14:solidFill>
                </w14:textFill>
              </w:rPr>
              <w:t>预计产生量为</w:t>
            </w:r>
            <w:r>
              <w:rPr>
                <w:rFonts w:hint="eastAsia"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t</w:t>
            </w:r>
            <w:r>
              <w:rPr>
                <w:rFonts w:hint="default" w:ascii="Times New Roman" w:hAnsi="Times New Roman" w:cs="Times New Roman"/>
                <w:color w:val="000000" w:themeColor="text1"/>
                <w:sz w:val="24"/>
                <w:szCs w:val="24"/>
                <w:highlight w:val="none"/>
                <w14:textFill>
                  <w14:solidFill>
                    <w14:schemeClr w14:val="tx1"/>
                  </w14:solidFill>
                </w14:textFill>
              </w:rPr>
              <w:t>/a。属于</w:t>
            </w:r>
            <w:r>
              <w:rPr>
                <w:rFonts w:hint="default" w:ascii="Times New Roman" w:hAnsi="Times New Roman" w:cs="Times New Roman"/>
                <w:color w:val="000000" w:themeColor="text1"/>
                <w:sz w:val="24"/>
                <w:szCs w:val="24"/>
                <w:highlight w:val="none"/>
                <w:lang w:eastAsia="zh-CN"/>
                <w14:textFill>
                  <w14:solidFill>
                    <w14:schemeClr w14:val="tx1"/>
                  </w14:solidFill>
                </w14:textFill>
              </w:rPr>
              <w:t>《国家危险废物名录》（2025年版）</w:t>
            </w:r>
            <w:r>
              <w:rPr>
                <w:rFonts w:hint="default" w:ascii="Times New Roman" w:hAnsi="Times New Roman" w:cs="Times New Roman"/>
                <w:color w:val="000000" w:themeColor="text1"/>
                <w:sz w:val="24"/>
                <w:szCs w:val="24"/>
                <w:highlight w:val="none"/>
                <w14:textFill>
                  <w14:solidFill>
                    <w14:schemeClr w14:val="tx1"/>
                  </w14:solidFill>
                </w14:textFill>
              </w:rPr>
              <w:t>中编号为HW17表面处理废物，危废代码336-064-17，收集后交由有危废处理资质单位处理。</w:t>
            </w:r>
          </w:p>
          <w:p w14:paraId="6C42C504">
            <w:pPr>
              <w:pStyle w:val="2"/>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bCs/>
                <w:color w:val="000000" w:themeColor="text1"/>
                <w:sz w:val="24"/>
                <w:szCs w:val="24"/>
                <w:highlight w:val="none"/>
                <w14:textFill>
                  <w14:solidFill>
                    <w14:schemeClr w14:val="tx1"/>
                  </w14:solidFill>
                </w14:textFill>
              </w:rPr>
              <w:t>③</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无铬钝化池废槽液</w:t>
            </w:r>
          </w:p>
          <w:p w14:paraId="0A72354B">
            <w:pPr>
              <w:pStyle w:val="2"/>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项目无铬钝化池的槽液日常循环使用，使用一定时间需要更换，更换频次为每季度更换一次。根据前文分析，前处理生产线更换出的无铬钝化池废槽液量合计为22.4</w:t>
            </w:r>
            <w:r>
              <w:rPr>
                <w:rFonts w:hint="eastAsia" w:ascii="Times New Roman" w:cs="Times New Roman"/>
                <w:b w:val="0"/>
                <w:bCs w:val="0"/>
                <w:color w:val="000000" w:themeColor="text1"/>
                <w:sz w:val="24"/>
                <w:szCs w:val="24"/>
                <w:highlight w:val="none"/>
                <w:lang w:val="en-US" w:eastAsia="zh-CN"/>
                <w14:textFill>
                  <w14:solidFill>
                    <w14:schemeClr w14:val="tx1"/>
                  </w14:solidFill>
                </w14:textFill>
              </w:rPr>
              <w:t>×2=44.8t/a</w:t>
            </w:r>
            <w:r>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t>。根据《国家危险废物名录》（202</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5</w:t>
            </w:r>
            <w:r>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t>年版），</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无铬钝化池废槽液</w:t>
            </w:r>
            <w:r>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t>属于HW</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17</w:t>
            </w:r>
            <w:r>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t>表面处理废物，废物代码为336-064-17，经收集后暂存于</w:t>
            </w:r>
            <w:r>
              <w:rPr>
                <w:rFonts w:hint="eastAsia" w:ascii="Times New Roman" w:cs="Times New Roman"/>
                <w:b w:val="0"/>
                <w:bCs w:val="0"/>
                <w:color w:val="000000" w:themeColor="text1"/>
                <w:sz w:val="24"/>
                <w:szCs w:val="24"/>
                <w:highlight w:val="none"/>
                <w:lang w:eastAsia="zh-CN"/>
                <w14:textFill>
                  <w14:solidFill>
                    <w14:schemeClr w14:val="tx1"/>
                  </w14:solidFill>
                </w14:textFill>
              </w:rPr>
              <w:t>危险废物贮存间</w:t>
            </w:r>
            <w:r>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t>，定期交由有危险废物处理资质单位处理。</w:t>
            </w:r>
          </w:p>
          <w:p w14:paraId="0FCA81C9">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④</w:t>
            </w:r>
            <w:r>
              <w:rPr>
                <w:rFonts w:hint="default" w:ascii="Times New Roman" w:hAnsi="Times New Roman" w:cs="Times New Roman"/>
                <w:b/>
                <w:bCs/>
                <w:color w:val="000000" w:themeColor="text1"/>
                <w:sz w:val="24"/>
                <w:szCs w:val="24"/>
                <w:highlight w:val="none"/>
                <w14:textFill>
                  <w14:solidFill>
                    <w14:schemeClr w14:val="tx1"/>
                  </w14:solidFill>
                </w14:textFill>
              </w:rPr>
              <w:t>废水处理站污泥</w:t>
            </w:r>
          </w:p>
          <w:p w14:paraId="6E4619F8">
            <w:pPr>
              <w:pStyle w:val="20"/>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cs="Times New Roman"/>
                <w:b w:val="0"/>
                <w:bCs w:val="0"/>
                <w:color w:val="000000" w:themeColor="text1"/>
                <w:kern w:val="24"/>
                <w:sz w:val="24"/>
                <w:szCs w:val="24"/>
                <w:highlight w:val="none"/>
                <w14:textFill>
                  <w14:solidFill>
                    <w14:schemeClr w14:val="tx1"/>
                  </w14:solidFill>
                </w14:textFill>
              </w:rPr>
            </w:pPr>
            <w:r>
              <w:rPr>
                <w:rFonts w:hint="eastAsia" w:cs="Times New Roman"/>
                <w:b w:val="0"/>
                <w:bCs w:val="0"/>
                <w:color w:val="000000" w:themeColor="text1"/>
                <w:kern w:val="24"/>
                <w:sz w:val="24"/>
                <w:szCs w:val="24"/>
                <w:highlight w:val="none"/>
                <w:lang w:val="en-US" w:eastAsia="zh-CN"/>
                <w14:textFill>
                  <w14:solidFill>
                    <w14:schemeClr w14:val="tx1"/>
                  </w14:solidFill>
                </w14:textFill>
              </w:rPr>
              <w:t>项目自建污水处理站运行过程中产生污泥。</w:t>
            </w:r>
            <w:r>
              <w:rPr>
                <w:rFonts w:hint="default" w:ascii="Times New Roman" w:hAnsi="Times New Roman" w:cs="Times New Roman"/>
                <w:b w:val="0"/>
                <w:bCs w:val="0"/>
                <w:color w:val="000000" w:themeColor="text1"/>
                <w:kern w:val="24"/>
                <w:sz w:val="24"/>
                <w:szCs w:val="24"/>
                <w:highlight w:val="none"/>
                <w:lang w:val="en-US" w:eastAsia="zh-CN"/>
                <w14:textFill>
                  <w14:solidFill>
                    <w14:schemeClr w14:val="tx1"/>
                  </w14:solidFill>
                </w14:textFill>
              </w:rPr>
              <w:t>根据公式：</w:t>
            </w:r>
            <w:r>
              <w:rPr>
                <w:rFonts w:hint="default" w:ascii="Times New Roman" w:hAnsi="Times New Roman" w:eastAsia="宋体" w:cs="Times New Roman"/>
                <w:i w:val="0"/>
                <w:iCs w:val="0"/>
                <w:caps w:val="0"/>
                <w:color w:val="000000" w:themeColor="text1"/>
                <w:spacing w:val="0"/>
                <w:sz w:val="24"/>
                <w:szCs w:val="24"/>
                <w:highlight w:val="none"/>
                <w:shd w:val="clear" w:color="auto" w:fill="FFFFFF"/>
                <w14:textFill>
                  <w14:solidFill>
                    <w14:schemeClr w14:val="tx1"/>
                  </w14:solidFill>
                </w14:textFill>
              </w:rPr>
              <w:t>干污泥量（t/a）=</w:t>
            </w:r>
            <w:r>
              <w:rPr>
                <w:rFonts w:hint="default" w:ascii="Times New Roman" w:hAnsi="Times New Roman" w:eastAsia="宋体" w:cs="Times New Roman"/>
                <w:i/>
                <w:iCs/>
                <w:caps w:val="0"/>
                <w:color w:val="000000" w:themeColor="text1"/>
                <w:spacing w:val="0"/>
                <w:sz w:val="24"/>
                <w:szCs w:val="24"/>
                <w:highlight w:val="none"/>
                <w:shd w:val="clear" w:color="auto" w:fill="FFFFFF"/>
                <w14:textFill>
                  <w14:solidFill>
                    <w14:schemeClr w14:val="tx1"/>
                  </w14:solidFill>
                </w14:textFill>
              </w:rPr>
              <w:t>Q</w:t>
            </w:r>
            <w:r>
              <w:rPr>
                <w:rFonts w:hint="default" w:ascii="Times New Roman" w:hAnsi="Times New Roman" w:eastAsia="宋体" w:cs="Times New Roman"/>
                <w:i w:val="0"/>
                <w:iCs w:val="0"/>
                <w:caps w:val="0"/>
                <w:color w:val="000000" w:themeColor="text1"/>
                <w:spacing w:val="0"/>
                <w:sz w:val="24"/>
                <w:szCs w:val="24"/>
                <w:highlight w:val="none"/>
                <w:shd w:val="clear" w:color="auto" w:fill="FFFFFF"/>
                <w14:textFill>
                  <w14:solidFill>
                    <w14:schemeClr w14:val="tx1"/>
                  </w14:solidFill>
                </w14:textFill>
              </w:rPr>
              <w:t>×(</w:t>
            </w:r>
            <w:r>
              <w:rPr>
                <w:rFonts w:hint="default" w:ascii="Times New Roman" w:hAnsi="Times New Roman" w:eastAsia="宋体" w:cs="Times New Roman"/>
                <w:i/>
                <w:iCs/>
                <w:caps w:val="0"/>
                <w:color w:val="000000" w:themeColor="text1"/>
                <w:spacing w:val="0"/>
                <w:sz w:val="24"/>
                <w:szCs w:val="24"/>
                <w:highlight w:val="none"/>
                <w:shd w:val="clear" w:color="auto" w:fill="FFFFFF"/>
                <w14:textFill>
                  <w14:solidFill>
                    <w14:schemeClr w14:val="tx1"/>
                  </w14:solidFill>
                </w14:textFill>
              </w:rPr>
              <w:t>C</w:t>
            </w:r>
            <w:r>
              <w:rPr>
                <w:rFonts w:hint="default" w:ascii="Times New Roman" w:hAnsi="Times New Roman" w:eastAsia="宋体" w:cs="Times New Roman"/>
                <w:i w:val="0"/>
                <w:iCs w:val="0"/>
                <w:caps w:val="0"/>
                <w:color w:val="000000" w:themeColor="text1"/>
                <w:spacing w:val="0"/>
                <w:sz w:val="24"/>
                <w:szCs w:val="24"/>
                <w:highlight w:val="none"/>
                <w:shd w:val="clear" w:color="auto" w:fill="FFFFFF"/>
                <w:vertAlign w:val="subscript"/>
                <w14:textFill>
                  <w14:solidFill>
                    <w14:schemeClr w14:val="tx1"/>
                  </w14:solidFill>
                </w14:textFill>
              </w:rPr>
              <w:t>进水</w:t>
            </w:r>
            <w:r>
              <w:rPr>
                <w:rFonts w:hint="default" w:ascii="Times New Roman" w:hAnsi="Times New Roman" w:eastAsia="宋体" w:cs="Times New Roman"/>
                <w:i w:val="0"/>
                <w:iCs w:val="0"/>
                <w:caps w:val="0"/>
                <w:color w:val="000000" w:themeColor="text1"/>
                <w:spacing w:val="0"/>
                <w:sz w:val="24"/>
                <w:szCs w:val="24"/>
                <w:highlight w:val="none"/>
                <w:shd w:val="clear" w:color="auto" w:fill="FFFFFF"/>
                <w14:textFill>
                  <w14:solidFill>
                    <w14:schemeClr w14:val="tx1"/>
                  </w14:solidFill>
                </w14:textFill>
              </w:rPr>
              <w:t>−</w:t>
            </w:r>
            <w:r>
              <w:rPr>
                <w:rFonts w:hint="default" w:ascii="Times New Roman" w:hAnsi="Times New Roman" w:eastAsia="宋体" w:cs="Times New Roman"/>
                <w:i/>
                <w:iCs/>
                <w:caps w:val="0"/>
                <w:color w:val="000000" w:themeColor="text1"/>
                <w:spacing w:val="0"/>
                <w:sz w:val="24"/>
                <w:szCs w:val="24"/>
                <w:highlight w:val="none"/>
                <w:shd w:val="clear" w:color="auto" w:fill="FFFFFF"/>
                <w14:textFill>
                  <w14:solidFill>
                    <w14:schemeClr w14:val="tx1"/>
                  </w14:solidFill>
                </w14:textFill>
              </w:rPr>
              <w:t>C</w:t>
            </w:r>
            <w:r>
              <w:rPr>
                <w:rFonts w:hint="default" w:ascii="Times New Roman" w:hAnsi="Times New Roman" w:eastAsia="宋体" w:cs="Times New Roman"/>
                <w:i w:val="0"/>
                <w:iCs w:val="0"/>
                <w:caps w:val="0"/>
                <w:color w:val="000000" w:themeColor="text1"/>
                <w:spacing w:val="0"/>
                <w:sz w:val="24"/>
                <w:szCs w:val="24"/>
                <w:highlight w:val="none"/>
                <w:shd w:val="clear" w:color="auto" w:fill="FFFFFF"/>
                <w:vertAlign w:val="subscript"/>
                <w14:textFill>
                  <w14:solidFill>
                    <w14:schemeClr w14:val="tx1"/>
                  </w14:solidFill>
                </w14:textFill>
              </w:rPr>
              <w:t>出水</w:t>
            </w:r>
            <w:r>
              <w:rPr>
                <w:rFonts w:hint="default" w:ascii="Times New Roman" w:hAnsi="Times New Roman" w:eastAsia="宋体" w:cs="Times New Roman"/>
                <w:i w:val="0"/>
                <w:iCs w:val="0"/>
                <w:caps w:val="0"/>
                <w:color w:val="000000" w:themeColor="text1"/>
                <w:spacing w:val="0"/>
                <w:sz w:val="24"/>
                <w:szCs w:val="24"/>
                <w:highlight w:val="none"/>
                <w:shd w:val="clear" w:color="auto" w:fill="FFFFFF"/>
                <w14:textFill>
                  <w14:solidFill>
                    <w14:schemeClr w14:val="tx1"/>
                  </w14:solidFill>
                </w14:textFill>
              </w:rPr>
              <w:t>)×10</w:t>
            </w:r>
            <w:r>
              <w:rPr>
                <w:rFonts w:hint="default" w:ascii="Times New Roman" w:hAnsi="Times New Roman" w:eastAsia="宋体" w:cs="Times New Roman"/>
                <w:i w:val="0"/>
                <w:iCs w:val="0"/>
                <w:caps w:val="0"/>
                <w:color w:val="000000" w:themeColor="text1"/>
                <w:spacing w:val="0"/>
                <w:sz w:val="24"/>
                <w:szCs w:val="24"/>
                <w:highlight w:val="none"/>
                <w:shd w:val="clear" w:color="auto" w:fill="FFFFFF"/>
                <w:vertAlign w:val="superscript"/>
                <w14:textFill>
                  <w14:solidFill>
                    <w14:schemeClr w14:val="tx1"/>
                  </w14:solidFill>
                </w14:textFill>
              </w:rPr>
              <w:t>−</w:t>
            </w:r>
            <w:r>
              <w:rPr>
                <w:rFonts w:hint="eastAsia" w:ascii="Times New Roman" w:hAnsi="Times New Roman" w:eastAsia="宋体" w:cs="Times New Roman"/>
                <w:i w:val="0"/>
                <w:iCs w:val="0"/>
                <w:caps w:val="0"/>
                <w:color w:val="000000" w:themeColor="text1"/>
                <w:spacing w:val="0"/>
                <w:sz w:val="24"/>
                <w:szCs w:val="24"/>
                <w:highlight w:val="none"/>
                <w:shd w:val="clear" w:color="auto" w:fill="FFFFFF"/>
                <w:vertAlign w:val="superscript"/>
                <w:lang w:val="en-US" w:eastAsia="zh-CN"/>
                <w14:textFill>
                  <w14:solidFill>
                    <w14:schemeClr w14:val="tx1"/>
                  </w14:solidFill>
                </w14:textFill>
              </w:rPr>
              <w:t>6</w:t>
            </w:r>
            <w:r>
              <w:rPr>
                <w:rFonts w:hint="default" w:ascii="Times New Roman" w:hAnsi="Times New Roman" w:eastAsia="宋体" w:cs="Times New Roman"/>
                <w:i w:val="0"/>
                <w:iCs w:val="0"/>
                <w:caps w:val="0"/>
                <w:color w:val="000000" w:themeColor="text1"/>
                <w:spacing w:val="0"/>
                <w:sz w:val="24"/>
                <w:szCs w:val="24"/>
                <w:highlight w:val="none"/>
                <w:shd w:val="clear" w:color="auto" w:fill="FFFFFF"/>
                <w14:textFill>
                  <w14:solidFill>
                    <w14:schemeClr w14:val="tx1"/>
                  </w14:solidFill>
                </w14:textFill>
              </w:rPr>
              <w:t>×污泥转化系数</w:t>
            </w:r>
          </w:p>
          <w:p w14:paraId="69B89A7B">
            <w:pPr>
              <w:pStyle w:val="4"/>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Q：处理水量（m³/a），本项目为</w:t>
            </w:r>
            <w:r>
              <w:rPr>
                <w:rFonts w:hint="eastAsia" w:ascii="Times New Roman" w:cs="Times New Roman"/>
                <w:b w:val="0"/>
                <w:bCs w:val="0"/>
                <w:color w:val="000000" w:themeColor="text1"/>
                <w:sz w:val="24"/>
                <w:szCs w:val="24"/>
                <w:highlight w:val="none"/>
                <w:lang w:val="en-US" w:eastAsia="zh-CN"/>
                <w14:textFill>
                  <w14:solidFill>
                    <w14:schemeClr w14:val="tx1"/>
                  </w14:solidFill>
                </w14:textFill>
              </w:rPr>
              <w:t>10010.08</w:t>
            </w:r>
            <w:r>
              <w:rPr>
                <w:rFonts w:hint="default" w:ascii="Times New Roman" w:hAnsi="Times New Roman" w:cs="Times New Roman"/>
                <w:b w:val="0"/>
                <w:bCs w:val="0"/>
                <w:color w:val="000000" w:themeColor="text1"/>
                <w:sz w:val="24"/>
                <w:szCs w:val="24"/>
                <w:highlight w:val="none"/>
                <w14:textFill>
                  <w14:solidFill>
                    <w14:schemeClr w14:val="tx1"/>
                  </w14:solidFill>
                </w14:textFill>
              </w:rPr>
              <w:t>m³/a</w:t>
            </w:r>
          </w:p>
          <w:p w14:paraId="5666FD05">
            <w:pPr>
              <w:pStyle w:val="4"/>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C</w:t>
            </w:r>
            <w:r>
              <w:rPr>
                <w:rFonts w:hint="default" w:ascii="Times New Roman" w:hAnsi="Times New Roman" w:cs="Times New Roman"/>
                <w:b w:val="0"/>
                <w:bCs w:val="0"/>
                <w:color w:val="000000" w:themeColor="text1"/>
                <w:sz w:val="24"/>
                <w:szCs w:val="24"/>
                <w:highlight w:val="none"/>
                <w:vertAlign w:val="subscript"/>
                <w14:textFill>
                  <w14:solidFill>
                    <w14:schemeClr w14:val="tx1"/>
                  </w14:solidFill>
                </w14:textFill>
              </w:rPr>
              <w:t>进水</w:t>
            </w:r>
            <w:r>
              <w:rPr>
                <w:rFonts w:hint="default" w:ascii="Times New Roman" w:hAnsi="Times New Roman" w:cs="Times New Roman"/>
                <w:b w:val="0"/>
                <w:bCs w:val="0"/>
                <w:color w:val="000000" w:themeColor="text1"/>
                <w:sz w:val="24"/>
                <w:szCs w:val="24"/>
                <w:highlight w:val="none"/>
                <w14:textFill>
                  <w14:solidFill>
                    <w14:schemeClr w14:val="tx1"/>
                  </w14:solidFill>
                </w14:textFill>
              </w:rPr>
              <w:t>：进水污染物浓度（mg/L），如SS=</w:t>
            </w:r>
            <w:r>
              <w:rPr>
                <w:rFonts w:hint="eastAsia" w:ascii="Times New Roman" w:cs="Times New Roman"/>
                <w:b w:val="0"/>
                <w:bCs w:val="0"/>
                <w:color w:val="000000" w:themeColor="text1"/>
                <w:sz w:val="24"/>
                <w:szCs w:val="24"/>
                <w:highlight w:val="none"/>
                <w:lang w:val="en-US" w:eastAsia="zh-CN"/>
                <w14:textFill>
                  <w14:solidFill>
                    <w14:schemeClr w14:val="tx1"/>
                  </w14:solidFill>
                </w14:textFill>
              </w:rPr>
              <w:t>67</w:t>
            </w:r>
            <w:r>
              <w:rPr>
                <w:rFonts w:hint="default" w:ascii="Times New Roman" w:hAnsi="Times New Roman" w:cs="Times New Roman"/>
                <w:b w:val="0"/>
                <w:bCs w:val="0"/>
                <w:color w:val="000000" w:themeColor="text1"/>
                <w:sz w:val="24"/>
                <w:szCs w:val="24"/>
                <w:highlight w:val="none"/>
                <w14:textFill>
                  <w14:solidFill>
                    <w14:schemeClr w14:val="tx1"/>
                  </w14:solidFill>
                </w14:textFill>
              </w:rPr>
              <w:t>mg/L</w:t>
            </w:r>
          </w:p>
          <w:p w14:paraId="418711F4">
            <w:pPr>
              <w:pStyle w:val="4"/>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C</w:t>
            </w:r>
            <w:r>
              <w:rPr>
                <w:rFonts w:hint="default" w:ascii="Times New Roman" w:hAnsi="Times New Roman" w:cs="Times New Roman"/>
                <w:b w:val="0"/>
                <w:bCs w:val="0"/>
                <w:color w:val="000000" w:themeColor="text1"/>
                <w:sz w:val="24"/>
                <w:szCs w:val="24"/>
                <w:highlight w:val="none"/>
                <w:vertAlign w:val="subscript"/>
                <w14:textFill>
                  <w14:solidFill>
                    <w14:schemeClr w14:val="tx1"/>
                  </w14:solidFill>
                </w14:textFill>
              </w:rPr>
              <w:t>出水</w:t>
            </w:r>
            <w:r>
              <w:rPr>
                <w:rFonts w:hint="default" w:ascii="Times New Roman" w:hAnsi="Times New Roman" w:cs="Times New Roman"/>
                <w:b w:val="0"/>
                <w:bCs w:val="0"/>
                <w:color w:val="000000" w:themeColor="text1"/>
                <w:sz w:val="24"/>
                <w:szCs w:val="24"/>
                <w:highlight w:val="none"/>
                <w14:textFill>
                  <w14:solidFill>
                    <w14:schemeClr w14:val="tx1"/>
                  </w14:solidFill>
                </w14:textFill>
              </w:rPr>
              <w:t>：出水污染物浓度（mg/L），如SS=</w:t>
            </w:r>
            <w:r>
              <w:rPr>
                <w:rFonts w:hint="eastAsia" w:ascii="Times New Roman" w:cs="Times New Roman"/>
                <w:b w:val="0"/>
                <w:bCs w:val="0"/>
                <w:color w:val="000000" w:themeColor="text1"/>
                <w:sz w:val="24"/>
                <w:szCs w:val="24"/>
                <w:highlight w:val="none"/>
                <w:lang w:val="en-US" w:eastAsia="zh-CN"/>
                <w14:textFill>
                  <w14:solidFill>
                    <w14:schemeClr w14:val="tx1"/>
                  </w14:solidFill>
                </w14:textFill>
              </w:rPr>
              <w:t>0.9</w:t>
            </w:r>
            <w:r>
              <w:rPr>
                <w:rFonts w:hint="default" w:ascii="Times New Roman" w:hAnsi="Times New Roman" w:cs="Times New Roman"/>
                <w:b w:val="0"/>
                <w:bCs w:val="0"/>
                <w:color w:val="000000" w:themeColor="text1"/>
                <w:sz w:val="24"/>
                <w:szCs w:val="24"/>
                <w:highlight w:val="none"/>
                <w14:textFill>
                  <w14:solidFill>
                    <w14:schemeClr w14:val="tx1"/>
                  </w14:solidFill>
                </w14:textFill>
              </w:rPr>
              <w:t>mg/L</w:t>
            </w:r>
          </w:p>
          <w:p w14:paraId="164AD093">
            <w:pPr>
              <w:pStyle w:val="4"/>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污泥转化系数：SS按1.2（经验值，考虑药剂添加及絮体含水率）</w:t>
            </w:r>
          </w:p>
          <w:p w14:paraId="00307350">
            <w:pPr>
              <w:pStyle w:val="4"/>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根据公式计算可得，本项目</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干</w:t>
            </w:r>
            <w:r>
              <w:rPr>
                <w:rFonts w:hint="default" w:ascii="Times New Roman" w:hAnsi="Times New Roman" w:cs="Times New Roman"/>
                <w:b w:val="0"/>
                <w:bCs w:val="0"/>
                <w:color w:val="000000" w:themeColor="text1"/>
                <w:sz w:val="24"/>
                <w:szCs w:val="24"/>
                <w:highlight w:val="none"/>
                <w14:textFill>
                  <w14:solidFill>
                    <w14:schemeClr w14:val="tx1"/>
                  </w14:solidFill>
                </w14:textFill>
              </w:rPr>
              <w:t>污泥产生量约为</w:t>
            </w:r>
            <w:r>
              <w:rPr>
                <w:rFonts w:hint="eastAsia" w:ascii="Times New Roman" w:cs="Times New Roman"/>
                <w:b w:val="0"/>
                <w:bCs w:val="0"/>
                <w:color w:val="000000" w:themeColor="text1"/>
                <w:sz w:val="24"/>
                <w:szCs w:val="24"/>
                <w:highlight w:val="none"/>
                <w:lang w:val="en-US" w:eastAsia="zh-CN"/>
                <w14:textFill>
                  <w14:solidFill>
                    <w14:schemeClr w14:val="tx1"/>
                  </w14:solidFill>
                </w14:textFill>
              </w:rPr>
              <w:t>0.794</w:t>
            </w:r>
            <w:r>
              <w:rPr>
                <w:rFonts w:hint="default" w:ascii="Times New Roman" w:hAnsi="Times New Roman" w:cs="Times New Roman"/>
                <w:b w:val="0"/>
                <w:bCs w:val="0"/>
                <w:color w:val="000000" w:themeColor="text1"/>
                <w:sz w:val="24"/>
                <w:szCs w:val="24"/>
                <w:highlight w:val="none"/>
                <w14:textFill>
                  <w14:solidFill>
                    <w14:schemeClr w14:val="tx1"/>
                  </w14:solidFill>
                </w14:textFill>
              </w:rPr>
              <w:t>t</w:t>
            </w:r>
            <w:r>
              <w:rPr>
                <w:rFonts w:hint="default" w:ascii="Times New Roman" w:hAnsi="Times New Roman" w:cs="Times New Roman"/>
                <w:b w:val="0"/>
                <w:bCs w:val="0"/>
                <w:color w:val="000000" w:themeColor="text1"/>
                <w:kern w:val="24"/>
                <w:sz w:val="24"/>
                <w:szCs w:val="24"/>
                <w:highlight w:val="none"/>
                <w14:textFill>
                  <w14:solidFill>
                    <w14:schemeClr w14:val="tx1"/>
                  </w14:solidFill>
                </w14:textFill>
              </w:rPr>
              <w:t>/a，</w:t>
            </w:r>
            <w:r>
              <w:rPr>
                <w:rFonts w:hint="default" w:ascii="Times New Roman" w:hAnsi="Times New Roman" w:cs="Times New Roman"/>
                <w:b w:val="0"/>
                <w:bCs w:val="0"/>
                <w:color w:val="000000" w:themeColor="text1"/>
                <w:sz w:val="24"/>
                <w:szCs w:val="24"/>
                <w:highlight w:val="none"/>
                <w14:textFill>
                  <w14:solidFill>
                    <w14:schemeClr w14:val="tx1"/>
                  </w14:solidFill>
                </w14:textFill>
              </w:rPr>
              <w:t>经板框压滤机处理后的污泥含水率控制在</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60</w:t>
            </w:r>
            <w:r>
              <w:rPr>
                <w:rFonts w:hint="default" w:ascii="Times New Roman" w:hAnsi="Times New Roman" w:cs="Times New Roman"/>
                <w:b w:val="0"/>
                <w:bCs w:val="0"/>
                <w:color w:val="000000" w:themeColor="text1"/>
                <w:sz w:val="24"/>
                <w:szCs w:val="24"/>
                <w:highlight w:val="none"/>
                <w14:textFill>
                  <w14:solidFill>
                    <w14:schemeClr w14:val="tx1"/>
                  </w14:solidFill>
                </w14:textFill>
              </w:rPr>
              <w:t>%，根据固含量守恒换算，脱水后湿污泥产生量为</w:t>
            </w:r>
            <w:r>
              <w:rPr>
                <w:rFonts w:hint="eastAsia" w:ascii="Times New Roman" w:cs="Times New Roman"/>
                <w:b w:val="0"/>
                <w:bCs w:val="0"/>
                <w:color w:val="000000" w:themeColor="text1"/>
                <w:sz w:val="24"/>
                <w:szCs w:val="24"/>
                <w:highlight w:val="none"/>
                <w:lang w:val="en-US" w:eastAsia="zh-CN"/>
                <w14:textFill>
                  <w14:solidFill>
                    <w14:schemeClr w14:val="tx1"/>
                  </w14:solidFill>
                </w14:textFill>
              </w:rPr>
              <w:t>1.985</w:t>
            </w:r>
            <w:r>
              <w:rPr>
                <w:rFonts w:hint="default" w:ascii="Times New Roman" w:hAnsi="Times New Roman" w:cs="Times New Roman"/>
                <w:b w:val="0"/>
                <w:bCs w:val="0"/>
                <w:color w:val="000000" w:themeColor="text1"/>
                <w:sz w:val="24"/>
                <w:szCs w:val="24"/>
                <w:highlight w:val="none"/>
                <w14:textFill>
                  <w14:solidFill>
                    <w14:schemeClr w14:val="tx1"/>
                  </w14:solidFill>
                </w14:textFill>
              </w:rPr>
              <w:t>t/a，属于《国家危险废物名录》（202</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5</w:t>
            </w:r>
            <w:r>
              <w:rPr>
                <w:rFonts w:hint="default" w:ascii="Times New Roman" w:hAnsi="Times New Roman" w:cs="Times New Roman"/>
                <w:b w:val="0"/>
                <w:bCs w:val="0"/>
                <w:color w:val="000000" w:themeColor="text1"/>
                <w:sz w:val="24"/>
                <w:szCs w:val="24"/>
                <w:highlight w:val="none"/>
                <w14:textFill>
                  <w14:solidFill>
                    <w14:schemeClr w14:val="tx1"/>
                  </w14:solidFill>
                </w14:textFill>
              </w:rPr>
              <w:t>年版）中编号为</w:t>
            </w:r>
            <w:r>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t>HW</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17</w:t>
            </w:r>
            <w:r>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t>表面处理废物</w:t>
            </w:r>
            <w:r>
              <w:rPr>
                <w:rFonts w:hint="default" w:ascii="Times New Roman" w:hAnsi="Times New Roman" w:cs="Times New Roman"/>
                <w:b w:val="0"/>
                <w:bCs w:val="0"/>
                <w:color w:val="000000" w:themeColor="text1"/>
                <w:sz w:val="24"/>
                <w:szCs w:val="24"/>
                <w:highlight w:val="none"/>
                <w14:textFill>
                  <w14:solidFill>
                    <w14:schemeClr w14:val="tx1"/>
                  </w14:solidFill>
                </w14:textFill>
              </w:rPr>
              <w:t>，危废代码336-064-17。收集后交由有危废处理资质单位处理。</w:t>
            </w:r>
          </w:p>
          <w:p w14:paraId="042F7F81">
            <w:pPr>
              <w:pStyle w:val="2"/>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000000" w:themeColor="text1"/>
                <w:sz w:val="24"/>
                <w:szCs w:val="24"/>
                <w:highlight w:val="none"/>
                <w:lang w:eastAsia="zh-CN"/>
                <w14:textFill>
                  <w14:solidFill>
                    <w14:schemeClr w14:val="tx1"/>
                  </w14:solidFill>
                </w14:textFill>
              </w:rPr>
            </w:pPr>
            <w:r>
              <w:rPr>
                <w:rFonts w:hint="eastAsia" w:ascii="Times New Roman" w:cs="Times New Roman"/>
                <w:b/>
                <w:bCs/>
                <w:color w:val="000000" w:themeColor="text1"/>
                <w:sz w:val="24"/>
                <w:szCs w:val="24"/>
                <w:highlight w:val="none"/>
                <w:lang w:val="en-US" w:eastAsia="zh-CN"/>
                <w14:textFill>
                  <w14:solidFill>
                    <w14:schemeClr w14:val="tx1"/>
                  </w14:solidFill>
                </w14:textFill>
              </w:rPr>
              <w:t>⑤</w:t>
            </w:r>
            <w:r>
              <w:rPr>
                <w:rFonts w:hint="default" w:ascii="Times New Roman" w:hAnsi="Times New Roman" w:cs="Times New Roman"/>
                <w:b/>
                <w:bCs/>
                <w:color w:val="000000" w:themeColor="text1"/>
                <w:sz w:val="24"/>
                <w:szCs w:val="24"/>
                <w:highlight w:val="none"/>
                <w:lang w:eastAsia="zh-CN"/>
                <w14:textFill>
                  <w14:solidFill>
                    <w14:schemeClr w14:val="tx1"/>
                  </w14:solidFill>
                </w14:textFill>
              </w:rPr>
              <w:t>废</w:t>
            </w:r>
            <w:r>
              <w:rPr>
                <w:rFonts w:hint="default" w:ascii="Times New Roman" w:hAnsi="Times New Roman" w:cs="Times New Roman"/>
                <w:b/>
                <w:bCs/>
                <w:color w:val="000000" w:themeColor="text1"/>
                <w:sz w:val="24"/>
                <w:szCs w:val="24"/>
                <w:highlight w:val="none"/>
                <w14:textFill>
                  <w14:solidFill>
                    <w14:schemeClr w14:val="tx1"/>
                  </w14:solidFill>
                </w14:textFill>
              </w:rPr>
              <w:t>pH调整剂</w:t>
            </w:r>
            <w:r>
              <w:rPr>
                <w:rFonts w:hint="default" w:ascii="Times New Roman" w:hAnsi="Times New Roman" w:cs="Times New Roman"/>
                <w:b/>
                <w:bCs/>
                <w:color w:val="000000" w:themeColor="text1"/>
                <w:sz w:val="24"/>
                <w:szCs w:val="24"/>
                <w:highlight w:val="none"/>
                <w:lang w:eastAsia="zh-CN"/>
                <w14:textFill>
                  <w14:solidFill>
                    <w14:schemeClr w14:val="tx1"/>
                  </w14:solidFill>
                </w14:textFill>
              </w:rPr>
              <w:t>包装桶</w:t>
            </w:r>
          </w:p>
          <w:p w14:paraId="24BCDD7D">
            <w:pPr>
              <w:pStyle w:val="2"/>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t>项目自建污水处理站使用</w:t>
            </w:r>
            <w:r>
              <w:rPr>
                <w:rFonts w:hint="default" w:ascii="Times New Roman" w:hAnsi="Times New Roman" w:cs="Times New Roman"/>
                <w:b w:val="0"/>
                <w:bCs w:val="0"/>
                <w:color w:val="000000" w:themeColor="text1"/>
                <w:sz w:val="24"/>
                <w:szCs w:val="24"/>
                <w:highlight w:val="none"/>
                <w14:textFill>
                  <w14:solidFill>
                    <w14:schemeClr w14:val="tx1"/>
                  </w14:solidFill>
                </w14:textFill>
              </w:rPr>
              <w:t>pH调整剂</w:t>
            </w:r>
            <w:r>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t>调节废水</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pH（70%硫酸），故会产生</w:t>
            </w:r>
            <w:r>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t>废</w:t>
            </w:r>
            <w:r>
              <w:rPr>
                <w:rFonts w:hint="default" w:ascii="Times New Roman" w:hAnsi="Times New Roman" w:cs="Times New Roman"/>
                <w:b w:val="0"/>
                <w:bCs w:val="0"/>
                <w:color w:val="000000" w:themeColor="text1"/>
                <w:sz w:val="24"/>
                <w:szCs w:val="24"/>
                <w:highlight w:val="none"/>
                <w14:textFill>
                  <w14:solidFill>
                    <w14:schemeClr w14:val="tx1"/>
                  </w14:solidFill>
                </w14:textFill>
              </w:rPr>
              <w:t>pH调整剂</w:t>
            </w:r>
            <w:r>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t>包装桶，项目年使用</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0.2吨</w:t>
            </w:r>
            <w:r>
              <w:rPr>
                <w:rFonts w:hint="default" w:ascii="Times New Roman" w:hAnsi="Times New Roman" w:cs="Times New Roman"/>
                <w:b w:val="0"/>
                <w:bCs w:val="0"/>
                <w:color w:val="000000" w:themeColor="text1"/>
                <w:sz w:val="24"/>
                <w:szCs w:val="24"/>
                <w:highlight w:val="none"/>
                <w14:textFill>
                  <w14:solidFill>
                    <w14:schemeClr w14:val="tx1"/>
                  </w14:solidFill>
                </w14:textFill>
              </w:rPr>
              <w:t>pH调整剂</w:t>
            </w:r>
            <w:r>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t>，</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包装规格为25kg/桶，年使用8桶，单个废桶重1kg，故会产生</w:t>
            </w:r>
            <w:r>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t>废</w:t>
            </w:r>
            <w:r>
              <w:rPr>
                <w:rFonts w:hint="default" w:ascii="Times New Roman" w:hAnsi="Times New Roman" w:cs="Times New Roman"/>
                <w:b w:val="0"/>
                <w:bCs w:val="0"/>
                <w:color w:val="000000" w:themeColor="text1"/>
                <w:sz w:val="24"/>
                <w:szCs w:val="24"/>
                <w:highlight w:val="none"/>
                <w14:textFill>
                  <w14:solidFill>
                    <w14:schemeClr w14:val="tx1"/>
                  </w14:solidFill>
                </w14:textFill>
              </w:rPr>
              <w:t>pH调整剂</w:t>
            </w:r>
            <w:r>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t>包装桶</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0.008t/a。</w:t>
            </w:r>
            <w:r>
              <w:rPr>
                <w:rFonts w:hint="default" w:ascii="Times New Roman" w:hAnsi="Times New Roman" w:cs="Times New Roman"/>
                <w:color w:val="000000" w:themeColor="text1"/>
                <w:sz w:val="24"/>
                <w:szCs w:val="24"/>
                <w:highlight w:val="none"/>
                <w14:textFill>
                  <w14:solidFill>
                    <w14:schemeClr w14:val="tx1"/>
                  </w14:solidFill>
                </w14:textFill>
              </w:rPr>
              <w:t>根据</w:t>
            </w:r>
            <w:r>
              <w:rPr>
                <w:rFonts w:hint="default" w:ascii="Times New Roman" w:hAnsi="Times New Roman" w:cs="Times New Roman"/>
                <w:color w:val="000000" w:themeColor="text1"/>
                <w:sz w:val="24"/>
                <w:szCs w:val="24"/>
                <w:highlight w:val="none"/>
                <w:lang w:eastAsia="zh-CN"/>
                <w14:textFill>
                  <w14:solidFill>
                    <w14:schemeClr w14:val="tx1"/>
                  </w14:solidFill>
                </w14:textFill>
              </w:rPr>
              <w:t>《国家危险废物名录》（2025年版）</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t>废</w:t>
            </w:r>
            <w:r>
              <w:rPr>
                <w:rFonts w:hint="default" w:ascii="Times New Roman" w:hAnsi="Times New Roman" w:cs="Times New Roman"/>
                <w:b w:val="0"/>
                <w:bCs w:val="0"/>
                <w:color w:val="000000" w:themeColor="text1"/>
                <w:sz w:val="24"/>
                <w:szCs w:val="24"/>
                <w:highlight w:val="none"/>
                <w14:textFill>
                  <w14:solidFill>
                    <w14:schemeClr w14:val="tx1"/>
                  </w14:solidFill>
                </w14:textFill>
              </w:rPr>
              <w:t>pH调整剂</w:t>
            </w:r>
            <w:r>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t>包装</w:t>
            </w:r>
            <w:r>
              <w:rPr>
                <w:rFonts w:hint="default" w:ascii="Times New Roman" w:hAnsi="Times New Roman" w:cs="Times New Roman"/>
                <w:color w:val="000000" w:themeColor="text1"/>
                <w:sz w:val="24"/>
                <w:szCs w:val="24"/>
                <w:highlight w:val="none"/>
                <w14:textFill>
                  <w14:solidFill>
                    <w14:schemeClr w14:val="tx1"/>
                  </w14:solidFill>
                </w14:textFill>
              </w:rPr>
              <w:t>桶属于</w:t>
            </w:r>
            <w:r>
              <w:rPr>
                <w:rFonts w:hint="default" w:ascii="Times New Roman" w:hAnsi="Times New Roman" w:cs="Times New Roman"/>
                <w:color w:val="000000" w:themeColor="text1"/>
                <w:sz w:val="24"/>
                <w:szCs w:val="24"/>
                <w:highlight w:val="none"/>
                <w:lang w:eastAsia="zh-CN"/>
                <w14:textFill>
                  <w14:solidFill>
                    <w14:schemeClr w14:val="tx1"/>
                  </w14:solidFill>
                </w14:textFill>
              </w:rPr>
              <w:t>《国家危险废物名录》（2025年版）</w:t>
            </w:r>
            <w:r>
              <w:rPr>
                <w:rFonts w:hint="default" w:ascii="Times New Roman" w:hAnsi="Times New Roman" w:cs="Times New Roman"/>
                <w:color w:val="000000" w:themeColor="text1"/>
                <w:sz w:val="24"/>
                <w:szCs w:val="24"/>
                <w:highlight w:val="none"/>
                <w14:textFill>
                  <w14:solidFill>
                    <w14:schemeClr w14:val="tx1"/>
                  </w14:solidFill>
                </w14:textFill>
              </w:rPr>
              <w:t>中编号为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HW49其他废物</w:t>
            </w:r>
            <w:r>
              <w:rPr>
                <w:rFonts w:hint="default" w:ascii="Times New Roman" w:hAnsi="Times New Roman" w:cs="Times New Roman"/>
                <w:color w:val="000000" w:themeColor="text1"/>
                <w:sz w:val="24"/>
                <w:szCs w:val="24"/>
                <w:highlight w:val="none"/>
                <w14:textFill>
                  <w14:solidFill>
                    <w14:schemeClr w14:val="tx1"/>
                  </w14:solidFill>
                </w14:textFill>
              </w:rPr>
              <w:t>，废物代码</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900-041-49</w:t>
            </w:r>
            <w:r>
              <w:rPr>
                <w:rFonts w:hint="default" w:ascii="Times New Roman" w:hAnsi="Times New Roman" w:cs="Times New Roman"/>
                <w:color w:val="000000" w:themeColor="text1"/>
                <w:sz w:val="24"/>
                <w:szCs w:val="24"/>
                <w:highlight w:val="none"/>
                <w14:textFill>
                  <w14:solidFill>
                    <w14:schemeClr w14:val="tx1"/>
                  </w14:solidFill>
                </w14:textFill>
              </w:rPr>
              <w:t>，经统一收集后交由有危险废物处理资质的单位处理</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p>
          <w:p w14:paraId="2CAE2EE7">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⑥</w:t>
            </w:r>
            <w:r>
              <w:rPr>
                <w:rFonts w:hint="default" w:ascii="Times New Roman" w:hAnsi="Times New Roman" w:cs="Times New Roman"/>
                <w:b/>
                <w:bCs/>
                <w:color w:val="000000" w:themeColor="text1"/>
                <w:sz w:val="24"/>
                <w:szCs w:val="24"/>
                <w:highlight w:val="none"/>
                <w14:textFill>
                  <w14:solidFill>
                    <w14:schemeClr w14:val="tx1"/>
                  </w14:solidFill>
                </w14:textFill>
              </w:rPr>
              <w:t>废机油桶</w:t>
            </w:r>
          </w:p>
          <w:p w14:paraId="2BC65C7B">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保养设备设施会用到机油，用量很少，润滑油规格有：200L/桶（</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本项目使用4</w:t>
            </w:r>
            <w:r>
              <w:rPr>
                <w:rFonts w:hint="default" w:ascii="Times New Roman" w:hAnsi="Times New Roman" w:cs="Times New Roman"/>
                <w:color w:val="000000" w:themeColor="text1"/>
                <w:sz w:val="24"/>
                <w:szCs w:val="24"/>
                <w:highlight w:val="none"/>
                <w14:textFill>
                  <w14:solidFill>
                    <w14:schemeClr w14:val="tx1"/>
                  </w14:solidFill>
                </w14:textFill>
              </w:rPr>
              <w:t>桶），润滑油空桶按</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cs="Times New Roman"/>
                <w:color w:val="000000" w:themeColor="text1"/>
                <w:sz w:val="24"/>
                <w:szCs w:val="24"/>
                <w:highlight w:val="none"/>
                <w14:textFill>
                  <w14:solidFill>
                    <w14:schemeClr w14:val="tx1"/>
                  </w14:solidFill>
                </w14:textFill>
              </w:rPr>
              <w:t>kg/桶计算。则本项目产生废机油空桶约0.0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2t</w:t>
            </w:r>
            <w:r>
              <w:rPr>
                <w:rFonts w:hint="default" w:ascii="Times New Roman" w:hAnsi="Times New Roman" w:cs="Times New Roman"/>
                <w:color w:val="000000" w:themeColor="text1"/>
                <w:sz w:val="24"/>
                <w:szCs w:val="24"/>
                <w:highlight w:val="none"/>
                <w14:textFill>
                  <w14:solidFill>
                    <w14:schemeClr w14:val="tx1"/>
                  </w14:solidFill>
                </w14:textFill>
              </w:rPr>
              <w:t>/a。根据</w:t>
            </w:r>
            <w:r>
              <w:rPr>
                <w:rFonts w:hint="default" w:ascii="Times New Roman" w:hAnsi="Times New Roman" w:cs="Times New Roman"/>
                <w:color w:val="000000" w:themeColor="text1"/>
                <w:sz w:val="24"/>
                <w:szCs w:val="24"/>
                <w:highlight w:val="none"/>
                <w:lang w:eastAsia="zh-CN"/>
                <w14:textFill>
                  <w14:solidFill>
                    <w14:schemeClr w14:val="tx1"/>
                  </w14:solidFill>
                </w14:textFill>
              </w:rPr>
              <w:t>《国家危险废物名录》（2025年版）</w:t>
            </w:r>
            <w:r>
              <w:rPr>
                <w:rFonts w:hint="default" w:ascii="Times New Roman" w:hAnsi="Times New Roman" w:cs="Times New Roman"/>
                <w:color w:val="000000" w:themeColor="text1"/>
                <w:sz w:val="24"/>
                <w:szCs w:val="24"/>
                <w:highlight w:val="none"/>
                <w14:textFill>
                  <w14:solidFill>
                    <w14:schemeClr w14:val="tx1"/>
                  </w14:solidFill>
                </w14:textFill>
              </w:rPr>
              <w:t>，废机油空桶属于</w:t>
            </w:r>
            <w:r>
              <w:rPr>
                <w:rFonts w:hint="default" w:ascii="Times New Roman" w:hAnsi="Times New Roman" w:cs="Times New Roman"/>
                <w:color w:val="000000" w:themeColor="text1"/>
                <w:sz w:val="24"/>
                <w:szCs w:val="24"/>
                <w:highlight w:val="none"/>
                <w:lang w:eastAsia="zh-CN"/>
                <w14:textFill>
                  <w14:solidFill>
                    <w14:schemeClr w14:val="tx1"/>
                  </w14:solidFill>
                </w14:textFill>
              </w:rPr>
              <w:t>《国家危险废物名录》（2025年版）</w:t>
            </w:r>
            <w:r>
              <w:rPr>
                <w:rFonts w:hint="default" w:ascii="Times New Roman" w:hAnsi="Times New Roman" w:cs="Times New Roman"/>
                <w:color w:val="000000" w:themeColor="text1"/>
                <w:sz w:val="24"/>
                <w:szCs w:val="24"/>
                <w:highlight w:val="none"/>
                <w14:textFill>
                  <w14:solidFill>
                    <w14:schemeClr w14:val="tx1"/>
                  </w14:solidFill>
                </w14:textFill>
              </w:rPr>
              <w:t>中编号为HW08废矿物油与含矿物油废物，废物代码900-249-08</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其他生产、销售、使用过程中产生的废矿物油及沾染矿物油的废弃包装物”危险废物，经统一收集后交由有危险废物处理资质的单位处理。</w:t>
            </w:r>
          </w:p>
          <w:p w14:paraId="1F85CAE2">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⑦</w:t>
            </w:r>
            <w:r>
              <w:rPr>
                <w:rFonts w:hint="default" w:ascii="Times New Roman" w:hAnsi="Times New Roman" w:cs="Times New Roman"/>
                <w:b/>
                <w:bCs/>
                <w:color w:val="000000" w:themeColor="text1"/>
                <w:sz w:val="24"/>
                <w:szCs w:val="24"/>
                <w:highlight w:val="none"/>
                <w14:textFill>
                  <w14:solidFill>
                    <w14:schemeClr w14:val="tx1"/>
                  </w14:solidFill>
                </w14:textFill>
              </w:rPr>
              <w:t>废机油</w:t>
            </w:r>
          </w:p>
          <w:p w14:paraId="530540EB">
            <w:pPr>
              <w:pStyle w:val="2"/>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本项目在进行设备保养的过程中会产生废机油，废机油</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年产量约为</w:t>
            </w:r>
            <w:r>
              <w:rPr>
                <w:rFonts w:hint="default" w:ascii="Times New Roman" w:hAnsi="Times New Roman" w:cs="Times New Roman"/>
                <w:color w:val="000000" w:themeColor="text1"/>
                <w:kern w:val="0"/>
                <w:sz w:val="24"/>
                <w:szCs w:val="24"/>
                <w:highlight w:val="none"/>
                <w:lang w:val="en-US" w:eastAsia="zh-CN"/>
                <w14:textFill>
                  <w14:solidFill>
                    <w14:schemeClr w14:val="tx1"/>
                  </w14:solidFill>
                </w14:textFill>
              </w:rPr>
              <w:t>0.80t/a</w:t>
            </w:r>
            <w:r>
              <w:rPr>
                <w:rFonts w:hint="default" w:ascii="Times New Roman" w:hAnsi="Times New Roman" w:cs="Times New Roman"/>
                <w:color w:val="000000" w:themeColor="text1"/>
                <w:sz w:val="24"/>
                <w:szCs w:val="24"/>
                <w:highlight w:val="none"/>
                <w14:textFill>
                  <w14:solidFill>
                    <w14:schemeClr w14:val="tx1"/>
                  </w14:solidFill>
                </w14:textFill>
              </w:rPr>
              <w:t>，根据</w:t>
            </w:r>
            <w:r>
              <w:rPr>
                <w:rFonts w:hint="default" w:ascii="Times New Roman" w:hAnsi="Times New Roman" w:cs="Times New Roman"/>
                <w:color w:val="000000" w:themeColor="text1"/>
                <w:sz w:val="24"/>
                <w:szCs w:val="24"/>
                <w:highlight w:val="none"/>
                <w:lang w:eastAsia="zh-CN"/>
                <w14:textFill>
                  <w14:solidFill>
                    <w14:schemeClr w14:val="tx1"/>
                  </w14:solidFill>
                </w14:textFill>
              </w:rPr>
              <w:t>《国家危险废物名录》（2025年版）</w:t>
            </w:r>
            <w:r>
              <w:rPr>
                <w:rFonts w:hint="default" w:ascii="Times New Roman" w:hAnsi="Times New Roman" w:cs="Times New Roman"/>
                <w:color w:val="000000" w:themeColor="text1"/>
                <w:sz w:val="24"/>
                <w:szCs w:val="24"/>
                <w:highlight w:val="none"/>
                <w14:textFill>
                  <w14:solidFill>
                    <w14:schemeClr w14:val="tx1"/>
                  </w14:solidFill>
                </w14:textFill>
              </w:rPr>
              <w:t>，废机油属于“HW08废矿物油与含矿物油废物”类别中代码为900-249-08“其他生产、销售、使用过程中产生的废矿物油及沾染矿物油的废弃包装物”危险废物，经统一收集后交由有危险废物处理资质的单位处理。</w:t>
            </w:r>
          </w:p>
          <w:p w14:paraId="547CE2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⑧</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废含油抹布</w:t>
            </w: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手套</w:t>
            </w:r>
          </w:p>
          <w:p w14:paraId="1C243905">
            <w:pPr>
              <w:pStyle w:val="2"/>
              <w:keepNext w:val="0"/>
              <w:keepLines w:val="0"/>
              <w:suppressLineNumbers w:val="0"/>
              <w:spacing w:before="0" w:beforeAutospacing="0" w:after="0" w:afterAutospacing="0" w:line="360" w:lineRule="auto"/>
              <w:ind w:left="0" w:right="0" w:firstLine="480" w:firstLineChars="200"/>
              <w:rPr>
                <w:rFonts w:hint="default"/>
                <w:color w:val="000000" w:themeColor="text1"/>
                <w:sz w:val="24"/>
                <w:szCs w:val="24"/>
                <w:highlight w:val="none"/>
                <w:lang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项目生产过程中会产生一定量的含矿物油废抹布及手套，根据建设单位提供的资料，其产生量约0.05t/a，根据《国家危险废物名录（2025年版）》，废含油抹布及手套（</w:t>
            </w:r>
            <w:r>
              <w:rPr>
                <w:rFonts w:hint="eastAsia" w:ascii="Times New Roman" w:cs="Times New Roman"/>
                <w:color w:val="000000" w:themeColor="text1"/>
                <w:sz w:val="24"/>
                <w:szCs w:val="24"/>
                <w:highlight w:val="none"/>
                <w:lang w:val="en-US" w:eastAsia="zh-CN"/>
                <w14:textFill>
                  <w14:solidFill>
                    <w14:schemeClr w14:val="tx1"/>
                  </w14:solidFill>
                </w14:textFill>
              </w:rPr>
              <w:t>废物代码</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900-041-49）在满足特定条件时可豁免管理，但本项目为从严管理，仍将其作为危险废物进行全过程管理。</w:t>
            </w:r>
          </w:p>
          <w:p w14:paraId="590CE409">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⑨</w:t>
            </w:r>
            <w:r>
              <w:rPr>
                <w:rFonts w:hint="default" w:ascii="Times New Roman" w:hAnsi="Times New Roman" w:cs="Times New Roman"/>
                <w:b/>
                <w:bCs/>
                <w:color w:val="000000" w:themeColor="text1"/>
                <w:sz w:val="24"/>
                <w:szCs w:val="24"/>
                <w:highlight w:val="none"/>
                <w14:textFill>
                  <w14:solidFill>
                    <w14:schemeClr w14:val="tx1"/>
                  </w14:solidFill>
                </w14:textFill>
              </w:rPr>
              <w:t>废液压油桶</w:t>
            </w:r>
          </w:p>
          <w:p w14:paraId="1F3E4B11">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本项目自动化冲床设备需用到液压油，用量很少，液压油规格有：200L/桶（</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本项目使用3</w:t>
            </w:r>
            <w:r>
              <w:rPr>
                <w:rFonts w:hint="default" w:ascii="Times New Roman" w:hAnsi="Times New Roman" w:cs="Times New Roman"/>
                <w:color w:val="000000" w:themeColor="text1"/>
                <w:sz w:val="24"/>
                <w:szCs w:val="24"/>
                <w:highlight w:val="none"/>
                <w14:textFill>
                  <w14:solidFill>
                    <w14:schemeClr w14:val="tx1"/>
                  </w14:solidFill>
                </w14:textFill>
              </w:rPr>
              <w:t>桶），液压油空桶按</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cs="Times New Roman"/>
                <w:color w:val="000000" w:themeColor="text1"/>
                <w:sz w:val="24"/>
                <w:szCs w:val="24"/>
                <w:highlight w:val="none"/>
                <w14:textFill>
                  <w14:solidFill>
                    <w14:schemeClr w14:val="tx1"/>
                  </w14:solidFill>
                </w14:textFill>
              </w:rPr>
              <w:t>kg/桶计算。则本项目产生废液压油空桶约0.0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15</w:t>
            </w:r>
            <w:r>
              <w:rPr>
                <w:rFonts w:hint="default" w:ascii="Times New Roman" w:hAnsi="Times New Roman" w:cs="Times New Roman"/>
                <w:color w:val="000000" w:themeColor="text1"/>
                <w:sz w:val="24"/>
                <w:szCs w:val="24"/>
                <w:highlight w:val="none"/>
                <w14:textFill>
                  <w14:solidFill>
                    <w14:schemeClr w14:val="tx1"/>
                  </w14:solidFill>
                </w14:textFill>
              </w:rPr>
              <w:t>t/a。根据</w:t>
            </w:r>
            <w:r>
              <w:rPr>
                <w:rFonts w:hint="default" w:ascii="Times New Roman" w:hAnsi="Times New Roman" w:cs="Times New Roman"/>
                <w:color w:val="000000" w:themeColor="text1"/>
                <w:sz w:val="24"/>
                <w:szCs w:val="24"/>
                <w:highlight w:val="none"/>
                <w:lang w:eastAsia="zh-CN"/>
                <w14:textFill>
                  <w14:solidFill>
                    <w14:schemeClr w14:val="tx1"/>
                  </w14:solidFill>
                </w14:textFill>
              </w:rPr>
              <w:t>《国家危险废物名录》（2025年版）</w:t>
            </w:r>
            <w:r>
              <w:rPr>
                <w:rFonts w:hint="default" w:ascii="Times New Roman" w:hAnsi="Times New Roman" w:cs="Times New Roman"/>
                <w:color w:val="000000" w:themeColor="text1"/>
                <w:sz w:val="24"/>
                <w:szCs w:val="24"/>
                <w:highlight w:val="none"/>
                <w14:textFill>
                  <w14:solidFill>
                    <w14:schemeClr w14:val="tx1"/>
                  </w14:solidFill>
                </w14:textFill>
              </w:rPr>
              <w:t>，废液压油空桶属于</w:t>
            </w:r>
            <w:r>
              <w:rPr>
                <w:rFonts w:hint="default" w:ascii="Times New Roman" w:hAnsi="Times New Roman" w:cs="Times New Roman"/>
                <w:color w:val="000000" w:themeColor="text1"/>
                <w:sz w:val="24"/>
                <w:szCs w:val="24"/>
                <w:highlight w:val="none"/>
                <w:lang w:eastAsia="zh-CN"/>
                <w14:textFill>
                  <w14:solidFill>
                    <w14:schemeClr w14:val="tx1"/>
                  </w14:solidFill>
                </w14:textFill>
              </w:rPr>
              <w:t>《国家危险废物名录》（2025年版）</w:t>
            </w:r>
            <w:r>
              <w:rPr>
                <w:rFonts w:hint="default" w:ascii="Times New Roman" w:hAnsi="Times New Roman" w:cs="Times New Roman"/>
                <w:color w:val="000000" w:themeColor="text1"/>
                <w:sz w:val="24"/>
                <w:szCs w:val="24"/>
                <w:highlight w:val="none"/>
                <w14:textFill>
                  <w14:solidFill>
                    <w14:schemeClr w14:val="tx1"/>
                  </w14:solidFill>
                </w14:textFill>
              </w:rPr>
              <w:t>中编号为为900-249-08“其他生产、销售、使用过程中产生的废矿物油及沾染矿物油的废弃包装物”危险废物，经统一收集后交由有危险废物处理资质的单位处理。</w:t>
            </w:r>
          </w:p>
          <w:p w14:paraId="472666A0">
            <w:pPr>
              <w:pStyle w:val="2"/>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⑩</w:t>
            </w:r>
            <w:r>
              <w:rPr>
                <w:rFonts w:hint="default" w:ascii="Times New Roman" w:hAnsi="Times New Roman" w:cs="Times New Roman"/>
                <w:b/>
                <w:bCs/>
                <w:color w:val="000000" w:themeColor="text1"/>
                <w:sz w:val="24"/>
                <w:szCs w:val="24"/>
                <w:highlight w:val="none"/>
                <w14:textFill>
                  <w14:solidFill>
                    <w14:schemeClr w14:val="tx1"/>
                  </w14:solidFill>
                </w14:textFill>
              </w:rPr>
              <w:t>废液压油</w:t>
            </w:r>
          </w:p>
          <w:p w14:paraId="7F79A01A">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本项目自动化冲床设备需用到液压油，则会产生少量废液压油，废液压油</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年产生量</w:t>
            </w:r>
            <w:r>
              <w:rPr>
                <w:rFonts w:hint="default" w:ascii="Times New Roman" w:hAnsi="Times New Roman" w:cs="Times New Roman"/>
                <w:color w:val="000000" w:themeColor="text1"/>
                <w:kern w:val="0"/>
                <w:sz w:val="24"/>
                <w:szCs w:val="24"/>
                <w:highlight w:val="none"/>
                <w:lang w:val="en-US" w:eastAsia="zh-CN"/>
                <w14:textFill>
                  <w14:solidFill>
                    <w14:schemeClr w14:val="tx1"/>
                  </w14:solidFill>
                </w14:textFill>
              </w:rPr>
              <w:t>约为0.60t/a</w:t>
            </w:r>
            <w:r>
              <w:rPr>
                <w:rFonts w:hint="default" w:ascii="Times New Roman" w:hAnsi="Times New Roman" w:cs="Times New Roman"/>
                <w:color w:val="000000" w:themeColor="text1"/>
                <w:sz w:val="24"/>
                <w:szCs w:val="24"/>
                <w:highlight w:val="none"/>
                <w14:textFill>
                  <w14:solidFill>
                    <w14:schemeClr w14:val="tx1"/>
                  </w14:solidFill>
                </w14:textFill>
              </w:rPr>
              <w:t>，根据</w:t>
            </w:r>
            <w:r>
              <w:rPr>
                <w:rFonts w:hint="default" w:ascii="Times New Roman" w:hAnsi="Times New Roman" w:cs="Times New Roman"/>
                <w:color w:val="000000" w:themeColor="text1"/>
                <w:sz w:val="24"/>
                <w:szCs w:val="24"/>
                <w:highlight w:val="none"/>
                <w:lang w:eastAsia="zh-CN"/>
                <w14:textFill>
                  <w14:solidFill>
                    <w14:schemeClr w14:val="tx1"/>
                  </w14:solidFill>
                </w14:textFill>
              </w:rPr>
              <w:t>《国家危险废物名录》（2025年版）</w:t>
            </w:r>
            <w:r>
              <w:rPr>
                <w:rFonts w:hint="default" w:ascii="Times New Roman" w:hAnsi="Times New Roman" w:cs="Times New Roman"/>
                <w:color w:val="000000" w:themeColor="text1"/>
                <w:sz w:val="24"/>
                <w:szCs w:val="24"/>
                <w:highlight w:val="none"/>
                <w14:textFill>
                  <w14:solidFill>
                    <w14:schemeClr w14:val="tx1"/>
                  </w14:solidFill>
                </w14:textFill>
              </w:rPr>
              <w:t>，废液压油属于“HW08废矿物油与含矿物油废物”类别中代码HW08废矿物油与含矿物油废物，废物代码900-2</w:t>
            </w:r>
            <w:r>
              <w:rPr>
                <w:rFonts w:hint="eastAsia" w:cs="Times New Roman"/>
                <w:color w:val="000000" w:themeColor="text1"/>
                <w:sz w:val="24"/>
                <w:szCs w:val="24"/>
                <w:highlight w:val="none"/>
                <w:lang w:val="en-US" w:eastAsia="zh-CN"/>
                <w14:textFill>
                  <w14:solidFill>
                    <w14:schemeClr w14:val="tx1"/>
                  </w14:solidFill>
                </w14:textFill>
              </w:rPr>
              <w:t>18</w:t>
            </w:r>
            <w:r>
              <w:rPr>
                <w:rFonts w:hint="default" w:ascii="Times New Roman" w:hAnsi="Times New Roman" w:cs="Times New Roman"/>
                <w:color w:val="000000" w:themeColor="text1"/>
                <w:sz w:val="24"/>
                <w:szCs w:val="24"/>
                <w:highlight w:val="none"/>
                <w14:textFill>
                  <w14:solidFill>
                    <w14:schemeClr w14:val="tx1"/>
                  </w14:solidFill>
                </w14:textFill>
              </w:rPr>
              <w:t>-08</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“液压设备维护、更换和拆解过程中产生的废液压油</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危险废物，经统一收集后交由有危险废物处理资质的单位处理。</w:t>
            </w:r>
          </w:p>
          <w:p w14:paraId="23CF0FD8">
            <w:pPr>
              <w:pStyle w:val="158"/>
              <w:pageBreakBefore w:val="0"/>
              <w:wordWrap w:val="0"/>
              <w:topLinePunct/>
              <w:bidi w:val="0"/>
              <w:snapToGrid/>
              <w:spacing w:beforeAutospacing="0" w:afterAutospacing="0"/>
              <w:ind w:firstLine="482"/>
              <w:rPr>
                <w:b/>
                <w:bCs/>
                <w:color w:val="000000" w:themeColor="text1"/>
                <w14:textFill>
                  <w14:solidFill>
                    <w14:schemeClr w14:val="tx1"/>
                  </w14:solidFill>
                </w14:textFill>
              </w:rPr>
            </w:pPr>
            <w:r>
              <w:rPr>
                <w:rFonts w:hint="eastAsia" w:ascii="Times New Roman" w:cs="Times New Roman"/>
                <w:b/>
                <w:bCs/>
                <w:color w:val="000000" w:themeColor="text1"/>
                <w:sz w:val="24"/>
                <w:szCs w:val="24"/>
                <w:highlight w:val="none"/>
                <w:lang w:val="en-US" w:eastAsia="zh-CN"/>
                <w14:textFill>
                  <w14:solidFill>
                    <w14:schemeClr w14:val="tx1"/>
                  </w14:solidFill>
                </w14:textFill>
              </w:rPr>
              <w:fldChar w:fldCharType="begin"/>
            </w:r>
            <w:r>
              <w:rPr>
                <w:rFonts w:hint="eastAsia" w:ascii="Times New Roman" w:cs="Times New Roman"/>
                <w:b/>
                <w:bCs/>
                <w:color w:val="000000" w:themeColor="text1"/>
                <w:sz w:val="24"/>
                <w:szCs w:val="24"/>
                <w:highlight w:val="none"/>
                <w:lang w:val="en-US" w:eastAsia="zh-CN"/>
                <w14:textFill>
                  <w14:solidFill>
                    <w14:schemeClr w14:val="tx1"/>
                  </w14:solidFill>
                </w14:textFill>
              </w:rPr>
              <w:instrText xml:space="preserve"> EQ \o\ac(</w:instrText>
            </w:r>
            <w:r>
              <w:rPr>
                <w:rFonts w:hint="eastAsia" w:ascii="Times New Roman" w:cs="Times New Roman"/>
                <w:b/>
                <w:bCs/>
                <w:color w:val="000000" w:themeColor="text1"/>
                <w:spacing w:val="0"/>
                <w:kern w:val="2"/>
                <w:sz w:val="24"/>
                <w:szCs w:val="24"/>
                <w:highlight w:val="none"/>
                <w:lang w:val="en-US" w:eastAsia="zh-CN" w:bidi="ar-SA"/>
                <w14:textFill>
                  <w14:solidFill>
                    <w14:schemeClr w14:val="tx1"/>
                  </w14:solidFill>
                </w14:textFill>
              </w:rPr>
              <w:instrText xml:space="preserve">○</w:instrText>
            </w:r>
            <w:r>
              <w:rPr>
                <w:rFonts w:hint="eastAsia" w:ascii="Times New Roman" w:cs="Times New Roman"/>
                <w:b/>
                <w:bCs/>
                <w:color w:val="000000" w:themeColor="text1"/>
                <w:sz w:val="24"/>
                <w:szCs w:val="24"/>
                <w:highlight w:val="none"/>
                <w:lang w:val="en-US" w:eastAsia="zh-CN"/>
                <w14:textFill>
                  <w14:solidFill>
                    <w14:schemeClr w14:val="tx1"/>
                  </w14:solidFill>
                </w14:textFill>
              </w:rPr>
              <w:instrText xml:space="preserve">,</w:instrText>
            </w:r>
            <w:r>
              <w:rPr>
                <w:rFonts w:hint="eastAsia" w:ascii="Times New Roman" w:cs="Times New Roman"/>
                <w:b/>
                <w:bCs/>
                <w:color w:val="000000" w:themeColor="text1"/>
                <w:spacing w:val="0"/>
                <w:kern w:val="2"/>
                <w:position w:val="3"/>
                <w:sz w:val="16"/>
                <w:szCs w:val="24"/>
                <w:highlight w:val="none"/>
                <w:lang w:val="en-US" w:eastAsia="zh-CN" w:bidi="ar-SA"/>
                <w14:textFill>
                  <w14:solidFill>
                    <w14:schemeClr w14:val="tx1"/>
                  </w14:solidFill>
                </w14:textFill>
              </w:rPr>
              <w:instrText xml:space="preserve">11</w:instrText>
            </w:r>
            <w:r>
              <w:rPr>
                <w:rFonts w:hint="eastAsia" w:ascii="Times New Roman" w:cs="Times New Roman"/>
                <w:b/>
                <w:bCs/>
                <w:color w:val="000000" w:themeColor="text1"/>
                <w:sz w:val="24"/>
                <w:szCs w:val="24"/>
                <w:highlight w:val="none"/>
                <w:lang w:val="en-US" w:eastAsia="zh-CN"/>
                <w14:textFill>
                  <w14:solidFill>
                    <w14:schemeClr w14:val="tx1"/>
                  </w14:solidFill>
                </w14:textFill>
              </w:rPr>
              <w:instrText xml:space="preserve">)</w:instrText>
            </w:r>
            <w:r>
              <w:rPr>
                <w:rFonts w:hint="eastAsia" w:ascii="Times New Roman" w:cs="Times New Roman"/>
                <w:b/>
                <w:bCs/>
                <w:color w:val="000000" w:themeColor="text1"/>
                <w:sz w:val="24"/>
                <w:szCs w:val="24"/>
                <w:highlight w:val="none"/>
                <w:lang w:val="en-US" w:eastAsia="zh-CN"/>
                <w14:textFill>
                  <w14:solidFill>
                    <w14:schemeClr w14:val="tx1"/>
                  </w14:solidFill>
                </w14:textFill>
              </w:rPr>
              <w:fldChar w:fldCharType="end"/>
            </w:r>
            <w:r>
              <w:rPr>
                <w:b/>
                <w:bCs/>
                <w:color w:val="000000" w:themeColor="text1"/>
                <w14:textFill>
                  <w14:solidFill>
                    <w14:schemeClr w14:val="tx1"/>
                  </w14:solidFill>
                </w14:textFill>
              </w:rPr>
              <w:t>废原料桶</w:t>
            </w:r>
          </w:p>
          <w:p w14:paraId="7A6F9362">
            <w:pPr>
              <w:pStyle w:val="158"/>
              <w:pageBreakBefore w:val="0"/>
              <w:wordWrap w:val="0"/>
              <w:topLinePunct/>
              <w:bidi w:val="0"/>
              <w:snapToGrid/>
              <w:spacing w:beforeAutospacing="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本项目生产</w:t>
            </w:r>
            <w:r>
              <w:rPr>
                <w:rFonts w:hint="eastAsia"/>
                <w:color w:val="000000" w:themeColor="text1"/>
                <w14:textFill>
                  <w14:solidFill>
                    <w14:schemeClr w14:val="tx1"/>
                  </w14:solidFill>
                </w14:textFill>
              </w:rPr>
              <w:t>过程</w:t>
            </w:r>
            <w:r>
              <w:rPr>
                <w:color w:val="000000" w:themeColor="text1"/>
                <w14:textFill>
                  <w14:solidFill>
                    <w14:schemeClr w14:val="tx1"/>
                  </w14:solidFill>
                </w14:textFill>
              </w:rPr>
              <w:t>使用的原辅材料会产生废原料桶，根据前文主要原辅材料包装规格，合计废原料桶年产量约为</w:t>
            </w:r>
            <w:r>
              <w:rPr>
                <w:rFonts w:hint="eastAsia"/>
                <w:color w:val="000000" w:themeColor="text1"/>
                <w:lang w:val="en-US" w:eastAsia="zh-CN"/>
                <w14:textFill>
                  <w14:solidFill>
                    <w14:schemeClr w14:val="tx1"/>
                  </w14:solidFill>
                </w14:textFill>
              </w:rPr>
              <w:t>0.062</w:t>
            </w:r>
            <w:r>
              <w:rPr>
                <w:color w:val="000000" w:themeColor="text1"/>
                <w14:textFill>
                  <w14:solidFill>
                    <w14:schemeClr w14:val="tx1"/>
                  </w14:solidFill>
                </w14:textFill>
              </w:rPr>
              <w:t>t/a</w:t>
            </w:r>
            <w:r>
              <w:rPr>
                <w:rFonts w:hint="eastAsia"/>
                <w:color w:val="000000" w:themeColor="text1"/>
                <w:lang w:eastAsia="zh-CN"/>
                <w14:textFill>
                  <w14:solidFill>
                    <w14:schemeClr w14:val="tx1"/>
                  </w14:solidFill>
                </w14:textFill>
              </w:rPr>
              <w:t>（</w:t>
            </w:r>
            <w:r>
              <w:rPr>
                <w:rFonts w:hint="eastAsia" w:cs="Times New Roman"/>
                <w:color w:val="000000" w:themeColor="text1"/>
                <w:kern w:val="0"/>
                <w:sz w:val="24"/>
                <w:szCs w:val="24"/>
                <w:highlight w:val="none"/>
                <w:lang w:val="en-US" w:eastAsia="zh-CN" w:bidi="ar-SA"/>
                <w14:textFill>
                  <w14:solidFill>
                    <w14:schemeClr w14:val="tx1"/>
                  </w14:solidFill>
                </w14:textFill>
              </w:rPr>
              <w:t>123</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个，废空桶平均重0.5kg/个）</w:t>
            </w:r>
            <w:r>
              <w:rPr>
                <w:color w:val="000000" w:themeColor="text1"/>
                <w:kern w:val="0"/>
                <w14:textFill>
                  <w14:solidFill>
                    <w14:schemeClr w14:val="tx1"/>
                  </w14:solidFill>
                </w14:textFill>
              </w:rPr>
              <w:t>属于《国家危险废物名录》（202</w:t>
            </w:r>
            <w:r>
              <w:rPr>
                <w:rFonts w:hint="eastAsia"/>
                <w:color w:val="000000" w:themeColor="text1"/>
                <w:kern w:val="0"/>
                <w:lang w:val="en-US" w:eastAsia="zh-CN"/>
                <w14:textFill>
                  <w14:solidFill>
                    <w14:schemeClr w14:val="tx1"/>
                  </w14:solidFill>
                </w14:textFill>
              </w:rPr>
              <w:t>5</w:t>
            </w:r>
            <w:r>
              <w:rPr>
                <w:color w:val="000000" w:themeColor="text1"/>
                <w:kern w:val="0"/>
                <w14:textFill>
                  <w14:solidFill>
                    <w14:schemeClr w14:val="tx1"/>
                  </w14:solidFill>
                </w14:textFill>
              </w:rPr>
              <w:t>年版）中“HW49 其他废物”，废物代码 900-041-49。收集后交由有相应危险废物处理资质的单位处理。</w:t>
            </w:r>
          </w:p>
          <w:p w14:paraId="332FCB7B">
            <w:pPr>
              <w:keepNext/>
              <w:keepLines/>
              <w:pageBreakBefore w:val="0"/>
              <w:widowControl w:val="0"/>
              <w:numPr>
                <w:ilvl w:val="5"/>
                <w:numId w:val="0"/>
              </w:numPr>
              <w:wordWrap w:val="0"/>
              <w:overflowPunct/>
              <w:bidi w:val="0"/>
              <w:spacing w:line="360" w:lineRule="auto"/>
              <w:ind w:firstLine="422" w:firstLineChars="200"/>
              <w:jc w:val="both"/>
              <w:outlineLvl w:val="5"/>
              <w:rPr>
                <w:rFonts w:hint="eastAsia" w:cs="Times New Roman"/>
                <w:b/>
                <w:bCs/>
                <w:color w:val="000000" w:themeColor="text1"/>
                <w:kern w:val="2"/>
                <w:sz w:val="24"/>
                <w:szCs w:val="24"/>
                <w:highlight w:val="none"/>
                <w:lang w:val="en-US" w:eastAsia="zh-CN" w:bidi="ar-SA"/>
                <w14:textFill>
                  <w14:solidFill>
                    <w14:schemeClr w14:val="tx1"/>
                  </w14:solidFill>
                </w14:textFill>
              </w:rPr>
            </w:pPr>
            <w:bookmarkStart w:id="33" w:name="_Toc29014"/>
            <w:r>
              <w:rPr>
                <w:rFonts w:hint="eastAsia"/>
                <w:b/>
                <w:bCs/>
                <w:color w:val="000000" w:themeColor="text1"/>
                <w:lang w:val="en-US" w:eastAsia="zh-CN"/>
                <w14:textFill>
                  <w14:solidFill>
                    <w14:schemeClr w14:val="tx1"/>
                  </w14:solidFill>
                </w14:textFill>
              </w:rPr>
              <w:fldChar w:fldCharType="begin"/>
            </w:r>
            <w:r>
              <w:rPr>
                <w:rFonts w:hint="eastAsia"/>
                <w:b/>
                <w:bCs/>
                <w:color w:val="000000" w:themeColor="text1"/>
                <w:lang w:val="en-US" w:eastAsia="zh-CN"/>
                <w14:textFill>
                  <w14:solidFill>
                    <w14:schemeClr w14:val="tx1"/>
                  </w14:solidFill>
                </w14:textFill>
              </w:rPr>
              <w:instrText xml:space="preserve"> EQ \o\ac(</w:instrText>
            </w:r>
            <w:r>
              <w:rPr>
                <w:rFonts w:hint="eastAsia"/>
                <w:b/>
                <w:bCs/>
                <w:color w:val="000000" w:themeColor="text1"/>
                <w:spacing w:val="0"/>
                <w:kern w:val="2"/>
                <w:sz w:val="24"/>
                <w:szCs w:val="24"/>
                <w:lang w:val="en-US" w:eastAsia="zh-CN" w:bidi="ar-SA"/>
                <w14:textFill>
                  <w14:solidFill>
                    <w14:schemeClr w14:val="tx1"/>
                  </w14:solidFill>
                </w14:textFill>
              </w:rPr>
              <w:instrText xml:space="preserve">○</w:instrText>
            </w:r>
            <w:r>
              <w:rPr>
                <w:rFonts w:hint="eastAsia"/>
                <w:b/>
                <w:bCs/>
                <w:color w:val="000000" w:themeColor="text1"/>
                <w:lang w:val="en-US" w:eastAsia="zh-CN"/>
                <w14:textFill>
                  <w14:solidFill>
                    <w14:schemeClr w14:val="tx1"/>
                  </w14:solidFill>
                </w14:textFill>
              </w:rPr>
              <w:instrText xml:space="preserve">,</w:instrText>
            </w:r>
            <w:r>
              <w:rPr>
                <w:rFonts w:hint="eastAsia"/>
                <w:b/>
                <w:bCs/>
                <w:color w:val="000000" w:themeColor="text1"/>
                <w:spacing w:val="0"/>
                <w:kern w:val="2"/>
                <w:position w:val="3"/>
                <w:sz w:val="16"/>
                <w:szCs w:val="24"/>
                <w:lang w:val="en-US" w:eastAsia="zh-CN" w:bidi="ar-SA"/>
                <w14:textFill>
                  <w14:solidFill>
                    <w14:schemeClr w14:val="tx1"/>
                  </w14:solidFill>
                </w14:textFill>
              </w:rPr>
              <w:instrText xml:space="preserve">12</w:instrText>
            </w:r>
            <w:r>
              <w:rPr>
                <w:rFonts w:hint="eastAsia"/>
                <w:b/>
                <w:bCs/>
                <w:color w:val="000000" w:themeColor="text1"/>
                <w:lang w:val="en-US" w:eastAsia="zh-CN"/>
                <w14:textFill>
                  <w14:solidFill>
                    <w14:schemeClr w14:val="tx1"/>
                  </w14:solidFill>
                </w14:textFill>
              </w:rPr>
              <w:instrText xml:space="preserve">)</w:instrText>
            </w:r>
            <w:r>
              <w:rPr>
                <w:rFonts w:hint="eastAsia"/>
                <w:b/>
                <w:bCs/>
                <w:color w:val="000000" w:themeColor="text1"/>
                <w:lang w:val="en-US" w:eastAsia="zh-CN"/>
                <w14:textFill>
                  <w14:solidFill>
                    <w14:schemeClr w14:val="tx1"/>
                  </w14:solidFill>
                </w14:textFill>
              </w:rPr>
              <w:fldChar w:fldCharType="end"/>
            </w:r>
            <w:r>
              <w:rPr>
                <w:rFonts w:hint="eastAsia" w:cs="Times New Roman"/>
                <w:b/>
                <w:bCs/>
                <w:color w:val="000000" w:themeColor="text1"/>
                <w:kern w:val="2"/>
                <w:sz w:val="24"/>
                <w:szCs w:val="24"/>
                <w:highlight w:val="none"/>
                <w:lang w:val="en-US" w:eastAsia="zh-CN" w:bidi="ar-SA"/>
                <w14:textFill>
                  <w14:solidFill>
                    <w14:schemeClr w14:val="tx1"/>
                  </w14:solidFill>
                </w14:textFill>
              </w:rPr>
              <w:t>喷淋废液及沉渣</w:t>
            </w:r>
          </w:p>
          <w:p w14:paraId="3FC0E322">
            <w:pPr>
              <w:pStyle w:val="158"/>
              <w:pageBreakBefore w:val="0"/>
              <w:wordWrap w:val="0"/>
              <w:topLinePunct/>
              <w:bidi w:val="0"/>
              <w:snapToGrid/>
              <w:spacing w:beforeAutospacing="0" w:afterAutospacing="0"/>
              <w:ind w:firstLine="480"/>
              <w:rPr>
                <w:rFonts w:hint="default" w:eastAsia="宋体"/>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kern w:val="2"/>
                <w:sz w:val="24"/>
                <w:szCs w:val="21"/>
                <w:highlight w:val="none"/>
                <w:lang w:val="en-US" w:eastAsia="zh-CN" w:bidi="ar-SA"/>
                <w14:textFill>
                  <w14:solidFill>
                    <w14:schemeClr w14:val="tx1"/>
                  </w14:solidFill>
                </w14:textFill>
              </w:rPr>
              <w:t>本项目</w:t>
            </w:r>
            <w:r>
              <w:rPr>
                <w:rFonts w:hint="eastAsia" w:ascii="Times New Roman" w:hAnsi="Times New Roman" w:eastAsia="宋体" w:cs="Times New Roman"/>
                <w:color w:val="000000" w:themeColor="text1"/>
                <w:kern w:val="2"/>
                <w:sz w:val="24"/>
                <w:szCs w:val="21"/>
                <w:highlight w:val="none"/>
                <w:lang w:val="en-US" w:eastAsia="zh-CN" w:bidi="ar-SA"/>
                <w14:textFill>
                  <w14:solidFill>
                    <w14:schemeClr w14:val="tx1"/>
                  </w14:solidFill>
                </w14:textFill>
              </w:rPr>
              <w:t>喷涂过程产生的沉渣按漆雾削减量</w:t>
            </w:r>
            <w:r>
              <w:rPr>
                <w:rFonts w:hint="eastAsia" w:cs="Times New Roman"/>
                <w:color w:val="000000" w:themeColor="text1"/>
                <w:kern w:val="2"/>
                <w:sz w:val="24"/>
                <w:szCs w:val="21"/>
                <w:highlight w:val="none"/>
                <w:lang w:val="en-US" w:eastAsia="zh-CN" w:bidi="ar-SA"/>
                <w14:textFill>
                  <w14:solidFill>
                    <w14:schemeClr w14:val="tx1"/>
                  </w14:solidFill>
                </w14:textFill>
              </w:rPr>
              <w:t>50%</w:t>
            </w:r>
            <w:r>
              <w:rPr>
                <w:rFonts w:hint="eastAsia" w:ascii="Times New Roman" w:hAnsi="Times New Roman" w:eastAsia="宋体" w:cs="Times New Roman"/>
                <w:color w:val="000000" w:themeColor="text1"/>
                <w:kern w:val="2"/>
                <w:sz w:val="24"/>
                <w:szCs w:val="21"/>
                <w:highlight w:val="none"/>
                <w:lang w:val="en-US" w:eastAsia="zh-CN" w:bidi="ar-SA"/>
                <w14:textFill>
                  <w14:solidFill>
                    <w14:schemeClr w14:val="tx1"/>
                  </w14:solidFill>
                </w14:textFill>
              </w:rPr>
              <w:t>核算</w:t>
            </w:r>
            <w:r>
              <w:rPr>
                <w:rFonts w:hint="eastAsia" w:cs="Times New Roman"/>
                <w:color w:val="000000" w:themeColor="text1"/>
                <w:kern w:val="2"/>
                <w:sz w:val="24"/>
                <w:szCs w:val="21"/>
                <w:highlight w:val="none"/>
                <w:lang w:val="en-US" w:eastAsia="zh-CN" w:bidi="ar-SA"/>
                <w14:textFill>
                  <w14:solidFill>
                    <w14:schemeClr w14:val="tx1"/>
                  </w14:solidFill>
                </w14:textFill>
              </w:rPr>
              <w:t>，即1.091t/a</w:t>
            </w:r>
            <w:r>
              <w:rPr>
                <w:rFonts w:hint="eastAsia" w:ascii="Times New Roman" w:hAnsi="Times New Roman" w:eastAsia="宋体" w:cs="Times New Roman"/>
                <w:color w:val="000000" w:themeColor="text1"/>
                <w:kern w:val="2"/>
                <w:sz w:val="24"/>
                <w:szCs w:val="21"/>
                <w:highlight w:val="none"/>
                <w:lang w:val="en-US" w:eastAsia="zh-CN" w:bidi="ar-SA"/>
                <w14:textFill>
                  <w14:solidFill>
                    <w14:schemeClr w14:val="tx1"/>
                  </w14:solidFill>
                </w14:textFill>
              </w:rPr>
              <w:t>。</w:t>
            </w:r>
            <w:r>
              <w:rPr>
                <w:rFonts w:hint="eastAsia" w:cs="Times New Roman"/>
                <w:color w:val="000000" w:themeColor="text1"/>
                <w:kern w:val="2"/>
                <w:sz w:val="24"/>
                <w:szCs w:val="21"/>
                <w:highlight w:val="none"/>
                <w:lang w:val="en-US" w:eastAsia="zh-CN" w:bidi="ar-SA"/>
                <w14:textFill>
                  <w14:solidFill>
                    <w14:schemeClr w14:val="tx1"/>
                  </w14:solidFill>
                </w14:textFill>
              </w:rPr>
              <w:t>根据前文计算，水帘柜喷淋废水和喷淋塔废水产生量为194.4+33.6=228t/a。合计喷淋废液及沉渣产生量为229.091t/a。</w:t>
            </w:r>
            <w:r>
              <w:rPr>
                <w:rFonts w:hint="default" w:ascii="Times New Roman" w:hAnsi="Times New Roman" w:eastAsia="宋体" w:cs="Times New Roman"/>
                <w:color w:val="000000" w:themeColor="text1"/>
                <w:kern w:val="2"/>
                <w:sz w:val="24"/>
                <w:szCs w:val="21"/>
                <w:highlight w:val="none"/>
                <w:lang w:val="en-US" w:eastAsia="zh-CN" w:bidi="ar-SA"/>
                <w14:textFill>
                  <w14:solidFill>
                    <w14:schemeClr w14:val="tx1"/>
                  </w14:solidFill>
                </w14:textFill>
              </w:rPr>
              <w:t>根据《国家危险废物名录》（202</w:t>
            </w:r>
            <w:r>
              <w:rPr>
                <w:rFonts w:hint="eastAsia" w:cs="Times New Roman"/>
                <w:color w:val="000000" w:themeColor="text1"/>
                <w:kern w:val="2"/>
                <w:sz w:val="24"/>
                <w:szCs w:val="21"/>
                <w:highlight w:val="none"/>
                <w:lang w:val="en-US" w:eastAsia="zh-CN" w:bidi="ar-SA"/>
                <w14:textFill>
                  <w14:solidFill>
                    <w14:schemeClr w14:val="tx1"/>
                  </w14:solidFill>
                </w14:textFill>
              </w:rPr>
              <w:t>5</w:t>
            </w:r>
            <w:r>
              <w:rPr>
                <w:rFonts w:hint="default" w:ascii="Times New Roman" w:hAnsi="Times New Roman" w:eastAsia="宋体" w:cs="Times New Roman"/>
                <w:color w:val="000000" w:themeColor="text1"/>
                <w:kern w:val="2"/>
                <w:sz w:val="24"/>
                <w:szCs w:val="21"/>
                <w:highlight w:val="none"/>
                <w:lang w:val="en-US" w:eastAsia="zh-CN" w:bidi="ar-SA"/>
                <w14:textFill>
                  <w14:solidFill>
                    <w14:schemeClr w14:val="tx1"/>
                  </w14:solidFill>
                </w14:textFill>
              </w:rPr>
              <w:t>年版），</w:t>
            </w:r>
            <w:r>
              <w:rPr>
                <w:rFonts w:hint="eastAsia" w:cs="Times New Roman"/>
                <w:color w:val="000000" w:themeColor="text1"/>
                <w:kern w:val="2"/>
                <w:sz w:val="24"/>
                <w:szCs w:val="21"/>
                <w:highlight w:val="none"/>
                <w:lang w:val="en-US" w:eastAsia="zh-CN" w:bidi="ar-SA"/>
                <w14:textFill>
                  <w14:solidFill>
                    <w14:schemeClr w14:val="tx1"/>
                  </w14:solidFill>
                </w14:textFill>
              </w:rPr>
              <w:t>喷淋废液及沉渣的</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 xml:space="preserve">废物类别为HW12， </w:t>
            </w:r>
            <w:r>
              <w:rPr>
                <w:rFonts w:hint="eastAsia" w:cs="Times New Roman"/>
                <w:color w:val="000000" w:themeColor="text1"/>
                <w:kern w:val="2"/>
                <w:sz w:val="24"/>
                <w:szCs w:val="24"/>
                <w:highlight w:val="none"/>
                <w:lang w:val="en-US" w:eastAsia="zh-CN" w:bidi="ar-SA"/>
                <w14:textFill>
                  <w14:solidFill>
                    <w14:schemeClr w14:val="tx1"/>
                  </w14:solidFill>
                </w14:textFill>
              </w:rPr>
              <w:t>代码</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900-252-12（使用过程中产生的废油漆、染料、颜料等），交由具有</w:t>
            </w:r>
            <w:r>
              <w:rPr>
                <w:rFonts w:hint="eastAsia" w:cs="Times New Roman"/>
                <w:color w:val="000000" w:themeColor="text1"/>
                <w:kern w:val="2"/>
                <w:sz w:val="24"/>
                <w:szCs w:val="24"/>
                <w:highlight w:val="none"/>
                <w:lang w:val="en-US" w:eastAsia="zh-CN" w:bidi="ar-SA"/>
                <w14:textFill>
                  <w14:solidFill>
                    <w14:schemeClr w14:val="tx1"/>
                  </w14:solidFill>
                </w14:textFill>
              </w:rPr>
              <w:t>相关</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危废处理资质单位清运处理。</w:t>
            </w:r>
          </w:p>
          <w:bookmarkEnd w:id="33"/>
          <w:p w14:paraId="718EEA02">
            <w:pPr>
              <w:pStyle w:val="158"/>
              <w:pageBreakBefore w:val="0"/>
              <w:wordWrap w:val="0"/>
              <w:topLinePunct/>
              <w:bidi w:val="0"/>
              <w:snapToGrid/>
              <w:spacing w:beforeAutospacing="0" w:afterAutospacing="0"/>
              <w:ind w:firstLine="482"/>
              <w:rPr>
                <w:b/>
                <w:bCs/>
                <w:color w:val="000000" w:themeColor="text1"/>
                <w14:textFill>
                  <w14:solidFill>
                    <w14:schemeClr w14:val="tx1"/>
                  </w14:solidFill>
                </w14:textFill>
              </w:rPr>
            </w:pPr>
            <w:r>
              <w:rPr>
                <w:rFonts w:hint="eastAsia"/>
                <w:color w:val="000000" w:themeColor="text1"/>
                <w:kern w:val="0"/>
                <w:lang w:val="en-US" w:eastAsia="zh-CN"/>
                <w14:textFill>
                  <w14:solidFill>
                    <w14:schemeClr w14:val="tx1"/>
                  </w14:solidFill>
                </w14:textFill>
              </w:rPr>
              <w:fldChar w:fldCharType="begin"/>
            </w:r>
            <w:r>
              <w:rPr>
                <w:rFonts w:hint="eastAsia"/>
                <w:color w:val="000000" w:themeColor="text1"/>
                <w:kern w:val="0"/>
                <w:lang w:val="en-US" w:eastAsia="zh-CN"/>
                <w14:textFill>
                  <w14:solidFill>
                    <w14:schemeClr w14:val="tx1"/>
                  </w14:solidFill>
                </w14:textFill>
              </w:rPr>
              <w:instrText xml:space="preserve"> EQ \o\ac(</w:instrText>
            </w:r>
            <w:r>
              <w:rPr>
                <w:rFonts w:hint="eastAsia"/>
                <w:color w:val="000000" w:themeColor="text1"/>
                <w:spacing w:val="0"/>
                <w:kern w:val="0"/>
                <w:sz w:val="24"/>
                <w:szCs w:val="24"/>
                <w:lang w:val="en-US" w:eastAsia="zh-CN" w:bidi="ar-SA"/>
                <w14:textFill>
                  <w14:solidFill>
                    <w14:schemeClr w14:val="tx1"/>
                  </w14:solidFill>
                </w14:textFill>
              </w:rPr>
              <w:instrText xml:space="preserve">○</w:instrText>
            </w:r>
            <w:r>
              <w:rPr>
                <w:rFonts w:hint="eastAsia"/>
                <w:color w:val="000000" w:themeColor="text1"/>
                <w:kern w:val="0"/>
                <w:lang w:val="en-US" w:eastAsia="zh-CN"/>
                <w14:textFill>
                  <w14:solidFill>
                    <w14:schemeClr w14:val="tx1"/>
                  </w14:solidFill>
                </w14:textFill>
              </w:rPr>
              <w:instrText xml:space="preserve">,</w:instrText>
            </w:r>
            <w:r>
              <w:rPr>
                <w:rFonts w:hint="eastAsia"/>
                <w:color w:val="000000" w:themeColor="text1"/>
                <w:spacing w:val="0"/>
                <w:kern w:val="0"/>
                <w:position w:val="3"/>
                <w:sz w:val="16"/>
                <w:szCs w:val="24"/>
                <w:lang w:val="en-US" w:eastAsia="zh-CN" w:bidi="ar-SA"/>
                <w14:textFill>
                  <w14:solidFill>
                    <w14:schemeClr w14:val="tx1"/>
                  </w14:solidFill>
                </w14:textFill>
              </w:rPr>
              <w:instrText xml:space="preserve">13</w:instrText>
            </w:r>
            <w:r>
              <w:rPr>
                <w:rFonts w:hint="eastAsia"/>
                <w:color w:val="000000" w:themeColor="text1"/>
                <w:kern w:val="0"/>
                <w:lang w:val="en-US" w:eastAsia="zh-CN"/>
                <w14:textFill>
                  <w14:solidFill>
                    <w14:schemeClr w14:val="tx1"/>
                  </w14:solidFill>
                </w14:textFill>
              </w:rPr>
              <w:instrText xml:space="preserve">)</w:instrText>
            </w:r>
            <w:r>
              <w:rPr>
                <w:rFonts w:hint="eastAsia"/>
                <w:color w:val="000000" w:themeColor="text1"/>
                <w:kern w:val="0"/>
                <w:lang w:val="en-US" w:eastAsia="zh-CN"/>
                <w14:textFill>
                  <w14:solidFill>
                    <w14:schemeClr w14:val="tx1"/>
                  </w14:solidFill>
                </w14:textFill>
              </w:rPr>
              <w:fldChar w:fldCharType="end"/>
            </w:r>
            <w:r>
              <w:rPr>
                <w:b/>
                <w:bCs/>
                <w:color w:val="000000" w:themeColor="text1"/>
                <w14:textFill>
                  <w14:solidFill>
                    <w14:schemeClr w14:val="tx1"/>
                  </w14:solidFill>
                </w14:textFill>
              </w:rPr>
              <w:t>喷枪清洗废液</w:t>
            </w:r>
          </w:p>
          <w:p w14:paraId="6E9A9E8E">
            <w:pPr>
              <w:pStyle w:val="158"/>
              <w:pageBreakBefore w:val="0"/>
              <w:wordWrap w:val="0"/>
              <w:topLinePunct/>
              <w:bidi w:val="0"/>
              <w:snapToGrid/>
              <w:spacing w:beforeAutospacing="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喷漆所用的喷枪在每日生产前需要清洗，使用</w:t>
            </w:r>
            <w:r>
              <w:rPr>
                <w:rFonts w:hint="eastAsia"/>
                <w:color w:val="000000" w:themeColor="text1"/>
                <w:lang w:val="en-US" w:eastAsia="zh-CN"/>
                <w14:textFill>
                  <w14:solidFill>
                    <w14:schemeClr w14:val="tx1"/>
                  </w14:solidFill>
                </w14:textFill>
              </w:rPr>
              <w:t>清洗</w:t>
            </w:r>
            <w:r>
              <w:rPr>
                <w:color w:val="000000" w:themeColor="text1"/>
                <w14:textFill>
                  <w14:solidFill>
                    <w14:schemeClr w14:val="tx1"/>
                  </w14:solidFill>
                </w14:textFill>
              </w:rPr>
              <w:t>剂在面漆流平室内将枪头浸没在</w:t>
            </w:r>
            <w:r>
              <w:rPr>
                <w:rFonts w:hint="eastAsia"/>
                <w:color w:val="000000" w:themeColor="text1"/>
                <w:lang w:val="en-US" w:eastAsia="zh-CN"/>
                <w14:textFill>
                  <w14:solidFill>
                    <w14:schemeClr w14:val="tx1"/>
                  </w14:solidFill>
                </w14:textFill>
              </w:rPr>
              <w:t>清洗</w:t>
            </w:r>
            <w:r>
              <w:rPr>
                <w:color w:val="000000" w:themeColor="text1"/>
                <w14:textFill>
                  <w14:solidFill>
                    <w14:schemeClr w14:val="tx1"/>
                  </w14:solidFill>
                </w14:textFill>
              </w:rPr>
              <w:t>剂原料桶内</w:t>
            </w:r>
            <w:r>
              <w:rPr>
                <w:rFonts w:hint="eastAsia"/>
                <w:color w:val="000000" w:themeColor="text1"/>
                <w:lang w:val="en-US" w:eastAsia="zh-CN"/>
                <w14:textFill>
                  <w14:solidFill>
                    <w14:schemeClr w14:val="tx1"/>
                  </w14:solidFill>
                </w14:textFill>
              </w:rPr>
              <w:t>加盖浸泡</w:t>
            </w:r>
            <w:r>
              <w:rPr>
                <w:color w:val="000000" w:themeColor="text1"/>
                <w14:textFill>
                  <w14:solidFill>
                    <w14:schemeClr w14:val="tx1"/>
                  </w14:solidFill>
                </w14:textFill>
              </w:rPr>
              <w:t>清洗，时间较短</w:t>
            </w:r>
            <w:r>
              <w:rPr>
                <w:rFonts w:hint="eastAsia"/>
                <w:color w:val="000000" w:themeColor="text1"/>
                <w:lang w:val="en-US" w:eastAsia="zh-CN"/>
                <w14:textFill>
                  <w14:solidFill>
                    <w14:schemeClr w14:val="tx1"/>
                  </w14:solidFill>
                </w14:textFill>
              </w:rPr>
              <w:t>且挥发量较少</w:t>
            </w:r>
            <w:r>
              <w:rPr>
                <w:color w:val="000000" w:themeColor="text1"/>
                <w14:textFill>
                  <w14:solidFill>
                    <w14:schemeClr w14:val="tx1"/>
                  </w14:solidFill>
                </w14:textFill>
              </w:rPr>
              <w:t>，清洗后</w:t>
            </w:r>
            <w:r>
              <w:rPr>
                <w:rFonts w:hint="eastAsia"/>
                <w:color w:val="000000" w:themeColor="text1"/>
                <w:lang w:val="en-US" w:eastAsia="zh-CN"/>
                <w14:textFill>
                  <w14:solidFill>
                    <w14:schemeClr w14:val="tx1"/>
                  </w14:solidFill>
                </w14:textFill>
              </w:rPr>
              <w:t>清洗</w:t>
            </w:r>
            <w:r>
              <w:rPr>
                <w:color w:val="000000" w:themeColor="text1"/>
                <w14:textFill>
                  <w14:solidFill>
                    <w14:schemeClr w14:val="tx1"/>
                  </w14:solidFill>
                </w14:textFill>
              </w:rPr>
              <w:t>剂称为喷枪清洗废液。根据企业提供资料，每日清洗，每次清洗用量约为</w:t>
            </w:r>
            <w:r>
              <w:rPr>
                <w:rFonts w:hint="eastAsia"/>
                <w:color w:val="000000" w:themeColor="text1"/>
                <w:lang w:val="en-US" w:eastAsia="zh-CN"/>
                <w14:textFill>
                  <w14:solidFill>
                    <w14:schemeClr w14:val="tx1"/>
                  </w14:solidFill>
                </w14:textFill>
              </w:rPr>
              <w:t>70ml</w:t>
            </w:r>
            <w:r>
              <w:rPr>
                <w:color w:val="000000" w:themeColor="text1"/>
                <w14:textFill>
                  <w14:solidFill>
                    <w14:schemeClr w14:val="tx1"/>
                  </w14:solidFill>
                </w14:textFill>
              </w:rPr>
              <w:t>，预计年使用</w:t>
            </w:r>
            <w:r>
              <w:rPr>
                <w:rFonts w:hint="eastAsia"/>
                <w:color w:val="000000" w:themeColor="text1"/>
                <w:lang w:val="en-US" w:eastAsia="zh-CN"/>
                <w14:textFill>
                  <w14:solidFill>
                    <w14:schemeClr w14:val="tx1"/>
                  </w14:solidFill>
                </w14:textFill>
              </w:rPr>
              <w:t>清洗剂0.09</w:t>
            </w:r>
            <w:r>
              <w:rPr>
                <w:color w:val="000000" w:themeColor="text1"/>
                <w14:textFill>
                  <w14:solidFill>
                    <w14:schemeClr w14:val="tx1"/>
                  </w14:solidFill>
                </w14:textFill>
              </w:rPr>
              <w:t>t/a，故喷枪清洗废液</w:t>
            </w:r>
            <w:r>
              <w:rPr>
                <w:rFonts w:hint="eastAsia"/>
                <w:color w:val="000000" w:themeColor="text1"/>
                <w:lang w:val="en-US" w:eastAsia="zh-CN"/>
                <w14:textFill>
                  <w14:solidFill>
                    <w14:schemeClr w14:val="tx1"/>
                  </w14:solidFill>
                </w14:textFill>
              </w:rPr>
              <w:t>以50%计，则喷枪清洗废液</w:t>
            </w:r>
            <w:r>
              <w:rPr>
                <w:color w:val="000000" w:themeColor="text1"/>
                <w14:textFill>
                  <w14:solidFill>
                    <w14:schemeClr w14:val="tx1"/>
                  </w14:solidFill>
                </w14:textFill>
              </w:rPr>
              <w:t>年产生量约为</w:t>
            </w:r>
            <w:r>
              <w:rPr>
                <w:rFonts w:hint="eastAsia"/>
                <w:color w:val="000000" w:themeColor="text1"/>
                <w:lang w:val="en-US" w:eastAsia="zh-CN"/>
                <w14:textFill>
                  <w14:solidFill>
                    <w14:schemeClr w14:val="tx1"/>
                  </w14:solidFill>
                </w14:textFill>
              </w:rPr>
              <w:t>0.045</w:t>
            </w:r>
            <w:r>
              <w:rPr>
                <w:color w:val="000000" w:themeColor="text1"/>
                <w14:textFill>
                  <w14:solidFill>
                    <w14:schemeClr w14:val="tx1"/>
                  </w14:solidFill>
                </w14:textFill>
              </w:rPr>
              <w:t>t/a。属于《国家危险废物名录》（202</w:t>
            </w: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 xml:space="preserve"> 年版）中，为“HW06 废有机溶剂与含有机溶剂废物”，危废代码为900-402-06</w:t>
            </w:r>
            <w:r>
              <w:rPr>
                <w:rFonts w:hint="eastAsia"/>
                <w:color w:val="000000" w:themeColor="text1"/>
                <w14:textFill>
                  <w14:solidFill>
                    <w14:schemeClr w14:val="tx1"/>
                  </w14:solidFill>
                </w14:textFill>
              </w:rPr>
              <w:t>。</w:t>
            </w:r>
            <w:r>
              <w:rPr>
                <w:color w:val="000000" w:themeColor="text1"/>
                <w:kern w:val="0"/>
                <w14:textFill>
                  <w14:solidFill>
                    <w14:schemeClr w14:val="tx1"/>
                  </w14:solidFill>
                </w14:textFill>
              </w:rPr>
              <w:t>收集后交由有相应危险废物处理资质的单位处理。</w:t>
            </w:r>
          </w:p>
          <w:p w14:paraId="13D4333F">
            <w:pPr>
              <w:pStyle w:val="158"/>
              <w:pageBreakBefore w:val="0"/>
              <w:wordWrap w:val="0"/>
              <w:topLinePunct/>
              <w:bidi w:val="0"/>
              <w:snapToGrid/>
              <w:spacing w:beforeAutospacing="0" w:afterAutospacing="0"/>
              <w:ind w:firstLine="482"/>
              <w:rPr>
                <w:rFonts w:hint="eastAsia" w:eastAsia="宋体"/>
                <w:b/>
                <w:bCs/>
                <w:color w:val="000000" w:themeColor="text1"/>
                <w:lang w:eastAsia="zh-CN"/>
                <w14:textFill>
                  <w14:solidFill>
                    <w14:schemeClr w14:val="tx1"/>
                  </w14:solidFill>
                </w14:textFill>
              </w:rPr>
            </w:pPr>
            <w:r>
              <w:rPr>
                <w:rFonts w:hint="eastAsia"/>
                <w:b/>
                <w:bCs/>
                <w:color w:val="000000" w:themeColor="text1"/>
                <w:lang w:val="en-US" w:eastAsia="zh-CN"/>
                <w14:textFill>
                  <w14:solidFill>
                    <w14:schemeClr w14:val="tx1"/>
                  </w14:solidFill>
                </w14:textFill>
              </w:rPr>
              <w:fldChar w:fldCharType="begin"/>
            </w:r>
            <w:r>
              <w:rPr>
                <w:rFonts w:hint="eastAsia"/>
                <w:b/>
                <w:bCs/>
                <w:color w:val="000000" w:themeColor="text1"/>
                <w:lang w:val="en-US" w:eastAsia="zh-CN"/>
                <w14:textFill>
                  <w14:solidFill>
                    <w14:schemeClr w14:val="tx1"/>
                  </w14:solidFill>
                </w14:textFill>
              </w:rPr>
              <w:instrText xml:space="preserve"> EQ \o\ac(</w:instrText>
            </w:r>
            <w:r>
              <w:rPr>
                <w:rFonts w:hint="eastAsia"/>
                <w:b/>
                <w:bCs/>
                <w:color w:val="000000" w:themeColor="text1"/>
                <w:spacing w:val="0"/>
                <w:kern w:val="2"/>
                <w:sz w:val="24"/>
                <w:szCs w:val="24"/>
                <w:lang w:val="en-US" w:eastAsia="zh-CN" w:bidi="ar-SA"/>
                <w14:textFill>
                  <w14:solidFill>
                    <w14:schemeClr w14:val="tx1"/>
                  </w14:solidFill>
                </w14:textFill>
              </w:rPr>
              <w:instrText xml:space="preserve">○</w:instrText>
            </w:r>
            <w:r>
              <w:rPr>
                <w:rFonts w:hint="eastAsia"/>
                <w:b/>
                <w:bCs/>
                <w:color w:val="000000" w:themeColor="text1"/>
                <w:lang w:val="en-US" w:eastAsia="zh-CN"/>
                <w14:textFill>
                  <w14:solidFill>
                    <w14:schemeClr w14:val="tx1"/>
                  </w14:solidFill>
                </w14:textFill>
              </w:rPr>
              <w:instrText xml:space="preserve">,</w:instrText>
            </w:r>
            <w:r>
              <w:rPr>
                <w:rFonts w:hint="eastAsia"/>
                <w:b/>
                <w:bCs/>
                <w:color w:val="000000" w:themeColor="text1"/>
                <w:spacing w:val="0"/>
                <w:kern w:val="2"/>
                <w:position w:val="3"/>
                <w:sz w:val="16"/>
                <w:szCs w:val="24"/>
                <w:lang w:val="en-US" w:eastAsia="zh-CN" w:bidi="ar-SA"/>
                <w14:textFill>
                  <w14:solidFill>
                    <w14:schemeClr w14:val="tx1"/>
                  </w14:solidFill>
                </w14:textFill>
              </w:rPr>
              <w:instrText xml:space="preserve">14</w:instrText>
            </w:r>
            <w:r>
              <w:rPr>
                <w:rFonts w:hint="eastAsia"/>
                <w:b/>
                <w:bCs/>
                <w:color w:val="000000" w:themeColor="text1"/>
                <w:lang w:val="en-US" w:eastAsia="zh-CN"/>
                <w14:textFill>
                  <w14:solidFill>
                    <w14:schemeClr w14:val="tx1"/>
                  </w14:solidFill>
                </w14:textFill>
              </w:rPr>
              <w:instrText xml:space="preserve">)</w:instrText>
            </w:r>
            <w:r>
              <w:rPr>
                <w:rFonts w:hint="eastAsia"/>
                <w:b/>
                <w:bCs/>
                <w:color w:val="000000" w:themeColor="text1"/>
                <w:lang w:val="en-US" w:eastAsia="zh-CN"/>
                <w14:textFill>
                  <w14:solidFill>
                    <w14:schemeClr w14:val="tx1"/>
                  </w14:solidFill>
                </w14:textFill>
              </w:rPr>
              <w:fldChar w:fldCharType="end"/>
            </w:r>
            <w:r>
              <w:rPr>
                <w:rFonts w:hint="eastAsia"/>
                <w:b/>
                <w:bCs/>
                <w:color w:val="000000" w:themeColor="text1"/>
                <w:lang w:val="en-US" w:eastAsia="zh-CN"/>
                <w14:textFill>
                  <w14:solidFill>
                    <w14:schemeClr w14:val="tx1"/>
                  </w14:solidFill>
                </w14:textFill>
              </w:rPr>
              <w:t>废静电喷粉滤芯</w:t>
            </w:r>
          </w:p>
          <w:p w14:paraId="667DC8B1">
            <w:pPr>
              <w:pStyle w:val="158"/>
              <w:pageBreakBefore w:val="0"/>
              <w:wordWrap w:val="0"/>
              <w:topLinePunct/>
              <w:bidi w:val="0"/>
              <w:snapToGrid/>
              <w:spacing w:beforeAutospacing="0" w:afterAutospacing="0"/>
              <w:ind w:firstLine="480"/>
              <w:rPr>
                <w:rFonts w:hint="eastAsia" w:eastAsia="宋体"/>
                <w:color w:val="000000" w:themeColor="text1"/>
                <w:lang w:eastAsia="zh-CN"/>
                <w14:textFill>
                  <w14:solidFill>
                    <w14:schemeClr w14:val="tx1"/>
                  </w14:solidFill>
                </w14:textFill>
              </w:rPr>
            </w:pPr>
            <w:r>
              <w:rPr>
                <w:color w:val="000000" w:themeColor="text1"/>
                <w14:textFill>
                  <w14:solidFill>
                    <w14:schemeClr w14:val="tx1"/>
                  </w14:solidFill>
                </w14:textFill>
              </w:rPr>
              <w:t>本项目</w:t>
            </w:r>
            <w:r>
              <w:rPr>
                <w:rFonts w:hint="eastAsia"/>
                <w:color w:val="000000" w:themeColor="text1"/>
                <w:lang w:val="en-US" w:eastAsia="zh-CN"/>
                <w14:textFill>
                  <w14:solidFill>
                    <w14:schemeClr w14:val="tx1"/>
                  </w14:solidFill>
                </w14:textFill>
              </w:rPr>
              <w:t>静电喷粉废气</w:t>
            </w:r>
            <w:r>
              <w:rPr>
                <w:color w:val="000000" w:themeColor="text1"/>
                <w14:textFill>
                  <w14:solidFill>
                    <w14:schemeClr w14:val="tx1"/>
                  </w14:solidFill>
                </w14:textFill>
              </w:rPr>
              <w:t>使用“大旋风+滤芯式二级回收系统”处理，需要定期更换滤芯，故产生废</w:t>
            </w:r>
            <w:r>
              <w:rPr>
                <w:rFonts w:hint="eastAsia"/>
                <w:color w:val="000000" w:themeColor="text1"/>
                <w14:textFill>
                  <w14:solidFill>
                    <w14:schemeClr w14:val="tx1"/>
                  </w14:solidFill>
                </w14:textFill>
              </w:rPr>
              <w:t>静电喷粉</w:t>
            </w:r>
            <w:r>
              <w:rPr>
                <w:color w:val="000000" w:themeColor="text1"/>
                <w14:textFill>
                  <w14:solidFill>
                    <w14:schemeClr w14:val="tx1"/>
                  </w14:solidFill>
                </w14:textFill>
              </w:rPr>
              <w:t>滤芯。其产生量</w:t>
            </w: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滤芯年更换量</w:t>
            </w:r>
            <w:r>
              <w:rPr>
                <w:rFonts w:hint="eastAsia"/>
                <w:color w:val="000000" w:themeColor="text1"/>
                <w:lang w:val="en-US" w:eastAsia="zh-CN"/>
                <w14:textFill>
                  <w14:solidFill>
                    <w14:schemeClr w14:val="tx1"/>
                  </w14:solidFill>
                </w14:textFill>
              </w:rPr>
              <w:t>=滤芯单个重量×一次更换数量×年更换次数</w:t>
            </w:r>
            <w:r>
              <w:rPr>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8kg×1个×12次/a= 0.096</w:t>
            </w:r>
            <w:r>
              <w:rPr>
                <w:color w:val="000000" w:themeColor="text1"/>
                <w14:textFill>
                  <w14:solidFill>
                    <w14:schemeClr w14:val="tx1"/>
                  </w14:solidFill>
                </w14:textFill>
              </w:rPr>
              <w:t>t/a</w:t>
            </w:r>
            <w:r>
              <w:rPr>
                <w:rFonts w:hint="eastAsia"/>
                <w:color w:val="000000" w:themeColor="text1"/>
                <w:lang w:eastAsia="zh-CN"/>
                <w14:textFill>
                  <w14:solidFill>
                    <w14:schemeClr w14:val="tx1"/>
                  </w14:solidFill>
                </w14:textFill>
              </w:rPr>
              <w:t>。</w:t>
            </w:r>
            <w:r>
              <w:rPr>
                <w:bCs/>
                <w:color w:val="000000" w:themeColor="text1"/>
                <w14:textFill>
                  <w14:solidFill>
                    <w14:schemeClr w14:val="tx1"/>
                  </w14:solidFill>
                </w14:textFill>
              </w:rPr>
              <w:t>根据《国家危险废物名录》（202</w:t>
            </w:r>
            <w:r>
              <w:rPr>
                <w:rFonts w:hint="eastAsia"/>
                <w:bCs/>
                <w:color w:val="000000" w:themeColor="text1"/>
                <w:lang w:val="en-US" w:eastAsia="zh-CN"/>
                <w14:textFill>
                  <w14:solidFill>
                    <w14:schemeClr w14:val="tx1"/>
                  </w14:solidFill>
                </w14:textFill>
              </w:rPr>
              <w:t>5</w:t>
            </w:r>
            <w:r>
              <w:rPr>
                <w:bCs/>
                <w:color w:val="000000" w:themeColor="text1"/>
                <w14:textFill>
                  <w14:solidFill>
                    <w14:schemeClr w14:val="tx1"/>
                  </w14:solidFill>
                </w14:textFill>
              </w:rPr>
              <w:t>年），</w:t>
            </w:r>
            <w:r>
              <w:rPr>
                <w:rFonts w:hint="eastAsia"/>
                <w:bCs/>
                <w:color w:val="000000" w:themeColor="text1"/>
                <w:lang w:eastAsia="zh-CN"/>
                <w14:textFill>
                  <w14:solidFill>
                    <w14:schemeClr w14:val="tx1"/>
                  </w14:solidFill>
                </w14:textFill>
              </w:rPr>
              <w:t>废静电喷粉滤芯</w:t>
            </w:r>
            <w:r>
              <w:rPr>
                <w:bCs/>
                <w:color w:val="000000" w:themeColor="text1"/>
                <w14:textFill>
                  <w14:solidFill>
                    <w14:schemeClr w14:val="tx1"/>
                  </w14:solidFill>
                </w14:textFill>
              </w:rPr>
              <w:t>属于“HW49 其他废物”，废物代码900-041-49</w:t>
            </w:r>
            <w:r>
              <w:rPr>
                <w:color w:val="000000" w:themeColor="text1"/>
                <w14:textFill>
                  <w14:solidFill>
                    <w14:schemeClr w14:val="tx1"/>
                  </w14:solidFill>
                </w14:textFill>
              </w:rPr>
              <w:t>，经统一收集后交由有危险废物处理资质的单位处理。</w:t>
            </w:r>
          </w:p>
          <w:p w14:paraId="67D4D5B8">
            <w:pPr>
              <w:pStyle w:val="158"/>
              <w:pageBreakBefore w:val="0"/>
              <w:wordWrap w:val="0"/>
              <w:topLinePunct/>
              <w:bidi w:val="0"/>
              <w:snapToGrid/>
              <w:spacing w:beforeAutospacing="0" w:afterAutospacing="0"/>
              <w:ind w:firstLine="480"/>
              <w:rPr>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fldChar w:fldCharType="begin"/>
            </w:r>
            <w:r>
              <w:rPr>
                <w:rFonts w:hint="eastAsia"/>
                <w:b/>
                <w:bCs/>
                <w:color w:val="000000" w:themeColor="text1"/>
                <w:lang w:val="en-US" w:eastAsia="zh-CN"/>
                <w14:textFill>
                  <w14:solidFill>
                    <w14:schemeClr w14:val="tx1"/>
                  </w14:solidFill>
                </w14:textFill>
              </w:rPr>
              <w:instrText xml:space="preserve"> EQ \o\ac(</w:instrText>
            </w:r>
            <w:r>
              <w:rPr>
                <w:rFonts w:hint="eastAsia"/>
                <w:b/>
                <w:bCs/>
                <w:color w:val="000000" w:themeColor="text1"/>
                <w:spacing w:val="0"/>
                <w:kern w:val="2"/>
                <w:sz w:val="24"/>
                <w:szCs w:val="24"/>
                <w:lang w:val="en-US" w:eastAsia="zh-CN" w:bidi="ar-SA"/>
                <w14:textFill>
                  <w14:solidFill>
                    <w14:schemeClr w14:val="tx1"/>
                  </w14:solidFill>
                </w14:textFill>
              </w:rPr>
              <w:instrText xml:space="preserve">○</w:instrText>
            </w:r>
            <w:r>
              <w:rPr>
                <w:rFonts w:hint="eastAsia"/>
                <w:b/>
                <w:bCs/>
                <w:color w:val="000000" w:themeColor="text1"/>
                <w:lang w:val="en-US" w:eastAsia="zh-CN"/>
                <w14:textFill>
                  <w14:solidFill>
                    <w14:schemeClr w14:val="tx1"/>
                  </w14:solidFill>
                </w14:textFill>
              </w:rPr>
              <w:instrText xml:space="preserve">,</w:instrText>
            </w:r>
            <w:r>
              <w:rPr>
                <w:rFonts w:hint="eastAsia"/>
                <w:b/>
                <w:bCs/>
                <w:color w:val="000000" w:themeColor="text1"/>
                <w:spacing w:val="0"/>
                <w:kern w:val="2"/>
                <w:position w:val="3"/>
                <w:sz w:val="16"/>
                <w:szCs w:val="24"/>
                <w:lang w:val="en-US" w:eastAsia="zh-CN" w:bidi="ar-SA"/>
                <w14:textFill>
                  <w14:solidFill>
                    <w14:schemeClr w14:val="tx1"/>
                  </w14:solidFill>
                </w14:textFill>
              </w:rPr>
              <w:instrText xml:space="preserve">15</w:instrText>
            </w:r>
            <w:r>
              <w:rPr>
                <w:rFonts w:hint="eastAsia"/>
                <w:b/>
                <w:bCs/>
                <w:color w:val="000000" w:themeColor="text1"/>
                <w:lang w:val="en-US" w:eastAsia="zh-CN"/>
                <w14:textFill>
                  <w14:solidFill>
                    <w14:schemeClr w14:val="tx1"/>
                  </w14:solidFill>
                </w14:textFill>
              </w:rPr>
              <w:instrText xml:space="preserve">)</w:instrText>
            </w:r>
            <w:r>
              <w:rPr>
                <w:rFonts w:hint="eastAsia"/>
                <w:b/>
                <w:bCs/>
                <w:color w:val="000000" w:themeColor="text1"/>
                <w:lang w:val="en-US" w:eastAsia="zh-CN"/>
                <w14:textFill>
                  <w14:solidFill>
                    <w14:schemeClr w14:val="tx1"/>
                  </w14:solidFill>
                </w14:textFill>
              </w:rPr>
              <w:fldChar w:fldCharType="end"/>
            </w:r>
            <w:r>
              <w:rPr>
                <w:b/>
                <w:bCs/>
                <w:color w:val="000000" w:themeColor="text1"/>
                <w14:textFill>
                  <w14:solidFill>
                    <w14:schemeClr w14:val="tx1"/>
                  </w14:solidFill>
                </w14:textFill>
              </w:rPr>
              <w:t>废过滤棉</w:t>
            </w:r>
          </w:p>
          <w:p w14:paraId="08C22383">
            <w:pPr>
              <w:pStyle w:val="158"/>
              <w:pageBreakBefore w:val="0"/>
              <w:wordWrap w:val="0"/>
              <w:topLinePunct/>
              <w:bidi w:val="0"/>
              <w:snapToGrid/>
              <w:spacing w:beforeAutospacing="0" w:afterAutospacing="0"/>
              <w:ind w:firstLine="480"/>
              <w:rPr>
                <w:color w:val="000000" w:themeColor="text1"/>
                <w14:textFill>
                  <w14:solidFill>
                    <w14:schemeClr w14:val="tx1"/>
                  </w14:solidFill>
                </w14:textFill>
              </w:rPr>
            </w:pPr>
            <w:r>
              <w:rPr>
                <w:bCs/>
                <w:color w:val="000000" w:themeColor="text1"/>
                <w14:textFill>
                  <w14:solidFill>
                    <w14:schemeClr w14:val="tx1"/>
                  </w14:solidFill>
                </w14:textFill>
              </w:rPr>
              <w:t>项目在处理有机废气过程中需要定期更换过滤棉，过滤棉预计</w:t>
            </w:r>
            <w:r>
              <w:rPr>
                <w:rFonts w:hint="eastAsia"/>
                <w:bCs/>
                <w:color w:val="000000" w:themeColor="text1"/>
                <w14:textFill>
                  <w14:solidFill>
                    <w14:schemeClr w14:val="tx1"/>
                  </w14:solidFill>
                </w14:textFill>
              </w:rPr>
              <w:t>每月</w:t>
            </w:r>
            <w:r>
              <w:rPr>
                <w:bCs/>
                <w:color w:val="000000" w:themeColor="text1"/>
                <w14:textFill>
                  <w14:solidFill>
                    <w14:schemeClr w14:val="tx1"/>
                  </w14:solidFill>
                </w14:textFill>
              </w:rPr>
              <w:t>更换</w:t>
            </w:r>
            <w:r>
              <w:rPr>
                <w:rFonts w:hint="eastAsia"/>
                <w:bCs/>
                <w:color w:val="000000" w:themeColor="text1"/>
                <w14:textFill>
                  <w14:solidFill>
                    <w14:schemeClr w14:val="tx1"/>
                  </w14:solidFill>
                </w14:textFill>
              </w:rPr>
              <w:t>1</w:t>
            </w:r>
            <w:r>
              <w:rPr>
                <w:bCs/>
                <w:color w:val="000000" w:themeColor="text1"/>
                <w14:textFill>
                  <w14:solidFill>
                    <w14:schemeClr w14:val="tx1"/>
                  </w14:solidFill>
                </w14:textFill>
              </w:rPr>
              <w:t>次，每次更换量约为0.01t/a，则废过滤棉产生量为0.</w:t>
            </w:r>
            <w:r>
              <w:rPr>
                <w:rFonts w:hint="eastAsia"/>
                <w:bCs/>
                <w:color w:val="000000" w:themeColor="text1"/>
                <w14:textFill>
                  <w14:solidFill>
                    <w14:schemeClr w14:val="tx1"/>
                  </w14:solidFill>
                </w14:textFill>
              </w:rPr>
              <w:t>12</w:t>
            </w:r>
            <w:r>
              <w:rPr>
                <w:bCs/>
                <w:color w:val="000000" w:themeColor="text1"/>
                <w14:textFill>
                  <w14:solidFill>
                    <w14:schemeClr w14:val="tx1"/>
                  </w14:solidFill>
                </w14:textFill>
              </w:rPr>
              <w:t>t/a。根据《国家危险废物名录》（2021年），废过滤棉属于“HW49 其他废物”，废物代码900-041-49</w:t>
            </w:r>
            <w:r>
              <w:rPr>
                <w:color w:val="000000" w:themeColor="text1"/>
                <w14:textFill>
                  <w14:solidFill>
                    <w14:schemeClr w14:val="tx1"/>
                  </w14:solidFill>
                </w14:textFill>
              </w:rPr>
              <w:t>，经统一收集后交由有危险废物处理资质的单位处理。</w:t>
            </w:r>
          </w:p>
          <w:p w14:paraId="52EDA7DD">
            <w:pPr>
              <w:pStyle w:val="158"/>
              <w:pageBreakBefore w:val="0"/>
              <w:wordWrap w:val="0"/>
              <w:topLinePunct/>
              <w:bidi w:val="0"/>
              <w:snapToGrid/>
              <w:spacing w:beforeAutospacing="0" w:afterAutospacing="0"/>
              <w:ind w:firstLine="482"/>
              <w:rPr>
                <w:b/>
                <w:bCs/>
                <w:color w:val="000000" w:themeColor="text1"/>
                <w14:textFill>
                  <w14:solidFill>
                    <w14:schemeClr w14:val="tx1"/>
                  </w14:solidFill>
                </w14:textFill>
              </w:rPr>
            </w:pPr>
            <w:bookmarkStart w:id="34" w:name="_Toc32195"/>
            <w:r>
              <w:rPr>
                <w:rFonts w:hint="eastAsia"/>
                <w:b/>
                <w:bCs/>
                <w:color w:val="000000" w:themeColor="text1"/>
                <w:lang w:val="en-US" w:eastAsia="zh-CN"/>
                <w14:textFill>
                  <w14:solidFill>
                    <w14:schemeClr w14:val="tx1"/>
                  </w14:solidFill>
                </w14:textFill>
              </w:rPr>
              <w:fldChar w:fldCharType="begin"/>
            </w:r>
            <w:r>
              <w:rPr>
                <w:rFonts w:hint="eastAsia"/>
                <w:b/>
                <w:bCs/>
                <w:color w:val="000000" w:themeColor="text1"/>
                <w:lang w:val="en-US" w:eastAsia="zh-CN"/>
                <w14:textFill>
                  <w14:solidFill>
                    <w14:schemeClr w14:val="tx1"/>
                  </w14:solidFill>
                </w14:textFill>
              </w:rPr>
              <w:instrText xml:space="preserve"> EQ \o\ac(</w:instrText>
            </w:r>
            <w:r>
              <w:rPr>
                <w:rFonts w:hint="eastAsia"/>
                <w:b/>
                <w:bCs/>
                <w:color w:val="000000" w:themeColor="text1"/>
                <w:spacing w:val="0"/>
                <w:kern w:val="2"/>
                <w:sz w:val="24"/>
                <w:szCs w:val="24"/>
                <w:lang w:val="en-US" w:eastAsia="zh-CN" w:bidi="ar-SA"/>
                <w14:textFill>
                  <w14:solidFill>
                    <w14:schemeClr w14:val="tx1"/>
                  </w14:solidFill>
                </w14:textFill>
              </w:rPr>
              <w:instrText xml:space="preserve">○</w:instrText>
            </w:r>
            <w:r>
              <w:rPr>
                <w:rFonts w:hint="eastAsia"/>
                <w:b/>
                <w:bCs/>
                <w:color w:val="000000" w:themeColor="text1"/>
                <w:lang w:val="en-US" w:eastAsia="zh-CN"/>
                <w14:textFill>
                  <w14:solidFill>
                    <w14:schemeClr w14:val="tx1"/>
                  </w14:solidFill>
                </w14:textFill>
              </w:rPr>
              <w:instrText xml:space="preserve">,</w:instrText>
            </w:r>
            <w:r>
              <w:rPr>
                <w:rFonts w:hint="eastAsia"/>
                <w:b/>
                <w:bCs/>
                <w:color w:val="000000" w:themeColor="text1"/>
                <w:spacing w:val="0"/>
                <w:kern w:val="2"/>
                <w:position w:val="3"/>
                <w:sz w:val="16"/>
                <w:szCs w:val="24"/>
                <w:lang w:val="en-US" w:eastAsia="zh-CN" w:bidi="ar-SA"/>
                <w14:textFill>
                  <w14:solidFill>
                    <w14:schemeClr w14:val="tx1"/>
                  </w14:solidFill>
                </w14:textFill>
              </w:rPr>
              <w:instrText xml:space="preserve">16</w:instrText>
            </w:r>
            <w:r>
              <w:rPr>
                <w:rFonts w:hint="eastAsia"/>
                <w:b/>
                <w:bCs/>
                <w:color w:val="000000" w:themeColor="text1"/>
                <w:lang w:val="en-US" w:eastAsia="zh-CN"/>
                <w14:textFill>
                  <w14:solidFill>
                    <w14:schemeClr w14:val="tx1"/>
                  </w14:solidFill>
                </w14:textFill>
              </w:rPr>
              <w:instrText xml:space="preserve">)</w:instrText>
            </w:r>
            <w:r>
              <w:rPr>
                <w:rFonts w:hint="eastAsia"/>
                <w:b/>
                <w:bCs/>
                <w:color w:val="000000" w:themeColor="text1"/>
                <w:lang w:val="en-US" w:eastAsia="zh-CN"/>
                <w14:textFill>
                  <w14:solidFill>
                    <w14:schemeClr w14:val="tx1"/>
                  </w14:solidFill>
                </w14:textFill>
              </w:rPr>
              <w:fldChar w:fldCharType="end"/>
            </w:r>
            <w:r>
              <w:rPr>
                <w:b/>
                <w:bCs/>
                <w:color w:val="000000" w:themeColor="text1"/>
                <w14:textFill>
                  <w14:solidFill>
                    <w14:schemeClr w14:val="tx1"/>
                  </w14:solidFill>
                </w14:textFill>
              </w:rPr>
              <w:t>废活性炭</w:t>
            </w:r>
            <w:bookmarkEnd w:id="34"/>
          </w:p>
          <w:p w14:paraId="55B6239E">
            <w:pPr>
              <w:pStyle w:val="158"/>
              <w:pageBreakBefore w:val="0"/>
              <w:wordWrap w:val="0"/>
              <w:topLinePunct/>
              <w:bidi w:val="0"/>
              <w:snapToGrid/>
              <w:spacing w:beforeAutospacing="0" w:afterAutospacing="0"/>
              <w:ind w:firstLine="480"/>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b/>
                <w:bCs/>
                <w:color w:val="000000" w:themeColor="text1"/>
                <w:lang w:val="en-US" w:eastAsia="zh-CN"/>
                <w14:textFill>
                  <w14:solidFill>
                    <w14:schemeClr w14:val="tx1"/>
                  </w14:solidFill>
                </w14:textFill>
              </w:rPr>
              <w:t>吸附脱附段活性炭产生量：</w:t>
            </w:r>
            <w:r>
              <w:rPr>
                <w:color w:val="000000" w:themeColor="text1"/>
                <w14:textFill>
                  <w14:solidFill>
                    <w14:schemeClr w14:val="tx1"/>
                  </w14:solidFill>
                </w14:textFill>
              </w:rPr>
              <w:t>本项目废气治理设施中，使用的活性炭需要定期更换，根据</w:t>
            </w:r>
            <w:r>
              <w:rPr>
                <w:rFonts w:hint="eastAsia"/>
                <w:color w:val="000000" w:themeColor="text1"/>
                <w14:textFill>
                  <w14:solidFill>
                    <w14:schemeClr w14:val="tx1"/>
                  </w14:solidFill>
                </w14:textFill>
              </w:rPr>
              <w:t>建设单位提供的</w:t>
            </w:r>
            <w:r>
              <w:rPr>
                <w:color w:val="000000" w:themeColor="text1"/>
                <w14:textFill>
                  <w14:solidFill>
                    <w14:schemeClr w14:val="tx1"/>
                  </w14:solidFill>
                </w14:textFill>
              </w:rPr>
              <w:t>废气治理方案，</w:t>
            </w:r>
            <w:r>
              <w:rPr>
                <w:rFonts w:hint="eastAsia"/>
                <w:color w:val="000000" w:themeColor="text1"/>
                <w:lang w:val="en-US" w:eastAsia="zh-CN"/>
                <w14:textFill>
                  <w14:solidFill>
                    <w14:schemeClr w14:val="tx1"/>
                  </w14:solidFill>
                </w14:textFill>
              </w:rPr>
              <w:t>TA002废气处理设施（</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活性炭吸脱附+催化燃烧段）</w:t>
            </w:r>
            <w:r>
              <w:rPr>
                <w:rFonts w:hint="eastAsia"/>
                <w:color w:val="000000" w:themeColor="text1"/>
                <w:lang w:val="en-US" w:eastAsia="zh-CN"/>
                <w14:textFill>
                  <w14:solidFill>
                    <w14:schemeClr w14:val="tx1"/>
                  </w14:solidFill>
                </w14:textFill>
              </w:rPr>
              <w:t>设4个吸附床并联运行，一个脱附床。</w:t>
            </w:r>
            <w:r>
              <w:rPr>
                <w:color w:val="000000" w:themeColor="text1"/>
                <w14:textFill>
                  <w14:solidFill>
                    <w14:schemeClr w14:val="tx1"/>
                  </w14:solidFill>
                </w14:textFill>
              </w:rPr>
              <w:t>活性炭装载量为</w:t>
            </w:r>
            <w:r>
              <w:rPr>
                <w:rFonts w:hint="eastAsia"/>
                <w:color w:val="000000" w:themeColor="text1"/>
                <w:lang w:val="en-US" w:eastAsia="zh-CN"/>
                <w14:textFill>
                  <w14:solidFill>
                    <w14:schemeClr w14:val="tx1"/>
                  </w14:solidFill>
                </w14:textFill>
              </w:rPr>
              <w:t>21</w:t>
            </w:r>
            <w:r>
              <w:rPr>
                <w:color w:val="000000" w:themeColor="text1"/>
                <w14:textFill>
                  <w14:solidFill>
                    <w14:schemeClr w14:val="tx1"/>
                  </w14:solidFill>
                </w14:textFill>
              </w:rPr>
              <w:t>m³，密度为380～450kg/m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，取415kg/m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。活性炭</w:t>
            </w:r>
            <w:r>
              <w:rPr>
                <w:rFonts w:hint="eastAsia"/>
                <w:color w:val="000000" w:themeColor="text1"/>
                <w:lang w:val="en-US" w:eastAsia="zh-CN"/>
                <w14:textFill>
                  <w14:solidFill>
                    <w14:schemeClr w14:val="tx1"/>
                  </w14:solidFill>
                </w14:textFill>
              </w:rPr>
              <w:t>吸附床设计寿命为8000h，本环评保守取</w:t>
            </w:r>
            <w:r>
              <w:rPr>
                <w:color w:val="000000" w:themeColor="text1"/>
                <w14:textFill>
                  <w14:solidFill>
                    <w14:schemeClr w14:val="tx1"/>
                  </w14:solidFill>
                </w14:textFill>
              </w:rPr>
              <w:t>更换次数为一年一次，即活性炭</w:t>
            </w:r>
            <w:r>
              <w:rPr>
                <w:rFonts w:hint="eastAsia"/>
                <w:color w:val="000000" w:themeColor="text1"/>
                <w:lang w:val="en-US" w:eastAsia="zh-CN"/>
                <w14:textFill>
                  <w14:solidFill>
                    <w14:schemeClr w14:val="tx1"/>
                  </w14:solidFill>
                </w14:textFill>
              </w:rPr>
              <w:t>年更换</w:t>
            </w:r>
            <w:r>
              <w:rPr>
                <w:color w:val="000000" w:themeColor="text1"/>
                <w14:textFill>
                  <w14:solidFill>
                    <w14:schemeClr w14:val="tx1"/>
                  </w14:solidFill>
                </w14:textFill>
              </w:rPr>
              <w:t>量为</w:t>
            </w:r>
            <w:r>
              <w:rPr>
                <w:rFonts w:hint="eastAsia"/>
                <w:color w:val="000000" w:themeColor="text1"/>
                <w:lang w:val="en-US" w:eastAsia="zh-CN"/>
                <w14:textFill>
                  <w14:solidFill>
                    <w14:schemeClr w14:val="tx1"/>
                  </w14:solidFill>
                </w14:textFill>
              </w:rPr>
              <w:t>21</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×415kg/m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/1000=</w:t>
            </w:r>
            <w:r>
              <w:rPr>
                <w:rFonts w:hint="eastAsia"/>
                <w:color w:val="000000" w:themeColor="text1"/>
                <w:lang w:val="en-US" w:eastAsia="zh-CN"/>
                <w14:textFill>
                  <w14:solidFill>
                    <w14:schemeClr w14:val="tx1"/>
                  </w14:solidFill>
                </w14:textFill>
              </w:rPr>
              <w:t>8.715</w:t>
            </w:r>
            <w:r>
              <w:rPr>
                <w:color w:val="000000" w:themeColor="text1"/>
                <w14:textFill>
                  <w14:solidFill>
                    <w14:schemeClr w14:val="tx1"/>
                  </w14:solidFill>
                </w14:textFill>
              </w:rPr>
              <w:t>t/a</w:t>
            </w:r>
            <w:r>
              <w:rPr>
                <w:rFonts w:hint="eastAsia"/>
                <w:color w:val="000000" w:themeColor="text1"/>
                <w:lang w:eastAsia="zh-CN"/>
                <w14:textFill>
                  <w14:solidFill>
                    <w14:schemeClr w14:val="tx1"/>
                  </w14:solidFill>
                </w14:textFill>
              </w:rPr>
              <w:t>，</w:t>
            </w:r>
            <w:r>
              <w:rPr>
                <w:rFonts w:hint="eastAsia" w:ascii="Times New Roman" w:hAnsi="Times New Roman" w:cs="Times New Roman"/>
                <w:color w:val="000000" w:themeColor="text1"/>
                <w:kern w:val="2"/>
                <w:sz w:val="24"/>
                <w:szCs w:val="24"/>
                <w:highlight w:val="none"/>
                <w:lang w:val="en-US" w:eastAsia="zh-CN" w:bidi="ar-SA"/>
                <w14:textFill>
                  <w14:solidFill>
                    <w14:schemeClr w14:val="tx1"/>
                  </w14:solidFill>
                </w14:textFill>
              </w:rPr>
              <w:t>考虑活性炭</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脱附</w:t>
            </w:r>
            <w:r>
              <w:rPr>
                <w:rFonts w:hint="eastAsia" w:ascii="Times New Roman" w:hAnsi="Times New Roman" w:cs="Times New Roman"/>
                <w:color w:val="000000" w:themeColor="text1"/>
                <w:kern w:val="2"/>
                <w:sz w:val="24"/>
                <w:szCs w:val="24"/>
                <w:highlight w:val="none"/>
                <w:lang w:val="en-US" w:eastAsia="zh-CN" w:bidi="ar-SA"/>
                <w14:textFill>
                  <w14:solidFill>
                    <w14:schemeClr w14:val="tx1"/>
                  </w14:solidFill>
                </w14:textFill>
              </w:rPr>
              <w:t>时</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会把活性炭上 90%~95% 以上的 VOCs 脱附出来烧掉；更换时活性炭仅含微量残留 VOCs，重量占比极小</w:t>
            </w:r>
            <w:r>
              <w:rPr>
                <w:rFonts w:hint="eastAsia" w:ascii="Times New Roman" w:hAnsi="Times New Roman" w:cs="Times New Roman"/>
                <w:color w:val="000000" w:themeColor="text1"/>
                <w:kern w:val="2"/>
                <w:sz w:val="24"/>
                <w:szCs w:val="24"/>
                <w:highlight w:val="none"/>
                <w:lang w:val="en-US" w:eastAsia="zh-CN" w:bidi="ar-SA"/>
                <w14:textFill>
                  <w14:solidFill>
                    <w14:schemeClr w14:val="tx1"/>
                  </w14:solidFill>
                </w14:textFill>
              </w:rPr>
              <w:t>，本环评</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忽略不计</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p>
          <w:p w14:paraId="4783BD5C">
            <w:pPr>
              <w:keepNext/>
              <w:keepLines/>
              <w:widowControl w:val="0"/>
              <w:numPr>
                <w:ilvl w:val="5"/>
                <w:numId w:val="0"/>
              </w:numPr>
              <w:spacing w:line="360" w:lineRule="auto"/>
              <w:ind w:firstLine="482" w:firstLineChars="200"/>
              <w:jc w:val="both"/>
              <w:outlineLvl w:val="5"/>
              <w:rPr>
                <w:rFonts w:hint="default"/>
                <w:color w:val="000000" w:themeColor="text1"/>
                <w:lang w:val="en-US" w:eastAsia="zh-CN"/>
                <w14:textFill>
                  <w14:solidFill>
                    <w14:schemeClr w14:val="tx1"/>
                  </w14:solidFill>
                </w14:textFill>
              </w:rPr>
            </w:pPr>
            <w:r>
              <w:rPr>
                <w:rFonts w:hint="eastAsia" w:cs="Times New Roman"/>
                <w:b/>
                <w:bCs/>
                <w:color w:val="000000" w:themeColor="text1"/>
                <w:kern w:val="2"/>
                <w:sz w:val="24"/>
                <w:szCs w:val="24"/>
                <w:highlight w:val="none"/>
                <w:lang w:val="en-US" w:eastAsia="zh-CN" w:bidi="ar-SA"/>
                <w14:textFill>
                  <w14:solidFill>
                    <w14:schemeClr w14:val="tx1"/>
                  </w14:solidFill>
                </w14:textFill>
              </w:rPr>
              <w:t>吸附段活性炭产生量：</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TA00</w:t>
            </w:r>
            <w:r>
              <w:rPr>
                <w:rFonts w:hint="eastAsia" w:cs="Times New Roman"/>
                <w:color w:val="000000" w:themeColor="text1"/>
                <w:kern w:val="2"/>
                <w:sz w:val="24"/>
                <w:szCs w:val="24"/>
                <w:highlight w:val="none"/>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废气设施（活性炭吸附段）配套1个活性炭吸附床，TA00</w:t>
            </w:r>
            <w:r>
              <w:rPr>
                <w:rFonts w:hint="eastAsia" w:cs="Times New Roman"/>
                <w:color w:val="000000" w:themeColor="text1"/>
                <w:kern w:val="2"/>
                <w:sz w:val="24"/>
                <w:szCs w:val="24"/>
                <w:highlight w:val="none"/>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废气设施（喷淋+干式过滤+二级活性炭吸附）配套2个活性炭吸附床，外形尺寸均为</w:t>
            </w:r>
            <w:r>
              <w:rPr>
                <w:rFonts w:hint="eastAsia" w:cs="Times New Roman"/>
                <w:color w:val="000000" w:themeColor="text1"/>
                <w:kern w:val="2"/>
                <w:sz w:val="24"/>
                <w:szCs w:val="24"/>
                <w:highlight w:val="none"/>
                <w:lang w:val="en-US" w:eastAsia="zh-CN" w:bidi="ar-SA"/>
                <w14:textFill>
                  <w14:solidFill>
                    <w14:schemeClr w14:val="tx1"/>
                  </w14:solidFill>
                </w14:textFill>
              </w:rPr>
              <w:t>3000</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mm*</w:t>
            </w:r>
            <w:r>
              <w:rPr>
                <w:rFonts w:hint="eastAsia" w:cs="Times New Roman"/>
                <w:color w:val="000000" w:themeColor="text1"/>
                <w:kern w:val="2"/>
                <w:sz w:val="24"/>
                <w:szCs w:val="24"/>
                <w:highlight w:val="none"/>
                <w:lang w:val="en-US" w:eastAsia="zh-CN" w:bidi="ar-SA"/>
                <w14:textFill>
                  <w14:solidFill>
                    <w14:schemeClr w14:val="tx1"/>
                  </w14:solidFill>
                </w14:textFill>
              </w:rPr>
              <w:t>20</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00mm*4300mm，每层面积尺寸均为</w:t>
            </w:r>
            <w:r>
              <w:rPr>
                <w:rFonts w:hint="eastAsia" w:cs="Times New Roman"/>
                <w:color w:val="000000" w:themeColor="text1"/>
                <w:kern w:val="2"/>
                <w:sz w:val="24"/>
                <w:szCs w:val="24"/>
                <w:highlight w:val="none"/>
                <w:lang w:val="en-US" w:eastAsia="zh-CN" w:bidi="ar-SA"/>
                <w14:textFill>
                  <w14:solidFill>
                    <w14:schemeClr w14:val="tx1"/>
                  </w14:solidFill>
                </w14:textFill>
              </w:rPr>
              <w:t>6</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m</w:t>
            </w:r>
            <w:r>
              <w:rPr>
                <w:rFonts w:hint="eastAsia" w:ascii="Times New Roman" w:hAnsi="Times New Roman" w:eastAsia="宋体" w:cs="Times New Roman"/>
                <w:color w:val="000000" w:themeColor="text1"/>
                <w:kern w:val="2"/>
                <w:sz w:val="24"/>
                <w:szCs w:val="24"/>
                <w:highlight w:val="none"/>
                <w:vertAlign w:val="superscript"/>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活性炭填充高度为0.</w:t>
            </w:r>
            <w:r>
              <w:rPr>
                <w:rFonts w:hint="eastAsia" w:cs="Times New Roman"/>
                <w:color w:val="000000" w:themeColor="text1"/>
                <w:kern w:val="2"/>
                <w:sz w:val="24"/>
                <w:szCs w:val="24"/>
                <w:highlight w:val="none"/>
                <w:lang w:val="en-US" w:eastAsia="zh-CN" w:bidi="ar-SA"/>
                <w14:textFill>
                  <w14:solidFill>
                    <w14:schemeClr w14:val="tx1"/>
                  </w14:solidFill>
                </w14:textFill>
              </w:rPr>
              <w:t>2</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m，填充密度0.45g/cm</w:t>
            </w:r>
            <w:r>
              <w:rPr>
                <w:rFonts w:hint="default" w:ascii="Times New Roman" w:hAnsi="Times New Roman" w:eastAsia="宋体" w:cs="Times New Roman"/>
                <w:color w:val="000000" w:themeColor="text1"/>
                <w:kern w:val="2"/>
                <w:sz w:val="24"/>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，单套装置内设</w:t>
            </w:r>
            <w:r>
              <w:rPr>
                <w:rFonts w:hint="eastAsia" w:cs="Times New Roman"/>
                <w:color w:val="000000" w:themeColor="text1"/>
                <w:kern w:val="2"/>
                <w:sz w:val="24"/>
                <w:szCs w:val="24"/>
                <w:highlight w:val="none"/>
                <w:lang w:val="en-US" w:eastAsia="zh-CN" w:bidi="ar-SA"/>
                <w14:textFill>
                  <w14:solidFill>
                    <w14:schemeClr w14:val="tx1"/>
                  </w14:solidFill>
                </w14:textFill>
              </w:rPr>
              <w:t>6</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层活性炭，则活性炭吸附装置的</w:t>
            </w:r>
            <w:r>
              <w:rPr>
                <w:rFonts w:hint="eastAsia" w:cs="Times New Roman"/>
                <w:color w:val="000000" w:themeColor="text1"/>
                <w:kern w:val="2"/>
                <w:sz w:val="24"/>
                <w:szCs w:val="24"/>
                <w:highlight w:val="none"/>
                <w:lang w:val="en-US" w:eastAsia="zh-CN" w:bidi="ar-SA"/>
                <w14:textFill>
                  <w14:solidFill>
                    <w14:schemeClr w14:val="tx1"/>
                  </w14:solidFill>
                </w14:textFill>
              </w:rPr>
              <w:t>全厂</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装填</w:t>
            </w:r>
            <w:r>
              <w:rPr>
                <w:rFonts w:hint="eastAsia" w:cs="Times New Roman"/>
                <w:color w:val="000000" w:themeColor="text1"/>
                <w:kern w:val="2"/>
                <w:sz w:val="24"/>
                <w:szCs w:val="24"/>
                <w:highlight w:val="none"/>
                <w:lang w:val="en-US" w:eastAsia="zh-CN" w:bidi="ar-SA"/>
                <w14:textFill>
                  <w14:solidFill>
                    <w14:schemeClr w14:val="tx1"/>
                  </w14:solidFill>
                </w14:textFill>
              </w:rPr>
              <w:t>配置</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量为</w:t>
            </w:r>
            <w:r>
              <w:rPr>
                <w:rFonts w:hint="eastAsia" w:cs="Times New Roman"/>
                <w:color w:val="000000" w:themeColor="text1"/>
                <w:kern w:val="2"/>
                <w:sz w:val="24"/>
                <w:szCs w:val="24"/>
                <w:highlight w:val="none"/>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eastAsia" w:cs="Times New Roman"/>
                <w:color w:val="000000" w:themeColor="text1"/>
                <w:kern w:val="2"/>
                <w:sz w:val="24"/>
                <w:szCs w:val="24"/>
                <w:highlight w:val="none"/>
                <w:lang w:val="en-US" w:eastAsia="zh-CN" w:bidi="ar-SA"/>
                <w14:textFill>
                  <w14:solidFill>
                    <w14:schemeClr w14:val="tx1"/>
                  </w14:solidFill>
                </w14:textFill>
              </w:rPr>
              <w:t>6</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×0.</w:t>
            </w:r>
            <w:r>
              <w:rPr>
                <w:rFonts w:hint="eastAsia" w:cs="Times New Roman"/>
                <w:color w:val="000000" w:themeColor="text1"/>
                <w:kern w:val="2"/>
                <w:sz w:val="24"/>
                <w:szCs w:val="24"/>
                <w:highlight w:val="none"/>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×6×450÷1000=</w:t>
            </w:r>
            <w:r>
              <w:rPr>
                <w:rFonts w:hint="eastAsia" w:cs="Times New Roman"/>
                <w:color w:val="000000" w:themeColor="text1"/>
                <w:kern w:val="2"/>
                <w:sz w:val="24"/>
                <w:szCs w:val="24"/>
                <w:highlight w:val="none"/>
                <w:lang w:val="en-US" w:eastAsia="zh-CN" w:bidi="ar-SA"/>
                <w14:textFill>
                  <w14:solidFill>
                    <w14:schemeClr w14:val="tx1"/>
                  </w14:solidFill>
                </w14:textFill>
              </w:rPr>
              <w:t>9.720</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t。</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根据《广东省工业源挥发性有机物减排量核算方法》（</w:t>
            </w:r>
            <w:r>
              <w:rPr>
                <w:rFonts w:hint="eastAsia" w:cs="Times New Roman"/>
                <w:color w:val="000000" w:themeColor="text1"/>
                <w:kern w:val="2"/>
                <w:sz w:val="24"/>
                <w:szCs w:val="24"/>
                <w:highlight w:val="none"/>
                <w:lang w:val="en-US" w:eastAsia="zh-CN" w:bidi="ar-SA"/>
                <w14:textFill>
                  <w14:solidFill>
                    <w14:schemeClr w14:val="tx1"/>
                  </w14:solidFill>
                </w14:textFill>
              </w:rPr>
              <w:t>2023修订版</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）的要求，建议直接将“活性炭年更换量×活性炭吸附比例”（活性炭年更换量优先以危废转移量为依据，吸附比例建议取值15%）作为废气处理设施VOCs削减量。本项目活性炭对有机废气的吸附比率取值</w:t>
            </w:r>
            <w:r>
              <w:rPr>
                <w:rFonts w:hint="eastAsia" w:cs="Times New Roman"/>
                <w:color w:val="000000" w:themeColor="text1"/>
                <w:kern w:val="2"/>
                <w:sz w:val="24"/>
                <w:szCs w:val="24"/>
                <w:highlight w:val="none"/>
                <w:lang w:val="en-US" w:eastAsia="zh-CN" w:bidi="ar-SA"/>
                <w14:textFill>
                  <w14:solidFill>
                    <w14:schemeClr w14:val="tx1"/>
                  </w14:solidFill>
                </w14:textFill>
              </w:rPr>
              <w:t>15</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%，项目吸附的有机废气量为</w:t>
            </w:r>
            <w:r>
              <w:rPr>
                <w:rFonts w:hint="eastAsia" w:cs="Times New Roman"/>
                <w:color w:val="000000" w:themeColor="text1"/>
                <w:kern w:val="2"/>
                <w:sz w:val="24"/>
                <w:szCs w:val="24"/>
                <w:highlight w:val="none"/>
                <w:lang w:val="en-US" w:eastAsia="zh-CN" w:bidi="ar-SA"/>
                <w14:textFill>
                  <w14:solidFill>
                    <w14:schemeClr w14:val="tx1"/>
                  </w14:solidFill>
                </w14:textFill>
              </w:rPr>
              <w:t>0.6025+0.2695=0.8720</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t/a，</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则理论需要活性炭量为</w:t>
            </w:r>
            <w:r>
              <w:rPr>
                <w:rFonts w:hint="eastAsia" w:cs="Times New Roman"/>
                <w:color w:val="000000" w:themeColor="text1"/>
                <w:kern w:val="2"/>
                <w:sz w:val="24"/>
                <w:szCs w:val="24"/>
                <w:highlight w:val="none"/>
                <w:lang w:val="en-US" w:eastAsia="zh-CN" w:bidi="ar-SA"/>
                <w14:textFill>
                  <w14:solidFill>
                    <w14:schemeClr w14:val="tx1"/>
                  </w14:solidFill>
                </w14:textFill>
              </w:rPr>
              <w:t>5.813</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t/a</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eastAsia" w:cs="Times New Roman"/>
                <w:color w:val="000000" w:themeColor="text1"/>
                <w:kern w:val="2"/>
                <w:sz w:val="24"/>
                <w:szCs w:val="24"/>
                <w:highlight w:val="none"/>
                <w:lang w:val="en-US" w:eastAsia="zh-CN" w:bidi="ar-SA"/>
                <w14:textFill>
                  <w14:solidFill>
                    <w14:schemeClr w14:val="tx1"/>
                  </w14:solidFill>
                </w14:textFill>
              </w:rPr>
              <w:t>吸附段</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活性炭实际配置量大于理论活性炭使用量，项目废气设施活性炭一年更换2次，则废活性炭产生量为</w:t>
            </w:r>
            <w:r>
              <w:rPr>
                <w:rFonts w:hint="eastAsia" w:cs="Times New Roman"/>
                <w:color w:val="000000" w:themeColor="text1"/>
                <w:kern w:val="2"/>
                <w:sz w:val="24"/>
                <w:szCs w:val="24"/>
                <w:highlight w:val="none"/>
                <w:lang w:val="en-US" w:eastAsia="zh-CN" w:bidi="ar-SA"/>
                <w14:textFill>
                  <w14:solidFill>
                    <w14:schemeClr w14:val="tx1"/>
                  </w14:solidFill>
                </w14:textFill>
              </w:rPr>
              <w:t>9.720</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×2+0.</w:t>
            </w:r>
            <w:r>
              <w:rPr>
                <w:rFonts w:hint="eastAsia" w:cs="Times New Roman"/>
                <w:color w:val="000000" w:themeColor="text1"/>
                <w:kern w:val="2"/>
                <w:sz w:val="24"/>
                <w:szCs w:val="24"/>
                <w:highlight w:val="none"/>
                <w:lang w:val="en-US" w:eastAsia="zh-CN" w:bidi="ar-SA"/>
                <w14:textFill>
                  <w14:solidFill>
                    <w14:schemeClr w14:val="tx1"/>
                  </w14:solidFill>
                </w14:textFill>
              </w:rPr>
              <w:t>8720</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eastAsia" w:cs="Times New Roman"/>
                <w:color w:val="000000" w:themeColor="text1"/>
                <w:kern w:val="2"/>
                <w:sz w:val="24"/>
                <w:szCs w:val="24"/>
                <w:highlight w:val="none"/>
                <w:lang w:val="en-US" w:eastAsia="zh-CN" w:bidi="ar-SA"/>
                <w14:textFill>
                  <w14:solidFill>
                    <w14:schemeClr w14:val="tx1"/>
                  </w14:solidFill>
                </w14:textFill>
              </w:rPr>
              <w:t>20.312</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t/a。</w:t>
            </w:r>
          </w:p>
          <w:p w14:paraId="1A942869">
            <w:pPr>
              <w:pStyle w:val="158"/>
              <w:pageBreakBefore w:val="0"/>
              <w:wordWrap w:val="0"/>
              <w:topLinePunct/>
              <w:bidi w:val="0"/>
              <w:snapToGrid/>
              <w:spacing w:beforeAutospacing="0" w:afterAutospacing="0"/>
              <w:ind w:firstLine="480"/>
              <w:rPr>
                <w:bCs/>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废气设施废活性炭合计产生量=8.715t/a+20.312t/a=29.027t/a</w:t>
            </w:r>
            <w:r>
              <w:rPr>
                <w:color w:val="000000" w:themeColor="text1"/>
                <w14:textFill>
                  <w14:solidFill>
                    <w14:schemeClr w14:val="tx1"/>
                  </w14:solidFill>
                </w14:textFill>
              </w:rPr>
              <w:t>。</w:t>
            </w:r>
            <w:r>
              <w:rPr>
                <w:bCs/>
                <w:color w:val="000000" w:themeColor="text1"/>
                <w14:textFill>
                  <w14:solidFill>
                    <w14:schemeClr w14:val="tx1"/>
                  </w14:solidFill>
                </w14:textFill>
              </w:rPr>
              <w:t>属于“HW49 其他废物”，废物代码900-039-49</w:t>
            </w:r>
            <w:r>
              <w:rPr>
                <w:color w:val="000000" w:themeColor="text1"/>
                <w14:textFill>
                  <w14:solidFill>
                    <w14:schemeClr w14:val="tx1"/>
                  </w14:solidFill>
                </w14:textFill>
              </w:rPr>
              <w:t>，经统一收集后交由有危险废物处理资质的单位处理。</w:t>
            </w:r>
          </w:p>
          <w:p w14:paraId="1DFCDC77">
            <w:pPr>
              <w:pStyle w:val="158"/>
              <w:pageBreakBefore w:val="0"/>
              <w:wordWrap w:val="0"/>
              <w:topLinePunct/>
              <w:bidi w:val="0"/>
              <w:snapToGrid/>
              <w:spacing w:beforeAutospacing="0" w:afterAutospacing="0"/>
              <w:ind w:firstLine="480"/>
              <w:rPr>
                <w:rFonts w:hint="default" w:eastAsia="宋体"/>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fldChar w:fldCharType="begin"/>
            </w:r>
            <w:r>
              <w:rPr>
                <w:rFonts w:hint="eastAsia"/>
                <w:b/>
                <w:bCs/>
                <w:color w:val="000000" w:themeColor="text1"/>
                <w:lang w:val="en-US" w:eastAsia="zh-CN"/>
                <w14:textFill>
                  <w14:solidFill>
                    <w14:schemeClr w14:val="tx1"/>
                  </w14:solidFill>
                </w14:textFill>
              </w:rPr>
              <w:instrText xml:space="preserve"> EQ \o\ac(</w:instrText>
            </w:r>
            <w:r>
              <w:rPr>
                <w:rFonts w:hint="eastAsia"/>
                <w:b/>
                <w:bCs/>
                <w:color w:val="000000" w:themeColor="text1"/>
                <w:spacing w:val="0"/>
                <w:kern w:val="2"/>
                <w:sz w:val="24"/>
                <w:szCs w:val="24"/>
                <w:lang w:val="en-US" w:eastAsia="zh-CN" w:bidi="ar-SA"/>
                <w14:textFill>
                  <w14:solidFill>
                    <w14:schemeClr w14:val="tx1"/>
                  </w14:solidFill>
                </w14:textFill>
              </w:rPr>
              <w:instrText xml:space="preserve">○</w:instrText>
            </w:r>
            <w:r>
              <w:rPr>
                <w:rFonts w:hint="eastAsia"/>
                <w:b/>
                <w:bCs/>
                <w:color w:val="000000" w:themeColor="text1"/>
                <w:lang w:val="en-US" w:eastAsia="zh-CN"/>
                <w14:textFill>
                  <w14:solidFill>
                    <w14:schemeClr w14:val="tx1"/>
                  </w14:solidFill>
                </w14:textFill>
              </w:rPr>
              <w:instrText xml:space="preserve">,</w:instrText>
            </w:r>
            <w:r>
              <w:rPr>
                <w:rFonts w:hint="eastAsia"/>
                <w:b/>
                <w:bCs/>
                <w:color w:val="000000" w:themeColor="text1"/>
                <w:spacing w:val="0"/>
                <w:kern w:val="2"/>
                <w:position w:val="3"/>
                <w:sz w:val="16"/>
                <w:szCs w:val="24"/>
                <w:lang w:val="en-US" w:eastAsia="zh-CN" w:bidi="ar-SA"/>
                <w14:textFill>
                  <w14:solidFill>
                    <w14:schemeClr w14:val="tx1"/>
                  </w14:solidFill>
                </w14:textFill>
              </w:rPr>
              <w:instrText xml:space="preserve">17</w:instrText>
            </w:r>
            <w:r>
              <w:rPr>
                <w:rFonts w:hint="eastAsia"/>
                <w:b/>
                <w:bCs/>
                <w:color w:val="000000" w:themeColor="text1"/>
                <w:lang w:val="en-US" w:eastAsia="zh-CN"/>
                <w14:textFill>
                  <w14:solidFill>
                    <w14:schemeClr w14:val="tx1"/>
                  </w14:solidFill>
                </w14:textFill>
              </w:rPr>
              <w:instrText xml:space="preserve">)</w:instrText>
            </w:r>
            <w:r>
              <w:rPr>
                <w:rFonts w:hint="eastAsia"/>
                <w:b/>
                <w:bCs/>
                <w:color w:val="000000" w:themeColor="text1"/>
                <w:lang w:val="en-US" w:eastAsia="zh-CN"/>
                <w14:textFill>
                  <w14:solidFill>
                    <w14:schemeClr w14:val="tx1"/>
                  </w14:solidFill>
                </w14:textFill>
              </w:rPr>
              <w:fldChar w:fldCharType="end"/>
            </w:r>
            <w:r>
              <w:rPr>
                <w:rFonts w:hint="eastAsia"/>
                <w:b/>
                <w:bCs/>
                <w:color w:val="000000" w:themeColor="text1"/>
                <w:lang w:val="en-US" w:eastAsia="zh-CN"/>
                <w14:textFill>
                  <w14:solidFill>
                    <w14:schemeClr w14:val="tx1"/>
                  </w14:solidFill>
                </w14:textFill>
              </w:rPr>
              <w:t>废粉末涂料</w:t>
            </w:r>
          </w:p>
          <w:p w14:paraId="415B830E">
            <w:pPr>
              <w:pStyle w:val="158"/>
              <w:pageBreakBefore w:val="0"/>
              <w:wordWrap w:val="0"/>
              <w:topLinePunct/>
              <w:bidi w:val="0"/>
              <w:snapToGrid/>
              <w:spacing w:beforeAutospacing="0" w:afterAutospacing="0"/>
              <w:ind w:firstLine="480"/>
              <w:rPr>
                <w:color w:val="000000" w:themeColor="text1"/>
                <w:kern w:val="0"/>
                <w14:textFill>
                  <w14:solidFill>
                    <w14:schemeClr w14:val="tx1"/>
                  </w14:solidFill>
                </w14:textFill>
              </w:rPr>
            </w:pPr>
            <w:r>
              <w:rPr>
                <w:rFonts w:hint="eastAsia"/>
                <w:color w:val="000000" w:themeColor="text1"/>
                <w:lang w:val="en-US" w:eastAsia="zh-CN"/>
                <w14:textFill>
                  <w14:solidFill>
                    <w14:schemeClr w14:val="tx1"/>
                  </w14:solidFill>
                </w14:textFill>
              </w:rPr>
              <w:t>废静电喷粉粉尘主要来源于静电喷粉工序中地面沉降部分，根据前文计算其产生量为3.593</w:t>
            </w:r>
            <w:r>
              <w:rPr>
                <w:color w:val="000000" w:themeColor="text1"/>
                <w14:textFill>
                  <w14:solidFill>
                    <w14:schemeClr w14:val="tx1"/>
                  </w14:solidFill>
                </w14:textFill>
              </w:rPr>
              <w:t>t/a。</w:t>
            </w:r>
            <w:r>
              <w:rPr>
                <w:rFonts w:hint="eastAsia"/>
                <w:color w:val="000000" w:themeColor="text1"/>
                <w:lang w:val="en-US" w:eastAsia="zh-CN"/>
                <w14:textFill>
                  <w14:solidFill>
                    <w14:schemeClr w14:val="tx1"/>
                  </w14:solidFill>
                </w14:textFill>
              </w:rPr>
              <w:t>因静电喷粉粉末主要成分为有机树脂，其沉降于地面时易沾染污染物，不便于直接回用于生产</w:t>
            </w:r>
            <w:r>
              <w:rPr>
                <w:color w:val="000000" w:themeColor="text1"/>
                <w:kern w:val="0"/>
                <w14:textFill>
                  <w14:solidFill>
                    <w14:schemeClr w14:val="tx1"/>
                  </w14:solidFill>
                </w14:textFill>
              </w:rPr>
              <w:t>。</w:t>
            </w:r>
            <w:r>
              <w:rPr>
                <w:rFonts w:hint="eastAsia"/>
                <w:color w:val="000000" w:themeColor="text1"/>
                <w:lang w:val="en-US" w:eastAsia="zh-CN"/>
                <w14:textFill>
                  <w14:solidFill>
                    <w14:schemeClr w14:val="tx1"/>
                  </w14:solidFill>
                </w14:textFill>
              </w:rPr>
              <w:t>对照</w:t>
            </w:r>
            <w:r>
              <w:rPr>
                <w:color w:val="000000" w:themeColor="text1"/>
                <w14:textFill>
                  <w14:solidFill>
                    <w14:schemeClr w14:val="tx1"/>
                  </w14:solidFill>
                </w14:textFill>
              </w:rPr>
              <w:t>《国家危险废物名录》（202</w:t>
            </w: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 xml:space="preserve"> 年版）</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废粉末涂料未列入该名录中</w:t>
            </w:r>
            <w:r>
              <w:rPr>
                <w:rFonts w:hint="eastAsia"/>
                <w:color w:val="000000" w:themeColor="text1"/>
                <w:lang w:eastAsia="zh-CN"/>
                <w14:textFill>
                  <w14:solidFill>
                    <w14:schemeClr w14:val="tx1"/>
                  </w14:solidFill>
                </w14:textFill>
              </w:rPr>
              <w:t>，根据《国家危险废物名录（2025年版）》第六条：“ 对不明确是否具有危险特性的固体废物，应当按照国家规定的危险废物鉴别标准和鉴别方法予以认定。经鉴别具有危险特性的，属于危险废物，应当根据其主要有害成分和危险特性对照本名录中已有废物代码进行归类；无法按已有废物代码归类的，应当确定其所属废物类别，按代码“900-000-××”（××为危险废物类别代码）进行归类管理。经鉴别不具有危险特性的，不属于危险废物。”，</w:t>
            </w:r>
            <w:r>
              <w:rPr>
                <w:rFonts w:hint="eastAsia"/>
                <w:color w:val="000000" w:themeColor="text1"/>
                <w:lang w:val="en-US" w:eastAsia="zh-CN"/>
                <w14:textFill>
                  <w14:solidFill>
                    <w14:schemeClr w14:val="tx1"/>
                  </w14:solidFill>
                </w14:textFill>
              </w:rPr>
              <w:t>因此建设单位应在项目试生产阶段开展危险特性鉴别。正式鉴别结论出具之前，本固体废物暂按照危险废物从严管控，贮存于符合《危险废物贮存污染控制标准》（GB 18597‑2023）要求的危废暂存间。若鉴别判定为危险废物，交由具备相应资质单位处置；若判定为一般工业固体废物，则按照《一般工业固体废物贮存和填埋污染控制标准》（GB 18599‑2020）实施管理处置。</w:t>
            </w:r>
          </w:p>
          <w:p w14:paraId="40651FD1">
            <w:pPr>
              <w:pStyle w:val="158"/>
              <w:pageBreakBefore w:val="0"/>
              <w:wordWrap w:val="0"/>
              <w:topLinePunct/>
              <w:bidi w:val="0"/>
              <w:snapToGrid/>
              <w:spacing w:beforeAutospacing="0" w:afterAutospacing="0"/>
              <w:ind w:firstLine="482"/>
              <w:rPr>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fldChar w:fldCharType="begin"/>
            </w:r>
            <w:r>
              <w:rPr>
                <w:rFonts w:hint="eastAsia"/>
                <w:b/>
                <w:bCs/>
                <w:color w:val="000000" w:themeColor="text1"/>
                <w:lang w:val="en-US" w:eastAsia="zh-CN"/>
                <w14:textFill>
                  <w14:solidFill>
                    <w14:schemeClr w14:val="tx1"/>
                  </w14:solidFill>
                </w14:textFill>
              </w:rPr>
              <w:instrText xml:space="preserve"> EQ \o\ac(</w:instrText>
            </w:r>
            <w:r>
              <w:rPr>
                <w:rFonts w:hint="eastAsia" w:ascii="Times New Roman" w:hAnsi="Times New Roman" w:eastAsia="宋体" w:cs="Times New Roman"/>
                <w:b/>
                <w:bCs/>
                <w:color w:val="000000" w:themeColor="text1"/>
                <w:spacing w:val="0"/>
                <w:kern w:val="2"/>
                <w:sz w:val="24"/>
                <w:szCs w:val="24"/>
                <w:lang w:val="en-US" w:eastAsia="zh-CN" w:bidi="ar-SA"/>
                <w14:textFill>
                  <w14:solidFill>
                    <w14:schemeClr w14:val="tx1"/>
                  </w14:solidFill>
                </w14:textFill>
              </w:rPr>
              <w:instrText xml:space="preserve">○</w:instrText>
            </w:r>
            <w:r>
              <w:rPr>
                <w:rFonts w:hint="eastAsia"/>
                <w:b/>
                <w:bCs/>
                <w:color w:val="000000" w:themeColor="text1"/>
                <w:lang w:val="en-US" w:eastAsia="zh-CN"/>
                <w14:textFill>
                  <w14:solidFill>
                    <w14:schemeClr w14:val="tx1"/>
                  </w14:solidFill>
                </w14:textFill>
              </w:rPr>
              <w:instrText xml:space="preserve">,</w:instrText>
            </w:r>
            <w:r>
              <w:rPr>
                <w:rFonts w:hint="eastAsia" w:ascii="Times New Roman" w:hAnsi="Times New Roman" w:eastAsia="宋体" w:cs="Times New Roman"/>
                <w:b/>
                <w:bCs/>
                <w:color w:val="000000" w:themeColor="text1"/>
                <w:spacing w:val="0"/>
                <w:kern w:val="2"/>
                <w:position w:val="3"/>
                <w:sz w:val="16"/>
                <w:szCs w:val="24"/>
                <w:lang w:val="en-US" w:eastAsia="zh-CN" w:bidi="ar-SA"/>
                <w14:textFill>
                  <w14:solidFill>
                    <w14:schemeClr w14:val="tx1"/>
                  </w14:solidFill>
                </w14:textFill>
              </w:rPr>
              <w:instrText xml:space="preserve">18</w:instrText>
            </w:r>
            <w:r>
              <w:rPr>
                <w:rFonts w:hint="eastAsia"/>
                <w:b/>
                <w:bCs/>
                <w:color w:val="000000" w:themeColor="text1"/>
                <w:lang w:val="en-US" w:eastAsia="zh-CN"/>
                <w14:textFill>
                  <w14:solidFill>
                    <w14:schemeClr w14:val="tx1"/>
                  </w14:solidFill>
                </w14:textFill>
              </w:rPr>
              <w:instrText xml:space="preserve">)</w:instrText>
            </w:r>
            <w:r>
              <w:rPr>
                <w:rFonts w:hint="eastAsia"/>
                <w:b/>
                <w:bCs/>
                <w:color w:val="000000" w:themeColor="text1"/>
                <w:lang w:val="en-US" w:eastAsia="zh-CN"/>
                <w14:textFill>
                  <w14:solidFill>
                    <w14:schemeClr w14:val="tx1"/>
                  </w14:solidFill>
                </w14:textFill>
              </w:rPr>
              <w:fldChar w:fldCharType="end"/>
            </w:r>
            <w:r>
              <w:rPr>
                <w:b/>
                <w:bCs/>
                <w:color w:val="000000" w:themeColor="text1"/>
                <w14:textFill>
                  <w14:solidFill>
                    <w14:schemeClr w14:val="tx1"/>
                  </w14:solidFill>
                </w14:textFill>
              </w:rPr>
              <w:t>废催化剂</w:t>
            </w:r>
          </w:p>
          <w:p w14:paraId="57E61DD9">
            <w:pPr>
              <w:pStyle w:val="158"/>
              <w:pageBreakBefore w:val="0"/>
              <w:wordWrap w:val="0"/>
              <w:topLinePunct/>
              <w:bidi w:val="0"/>
              <w:snapToGrid/>
              <w:spacing w:beforeAutospacing="0" w:afterAutospacing="0"/>
              <w:ind w:firstLine="480"/>
              <w:rPr>
                <w:rFonts w:hint="default"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本项目废气治理设施中，使用的催化剂需要定期更换，根据废气治理方案</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lang w:eastAsia="zh-CN"/>
                <w14:textFill>
                  <w14:solidFill>
                    <w14:schemeClr w14:val="tx1"/>
                  </w14:solidFill>
                </w14:textFill>
              </w:rPr>
              <w:t>喷淋塔+干式过滤器+活性炭吸脱附+催化燃烧+活性炭吸附</w:t>
            </w:r>
            <w:r>
              <w:rPr>
                <w:color w:val="000000" w:themeColor="text1"/>
                <w14:textFill>
                  <w14:solidFill>
                    <w14:schemeClr w14:val="tx1"/>
                  </w14:solidFill>
                </w14:textFill>
              </w:rPr>
              <w:t>”使用量为0.4m³，</w:t>
            </w:r>
            <w:r>
              <w:rPr>
                <w:color w:val="000000" w:themeColor="text1"/>
                <w:spacing w:val="-2"/>
                <w:kern w:val="0"/>
                <w:lang w:bidi="ar"/>
                <w14:textFill>
                  <w14:solidFill>
                    <w14:schemeClr w14:val="tx1"/>
                  </w14:solidFill>
                </w14:textFill>
              </w:rPr>
              <w:t>堆积密度取0.8g/cm</w:t>
            </w:r>
            <w:r>
              <w:rPr>
                <w:color w:val="000000" w:themeColor="text1"/>
                <w:spacing w:val="-2"/>
                <w:kern w:val="0"/>
                <w:vertAlign w:val="superscript"/>
                <w:lang w:bidi="ar"/>
                <w14:textFill>
                  <w14:solidFill>
                    <w14:schemeClr w14:val="tx1"/>
                  </w14:solidFill>
                </w14:textFill>
              </w:rPr>
              <w:t>3</w:t>
            </w:r>
            <w:r>
              <w:rPr>
                <w:color w:val="000000" w:themeColor="text1"/>
                <w:spacing w:val="-2"/>
                <w:kern w:val="0"/>
                <w:lang w:bidi="ar"/>
                <w14:textFill>
                  <w14:solidFill>
                    <w14:schemeClr w14:val="tx1"/>
                  </w14:solidFill>
                </w14:textFill>
              </w:rPr>
              <w:t>，</w:t>
            </w:r>
            <w:r>
              <w:rPr>
                <w:color w:val="000000" w:themeColor="text1"/>
                <w14:textFill>
                  <w14:solidFill>
                    <w14:schemeClr w14:val="tx1"/>
                  </w14:solidFill>
                </w14:textFill>
              </w:rPr>
              <w:t>每2年需要更换一次，</w:t>
            </w:r>
            <w:r>
              <w:rPr>
                <w:rFonts w:hint="eastAsia"/>
                <w:color w:val="000000" w:themeColor="text1"/>
                <w:lang w:val="en-US" w:eastAsia="zh-CN"/>
                <w14:textFill>
                  <w14:solidFill>
                    <w14:schemeClr w14:val="tx1"/>
                  </w14:solidFill>
                </w14:textFill>
              </w:rPr>
              <w:t>项目共设1套废气治理设施需使用催化剂，则</w:t>
            </w:r>
            <w:r>
              <w:rPr>
                <w:color w:val="000000" w:themeColor="text1"/>
                <w14:textFill>
                  <w14:solidFill>
                    <w14:schemeClr w14:val="tx1"/>
                  </w14:solidFill>
                </w14:textFill>
              </w:rPr>
              <w:t>催化剂产生量为</w:t>
            </w:r>
            <w:r>
              <w:rPr>
                <w:rFonts w:hint="eastAsia"/>
                <w:color w:val="000000" w:themeColor="text1"/>
                <w:lang w:val="en-US" w:eastAsia="zh-CN"/>
                <w14:textFill>
                  <w14:solidFill>
                    <w14:schemeClr w14:val="tx1"/>
                  </w14:solidFill>
                </w14:textFill>
              </w:rPr>
              <w:t>1×</w:t>
            </w:r>
            <w:r>
              <w:rPr>
                <w:color w:val="000000" w:themeColor="text1"/>
                <w14:textFill>
                  <w14:solidFill>
                    <w14:schemeClr w14:val="tx1"/>
                  </w14:solidFill>
                </w14:textFill>
              </w:rPr>
              <w:t>0.4m³×</w:t>
            </w:r>
            <w:r>
              <w:rPr>
                <w:color w:val="000000" w:themeColor="text1"/>
                <w:spacing w:val="-2"/>
                <w:kern w:val="0"/>
                <w:lang w:bidi="ar"/>
                <w14:textFill>
                  <w14:solidFill>
                    <w14:schemeClr w14:val="tx1"/>
                  </w14:solidFill>
                </w14:textFill>
              </w:rPr>
              <w:t>0.8g/cm</w:t>
            </w:r>
            <w:r>
              <w:rPr>
                <w:color w:val="000000" w:themeColor="text1"/>
                <w:spacing w:val="-2"/>
                <w:kern w:val="0"/>
                <w:vertAlign w:val="superscript"/>
                <w:lang w:bidi="ar"/>
                <w14:textFill>
                  <w14:solidFill>
                    <w14:schemeClr w14:val="tx1"/>
                  </w14:solidFill>
                </w14:textFill>
              </w:rPr>
              <w:t>3</w:t>
            </w:r>
            <w:r>
              <w:rPr>
                <w:rFonts w:hint="eastAsia"/>
                <w:color w:val="000000" w:themeColor="text1"/>
                <w:spacing w:val="-2"/>
                <w:kern w:val="0"/>
                <w:vertAlign w:val="baseline"/>
                <w:lang w:val="en-US" w:eastAsia="zh-CN" w:bidi="ar"/>
                <w14:textFill>
                  <w14:solidFill>
                    <w14:schemeClr w14:val="tx1"/>
                  </w14:solidFill>
                </w14:textFill>
              </w:rPr>
              <w:t>/2</w:t>
            </w:r>
            <w:r>
              <w:rPr>
                <w:color w:val="000000" w:themeColor="text1"/>
                <w14:textFill>
                  <w14:solidFill>
                    <w14:schemeClr w14:val="tx1"/>
                  </w14:solidFill>
                </w14:textFill>
              </w:rPr>
              <w:t>=</w:t>
            </w:r>
            <w:r>
              <w:rPr>
                <w:rFonts w:hint="eastAsia"/>
                <w:color w:val="000000" w:themeColor="text1"/>
                <w:lang w:eastAsia="zh-CN"/>
                <w14:textFill>
                  <w14:solidFill>
                    <w14:schemeClr w14:val="tx1"/>
                  </w14:solidFill>
                </w14:textFill>
              </w:rPr>
              <w:t>0.</w:t>
            </w:r>
            <w:r>
              <w:rPr>
                <w:rFonts w:hint="eastAsia"/>
                <w:color w:val="000000" w:themeColor="text1"/>
                <w:lang w:val="en-US" w:eastAsia="zh-CN"/>
                <w14:textFill>
                  <w14:solidFill>
                    <w14:schemeClr w14:val="tx1"/>
                  </w14:solidFill>
                </w14:textFill>
              </w:rPr>
              <w:t>16</w:t>
            </w:r>
            <w:r>
              <w:rPr>
                <w:color w:val="000000" w:themeColor="text1"/>
                <w14:textFill>
                  <w14:solidFill>
                    <w14:schemeClr w14:val="tx1"/>
                  </w14:solidFill>
                </w14:textFill>
              </w:rPr>
              <w:t>t/a</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建议参照</w:t>
            </w:r>
            <w:r>
              <w:rPr>
                <w:rFonts w:hint="eastAsia"/>
                <w:color w:val="000000" w:themeColor="text1"/>
                <w14:textFill>
                  <w14:solidFill>
                    <w14:schemeClr w14:val="tx1"/>
                  </w14:solidFill>
                </w14:textFill>
              </w:rPr>
              <w:t>《国家危险废物名录（2025年版）》中的 HW50 废催化剂，危废代码为 900-049-50（“机动车和非道路移动机械尾气净化废催化剂”）</w:t>
            </w:r>
            <w:r>
              <w:rPr>
                <w:rFonts w:hint="eastAsia"/>
                <w:color w:val="000000" w:themeColor="text1"/>
                <w:lang w:val="en-US" w:eastAsia="zh-CN"/>
                <w14:textFill>
                  <w14:solidFill>
                    <w14:schemeClr w14:val="tx1"/>
                  </w14:solidFill>
                </w14:textFill>
              </w:rPr>
              <w:t>处置</w:t>
            </w:r>
            <w:r>
              <w:rPr>
                <w:color w:val="000000" w:themeColor="text1"/>
                <w14:textFill>
                  <w14:solidFill>
                    <w14:schemeClr w14:val="tx1"/>
                  </w14:solidFill>
                </w14:textFill>
              </w:rPr>
              <w:t>。</w:t>
            </w:r>
          </w:p>
          <w:p w14:paraId="5FF840ED">
            <w:pPr>
              <w:spacing w:line="360" w:lineRule="auto"/>
              <w:ind w:firstLine="482"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4.2固体废物环境管理要求</w:t>
            </w:r>
          </w:p>
          <w:p w14:paraId="6DA7BCE0">
            <w:pPr>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（1）生活垃圾管理要求</w:t>
            </w:r>
          </w:p>
          <w:p w14:paraId="5E1CBDF8">
            <w:pPr>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项目生活垃圾应分类收集，避雨堆放，定期委托环卫部门清运处理。</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废油脂</w:t>
            </w:r>
            <w:r>
              <w:rPr>
                <w:rFonts w:hint="eastAsia" w:ascii="Times New Roman" w:hAnsi="Times New Roman" w:eastAsia="宋体" w:cs="Times New Roman"/>
                <w:color w:val="000000" w:themeColor="text1"/>
                <w:kern w:val="24"/>
                <w:sz w:val="24"/>
                <w:szCs w:val="24"/>
                <w:highlight w:val="none"/>
                <w:lang w:eastAsia="zh-CN"/>
                <w14:textFill>
                  <w14:solidFill>
                    <w14:schemeClr w14:val="tx1"/>
                  </w14:solidFill>
                </w14:textFill>
              </w:rPr>
              <w:t>交专业单位进行回收处置。</w:t>
            </w:r>
          </w:p>
          <w:p w14:paraId="15501C51">
            <w:pPr>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（2）一般固体废物处理措施</w:t>
            </w:r>
          </w:p>
          <w:p w14:paraId="2D8726D8">
            <w:pPr>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项目一般固体废物</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暂存于</w:t>
            </w:r>
            <w:r>
              <w:rPr>
                <w:rFonts w:hint="default" w:ascii="Times New Roman" w:hAnsi="Times New Roman" w:eastAsia="宋体" w:cs="Times New Roman"/>
                <w:color w:val="000000" w:themeColor="text1"/>
                <w:sz w:val="24"/>
                <w:szCs w:val="24"/>
                <w:highlight w:val="none"/>
                <w14:textFill>
                  <w14:solidFill>
                    <w14:schemeClr w14:val="tx1"/>
                  </w14:solidFill>
                </w14:textFill>
              </w:rPr>
              <w:t>固废暂存场所，厂内一般固废临时贮存应注意：</w:t>
            </w:r>
          </w:p>
          <w:p w14:paraId="41408412">
            <w:pPr>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①对一般固体废物实行从产生、收集、运输、贮存直至最终处理实行全过程管理，加强固体废物运输过程的事故风险防范，按照有关</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法律法规</w:t>
            </w:r>
            <w:r>
              <w:rPr>
                <w:rFonts w:hint="default" w:ascii="Times New Roman" w:hAnsi="Times New Roman" w:eastAsia="宋体" w:cs="Times New Roman"/>
                <w:color w:val="000000" w:themeColor="text1"/>
                <w:sz w:val="24"/>
                <w:szCs w:val="24"/>
                <w:highlight w:val="none"/>
                <w14:textFill>
                  <w14:solidFill>
                    <w14:schemeClr w14:val="tx1"/>
                  </w14:solidFill>
                </w14:textFill>
              </w:rPr>
              <w:t>的要求，对固体废弃物全过程管理应报当地环保行政主管部门等批准。</w:t>
            </w:r>
          </w:p>
          <w:p w14:paraId="0856ABC3">
            <w:pPr>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②一般固废暂存场所的建设应满足：贮存区采取防风防雨措施；各类固废应分类收集、定点堆放，堆放场所远离办公区和周围环境敏感点；贮存区按照《环境保护图形标志——固体废物贮存（处置）场》（GB15562.2）的要求设置环保图形标志；指定专人进行日常管理；同时禁止危险废物及生活垃圾混入。</w:t>
            </w:r>
          </w:p>
          <w:p w14:paraId="27DE8A10">
            <w:pPr>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（3）危险废物防治措施</w:t>
            </w:r>
          </w:p>
          <w:p w14:paraId="26BB495B">
            <w:pPr>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1）危险废物收集要求</w:t>
            </w:r>
          </w:p>
          <w:p w14:paraId="10AE75CF">
            <w:pPr>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①性质类似的废物可收集到同一容器中、性质不相容的危险废物不应混合包装；</w:t>
            </w:r>
          </w:p>
          <w:p w14:paraId="44A9C270">
            <w:pPr>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②危险废物包装应能有效隔断危险废物迁移扩散途径，并达到防渗、防漏要求；</w:t>
            </w:r>
          </w:p>
          <w:p w14:paraId="5745DE32">
            <w:pPr>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③在危险废物的收集和转运过程中，应采取相应的安全防护和污染防治措施，包括防风、防雨、防晒、防渗漏或其他防止污染环境的措施；</w:t>
            </w:r>
          </w:p>
          <w:p w14:paraId="36510FF1">
            <w:pPr>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④危险废物内部转运应考虑厂区的实际情况确定转运路线，尽量避开办公区和生活区；</w:t>
            </w:r>
          </w:p>
          <w:p w14:paraId="2A185DD2">
            <w:pPr>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⑤危险废物内部转运结束后，应对转运路线进行检查和清理，确保无危险废物遗失在转运路线上，并对转运工具进行清洗；</w:t>
            </w:r>
          </w:p>
          <w:p w14:paraId="6F81D4E9">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⑥收集过危险废物的容器、设备、设施、场所及其他物品转作他用时，应消除污染，确保其使用安全。</w:t>
            </w:r>
            <w:r>
              <w:rPr>
                <w:rFonts w:hint="eastAsia" w:cs="Times New Roman"/>
                <w:color w:val="000000" w:themeColor="text1"/>
                <w:sz w:val="24"/>
                <w:szCs w:val="24"/>
                <w:highlight w:val="none"/>
                <w:lang w:val="en-US" w:eastAsia="zh-CN"/>
                <w14:textFill>
                  <w14:solidFill>
                    <w14:schemeClr w14:val="tx1"/>
                  </w14:solidFill>
                </w14:textFill>
              </w:rPr>
              <w:t xml:space="preserve">  </w:t>
            </w:r>
          </w:p>
          <w:p w14:paraId="4D0D077A">
            <w:pPr>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2）危险废物贮存要求</w:t>
            </w:r>
          </w:p>
          <w:p w14:paraId="19FFE35B">
            <w:pPr>
              <w:spacing w:line="360" w:lineRule="auto"/>
              <w:ind w:firstLine="480" w:firstLineChars="200"/>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危险废物贮存设施应严格按照《危险废物贮存污染控制标准》（GB18597-2023）相关要求进行设计：贮存设施应根据危险废物的形态、物理化学性质、包装形式和污染物迁移途径，采取必要的防风、防晒、防雨、防漏、防渗、防腐以及其他环境污染防治措施，不应露天堆放危险废物；贮存设施应根据危险废物的类别、数量、形态、物理化学性质和污染防治等要求设置必要的贮存分区，避免不相容的危险废物接触、混合；贮存设施或贮存分区内地面、墙面裙脚、堵截泄漏的围堰、接触危险废物的隔板和墙体等应采用坚固的材料建造，表面无裂缝；贮存设施地面与裙脚应采取表面防渗措施；表面防渗材料应与所接触的物料或污染物相容，可采用抗渗混凝土、高密度聚乙烯膜、钠基膨润土防水毯或其他防渗性能等效的材料；同一贮存设施宜采用相同的防渗、防腐工艺（包括防渗、防腐结构或材料），防渗、防腐材料应覆盖所有可能与废物及其渗滤液、渗漏液等接触的构筑物表面，采用不同防渗、防腐工艺应分别建设贮存分区；贮存设施应采取技术和管理措施防止无关人员进入。</w:t>
            </w:r>
            <w:r>
              <w:rPr>
                <w:rFonts w:hint="eastAsia" w:cs="Times New Roman"/>
                <w:color w:val="000000" w:themeColor="text1"/>
                <w:sz w:val="24"/>
                <w:szCs w:val="24"/>
                <w:highlight w:val="none"/>
                <w:lang w:val="en-US" w:eastAsia="zh-CN"/>
                <w14:textFill>
                  <w14:solidFill>
                    <w14:schemeClr w14:val="tx1"/>
                  </w14:solidFill>
                </w14:textFill>
              </w:rPr>
              <w:t>危险废物</w:t>
            </w:r>
            <w:r>
              <w:rPr>
                <w:rFonts w:hint="default" w:ascii="Times New Roman" w:hAnsi="Times New Roman" w:eastAsia="宋体" w:cs="Times New Roman"/>
                <w:color w:val="000000" w:themeColor="text1"/>
                <w:sz w:val="24"/>
                <w:szCs w:val="24"/>
                <w:highlight w:val="none"/>
                <w14:textFill>
                  <w14:solidFill>
                    <w14:schemeClr w14:val="tx1"/>
                  </w14:solidFill>
                </w14:textFill>
              </w:rPr>
              <w:t>密闭存贮、负压通风、定期清运</w:t>
            </w:r>
            <w:r>
              <w:rPr>
                <w:rFonts w:hint="eastAsia" w:cs="Times New Roman"/>
                <w:color w:val="000000" w:themeColor="text1"/>
                <w:sz w:val="24"/>
                <w:szCs w:val="24"/>
                <w:highlight w:val="none"/>
                <w:lang w:eastAsia="zh-CN"/>
                <w14:textFill>
                  <w14:solidFill>
                    <w14:schemeClr w14:val="tx1"/>
                  </w14:solidFill>
                </w14:textFill>
              </w:rPr>
              <w:t>。</w:t>
            </w:r>
          </w:p>
          <w:p w14:paraId="54D0D291">
            <w:pPr>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项目危险废物的暂存场所设置情况如下表。</w:t>
            </w:r>
          </w:p>
          <w:p w14:paraId="78BBDEA5">
            <w:pPr>
              <w:keepNext/>
              <w:keepLines/>
              <w:numPr>
                <w:ilvl w:val="0"/>
                <w:numId w:val="0"/>
              </w:numPr>
              <w:suppressLineNumbers w:val="0"/>
              <w:tabs>
                <w:tab w:val="left" w:pos="0"/>
              </w:tabs>
              <w:spacing w:before="0" w:beforeAutospacing="0" w:after="0" w:afterAutospacing="0"/>
              <w:ind w:left="0" w:leftChars="0" w:right="0" w:rightChars="0" w:firstLine="40" w:firstLineChars="0"/>
              <w:jc w:val="center"/>
              <w:outlineLvl w:val="3"/>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w:t>
            </w:r>
            <w:r>
              <w:rPr>
                <w:rFonts w:hint="eastAsia" w:cs="Times New Roman"/>
                <w:b/>
                <w:bCs/>
                <w:color w:val="000000" w:themeColor="text1"/>
                <w:kern w:val="2"/>
                <w:sz w:val="21"/>
                <w:szCs w:val="21"/>
                <w:lang w:val="en-US" w:eastAsia="zh-CN" w:bidi="ar-SA"/>
                <w14:textFill>
                  <w14:solidFill>
                    <w14:schemeClr w14:val="tx1"/>
                  </w14:solidFill>
                </w14:textFill>
              </w:rPr>
              <w:t xml:space="preserve">39 </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危险废物贮存场所基本情况表</w:t>
            </w:r>
          </w:p>
          <w:tbl>
            <w:tblPr>
              <w:tblStyle w:val="44"/>
              <w:tblW w:w="842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0" w:type="dxa"/>
                <w:bottom w:w="0" w:type="dxa"/>
                <w:right w:w="0" w:type="dxa"/>
              </w:tblCellMar>
            </w:tblPr>
            <w:tblGrid>
              <w:gridCol w:w="362"/>
              <w:gridCol w:w="1212"/>
              <w:gridCol w:w="1932"/>
              <w:gridCol w:w="780"/>
              <w:gridCol w:w="1087"/>
              <w:gridCol w:w="571"/>
              <w:gridCol w:w="652"/>
              <w:gridCol w:w="665"/>
              <w:gridCol w:w="653"/>
              <w:gridCol w:w="512"/>
            </w:tblGrid>
            <w:tr w14:paraId="5555EF3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369" w:hRule="atLeast"/>
                <w:jc w:val="center"/>
              </w:trPr>
              <w:tc>
                <w:tcPr>
                  <w:tcW w:w="362" w:type="dxa"/>
                  <w:tcBorders>
                    <w:tl2br w:val="nil"/>
                    <w:tr2bl w:val="nil"/>
                  </w:tcBorders>
                  <w:noWrap w:val="0"/>
                  <w:vAlign w:val="center"/>
                </w:tcPr>
                <w:p w14:paraId="5429EECA">
                  <w:pPr>
                    <w:widowControl/>
                    <w:spacing w:line="240" w:lineRule="auto"/>
                    <w:jc w:val="center"/>
                    <w:textAlignment w:val="cente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t>序号</w:t>
                  </w:r>
                </w:p>
              </w:tc>
              <w:tc>
                <w:tcPr>
                  <w:tcW w:w="1212" w:type="dxa"/>
                  <w:tcBorders>
                    <w:tl2br w:val="nil"/>
                    <w:tr2bl w:val="nil"/>
                  </w:tcBorders>
                  <w:noWrap w:val="0"/>
                  <w:vAlign w:val="center"/>
                </w:tcPr>
                <w:p w14:paraId="0A21A122">
                  <w:pPr>
                    <w:widowControl/>
                    <w:spacing w:line="240" w:lineRule="auto"/>
                    <w:jc w:val="center"/>
                    <w:textAlignment w:val="cente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t>贮存场所（设施）名称</w:t>
                  </w:r>
                </w:p>
              </w:tc>
              <w:tc>
                <w:tcPr>
                  <w:tcW w:w="1932" w:type="dxa"/>
                  <w:tcBorders>
                    <w:tl2br w:val="nil"/>
                    <w:tr2bl w:val="nil"/>
                  </w:tcBorders>
                  <w:noWrap w:val="0"/>
                  <w:vAlign w:val="center"/>
                </w:tcPr>
                <w:p w14:paraId="140257CF">
                  <w:pPr>
                    <w:widowControl/>
                    <w:spacing w:line="240" w:lineRule="auto"/>
                    <w:jc w:val="center"/>
                    <w:textAlignment w:val="cente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t>危险废物名称</w:t>
                  </w:r>
                </w:p>
              </w:tc>
              <w:tc>
                <w:tcPr>
                  <w:tcW w:w="780" w:type="dxa"/>
                  <w:tcBorders>
                    <w:tl2br w:val="nil"/>
                    <w:tr2bl w:val="nil"/>
                  </w:tcBorders>
                  <w:noWrap w:val="0"/>
                  <w:vAlign w:val="center"/>
                </w:tcPr>
                <w:p w14:paraId="6FCE655B">
                  <w:pPr>
                    <w:widowControl/>
                    <w:spacing w:line="240" w:lineRule="auto"/>
                    <w:jc w:val="center"/>
                    <w:textAlignment w:val="cente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t>危险废物类别</w:t>
                  </w:r>
                </w:p>
              </w:tc>
              <w:tc>
                <w:tcPr>
                  <w:tcW w:w="1087" w:type="dxa"/>
                  <w:tcBorders>
                    <w:tl2br w:val="nil"/>
                    <w:tr2bl w:val="nil"/>
                  </w:tcBorders>
                  <w:noWrap w:val="0"/>
                  <w:vAlign w:val="center"/>
                </w:tcPr>
                <w:p w14:paraId="1902C283">
                  <w:pPr>
                    <w:widowControl/>
                    <w:spacing w:line="240" w:lineRule="auto"/>
                    <w:jc w:val="center"/>
                    <w:textAlignment w:val="cente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t>危险废物代码</w:t>
                  </w:r>
                </w:p>
              </w:tc>
              <w:tc>
                <w:tcPr>
                  <w:tcW w:w="571" w:type="dxa"/>
                  <w:tcBorders>
                    <w:tl2br w:val="nil"/>
                    <w:tr2bl w:val="nil"/>
                  </w:tcBorders>
                  <w:noWrap w:val="0"/>
                  <w:vAlign w:val="center"/>
                </w:tcPr>
                <w:p w14:paraId="000B0C1C">
                  <w:pPr>
                    <w:widowControl/>
                    <w:spacing w:line="240" w:lineRule="auto"/>
                    <w:jc w:val="center"/>
                    <w:textAlignment w:val="cente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t>位置</w:t>
                  </w:r>
                </w:p>
              </w:tc>
              <w:tc>
                <w:tcPr>
                  <w:tcW w:w="652" w:type="dxa"/>
                  <w:tcBorders>
                    <w:tl2br w:val="nil"/>
                    <w:tr2bl w:val="nil"/>
                  </w:tcBorders>
                  <w:noWrap w:val="0"/>
                  <w:vAlign w:val="center"/>
                </w:tcPr>
                <w:p w14:paraId="4DA34DC1">
                  <w:pPr>
                    <w:widowControl/>
                    <w:spacing w:line="240" w:lineRule="auto"/>
                    <w:jc w:val="center"/>
                    <w:textAlignment w:val="cente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t>占地面积</w:t>
                  </w:r>
                </w:p>
              </w:tc>
              <w:tc>
                <w:tcPr>
                  <w:tcW w:w="665" w:type="dxa"/>
                  <w:tcBorders>
                    <w:tl2br w:val="nil"/>
                    <w:tr2bl w:val="nil"/>
                  </w:tcBorders>
                  <w:noWrap w:val="0"/>
                  <w:vAlign w:val="center"/>
                </w:tcPr>
                <w:p w14:paraId="260F6621">
                  <w:pPr>
                    <w:widowControl/>
                    <w:spacing w:line="240" w:lineRule="auto"/>
                    <w:jc w:val="center"/>
                    <w:textAlignment w:val="cente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t>贮存方式</w:t>
                  </w:r>
                </w:p>
              </w:tc>
              <w:tc>
                <w:tcPr>
                  <w:tcW w:w="653" w:type="dxa"/>
                  <w:tcBorders>
                    <w:tl2br w:val="nil"/>
                    <w:tr2bl w:val="nil"/>
                  </w:tcBorders>
                  <w:noWrap w:val="0"/>
                  <w:vAlign w:val="center"/>
                </w:tcPr>
                <w:p w14:paraId="1EE551D5">
                  <w:pPr>
                    <w:widowControl/>
                    <w:spacing w:line="240" w:lineRule="auto"/>
                    <w:jc w:val="center"/>
                    <w:textAlignment w:val="cente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t>贮存能力</w:t>
                  </w:r>
                </w:p>
              </w:tc>
              <w:tc>
                <w:tcPr>
                  <w:tcW w:w="512" w:type="dxa"/>
                  <w:tcBorders>
                    <w:tl2br w:val="nil"/>
                    <w:tr2bl w:val="nil"/>
                  </w:tcBorders>
                  <w:noWrap w:val="0"/>
                  <w:vAlign w:val="center"/>
                </w:tcPr>
                <w:p w14:paraId="14E9842D">
                  <w:pPr>
                    <w:widowControl/>
                    <w:spacing w:line="240" w:lineRule="auto"/>
                    <w:jc w:val="center"/>
                    <w:textAlignment w:val="cente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t>贮存周期</w:t>
                  </w:r>
                </w:p>
              </w:tc>
            </w:tr>
            <w:tr w14:paraId="0C6343E4">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369" w:hRule="atLeast"/>
                <w:jc w:val="center"/>
              </w:trPr>
              <w:tc>
                <w:tcPr>
                  <w:tcW w:w="362" w:type="dxa"/>
                  <w:tcBorders>
                    <w:tl2br w:val="nil"/>
                    <w:tr2bl w:val="nil"/>
                  </w:tcBorders>
                  <w:noWrap w:val="0"/>
                  <w:vAlign w:val="center"/>
                </w:tcPr>
                <w:p w14:paraId="46C6D9F2">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1</w:t>
                  </w:r>
                </w:p>
              </w:tc>
              <w:tc>
                <w:tcPr>
                  <w:tcW w:w="1212" w:type="dxa"/>
                  <w:vMerge w:val="restart"/>
                  <w:tcBorders>
                    <w:tl2br w:val="nil"/>
                    <w:tr2bl w:val="nil"/>
                  </w:tcBorders>
                  <w:noWrap w:val="0"/>
                  <w:vAlign w:val="center"/>
                </w:tcPr>
                <w:p w14:paraId="084AB766">
                  <w:pPr>
                    <w:widowControl/>
                    <w:spacing w:line="240" w:lineRule="auto"/>
                    <w:jc w:val="center"/>
                    <w:textAlignment w:val="center"/>
                    <w:rPr>
                      <w:rFonts w:hint="eastAsia" w:ascii="Times New Roman" w:hAnsi="Times New Roman" w:eastAsia="宋体" w:cs="Times New Roman"/>
                      <w:color w:val="000000" w:themeColor="text1"/>
                      <w:kern w:val="0"/>
                      <w:sz w:val="21"/>
                      <w:szCs w:val="21"/>
                      <w:highlight w:val="none"/>
                      <w:lang w:eastAsia="zh-CN" w:bidi="ar"/>
                      <w14:textFill>
                        <w14:solidFill>
                          <w14:schemeClr w14:val="tx1"/>
                        </w14:solidFill>
                      </w14:textFill>
                    </w:rPr>
                  </w:pPr>
                  <w:r>
                    <w:rPr>
                      <w:rFonts w:hint="eastAsia" w:cs="Times New Roman"/>
                      <w:color w:val="000000" w:themeColor="text1"/>
                      <w:kern w:val="0"/>
                      <w:sz w:val="21"/>
                      <w:szCs w:val="21"/>
                      <w:highlight w:val="none"/>
                      <w:lang w:eastAsia="zh-CN" w:bidi="ar"/>
                      <w14:textFill>
                        <w14:solidFill>
                          <w14:schemeClr w14:val="tx1"/>
                        </w14:solidFill>
                      </w14:textFill>
                    </w:rPr>
                    <w:t>危险废物贮存间</w:t>
                  </w:r>
                </w:p>
              </w:tc>
              <w:tc>
                <w:tcPr>
                  <w:tcW w:w="1932" w:type="dxa"/>
                  <w:tcBorders>
                    <w:bottom w:val="single" w:color="auto" w:sz="4" w:space="0"/>
                    <w:tl2br w:val="nil"/>
                    <w:tr2bl w:val="nil"/>
                  </w:tcBorders>
                  <w:noWrap w:val="0"/>
                  <w:vAlign w:val="center"/>
                </w:tcPr>
                <w:p w14:paraId="1E8724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废表面处理剂包装桶</w:t>
                  </w:r>
                </w:p>
              </w:tc>
              <w:tc>
                <w:tcPr>
                  <w:tcW w:w="780" w:type="dxa"/>
                  <w:tcBorders>
                    <w:bottom w:val="single" w:color="auto" w:sz="4" w:space="0"/>
                    <w:tl2br w:val="nil"/>
                    <w:tr2bl w:val="nil"/>
                  </w:tcBorders>
                  <w:noWrap w:val="0"/>
                  <w:vAlign w:val="center"/>
                </w:tcPr>
                <w:p w14:paraId="4F6DFFFE">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HW49</w:t>
                  </w:r>
                </w:p>
              </w:tc>
              <w:tc>
                <w:tcPr>
                  <w:tcW w:w="1087" w:type="dxa"/>
                  <w:tcBorders>
                    <w:bottom w:val="single" w:color="auto" w:sz="4" w:space="0"/>
                    <w:tl2br w:val="nil"/>
                    <w:tr2bl w:val="nil"/>
                  </w:tcBorders>
                  <w:noWrap w:val="0"/>
                  <w:vAlign w:val="center"/>
                </w:tcPr>
                <w:p w14:paraId="4FFFF89A">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900-041-49</w:t>
                  </w:r>
                </w:p>
              </w:tc>
              <w:tc>
                <w:tcPr>
                  <w:tcW w:w="571" w:type="dxa"/>
                  <w:vMerge w:val="restart"/>
                  <w:tcBorders>
                    <w:tl2br w:val="nil"/>
                    <w:tr2bl w:val="nil"/>
                  </w:tcBorders>
                  <w:noWrap w:val="0"/>
                  <w:vAlign w:val="center"/>
                </w:tcPr>
                <w:p w14:paraId="27B425E4">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5</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#厂房</w:t>
                  </w:r>
                  <w:r>
                    <w:rPr>
                      <w:rFonts w:hint="eastAsia" w:cs="Times New Roman"/>
                      <w:color w:val="000000" w:themeColor="text1"/>
                      <w:kern w:val="0"/>
                      <w:sz w:val="21"/>
                      <w:szCs w:val="21"/>
                      <w:highlight w:val="none"/>
                      <w:lang w:val="en-US" w:eastAsia="zh-CN" w:bidi="ar"/>
                      <w14:textFill>
                        <w14:solidFill>
                          <w14:schemeClr w14:val="tx1"/>
                        </w14:solidFill>
                      </w14:textFill>
                    </w:rPr>
                    <w:t>东</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北侧</w:t>
                  </w:r>
                </w:p>
              </w:tc>
              <w:tc>
                <w:tcPr>
                  <w:tcW w:w="652" w:type="dxa"/>
                  <w:vMerge w:val="restart"/>
                  <w:tcBorders>
                    <w:tl2br w:val="nil"/>
                    <w:tr2bl w:val="nil"/>
                  </w:tcBorders>
                  <w:noWrap w:val="0"/>
                  <w:vAlign w:val="center"/>
                </w:tcPr>
                <w:p w14:paraId="0FAE59FA">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5</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0</w:t>
                  </w: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m</w:t>
                  </w:r>
                  <w:r>
                    <w:rPr>
                      <w:rFonts w:hint="default" w:ascii="Times New Roman" w:hAnsi="Times New Roman" w:eastAsia="宋体" w:cs="Times New Roman"/>
                      <w:color w:val="000000" w:themeColor="text1"/>
                      <w:kern w:val="0"/>
                      <w:sz w:val="21"/>
                      <w:szCs w:val="21"/>
                      <w:highlight w:val="none"/>
                      <w:vertAlign w:val="superscript"/>
                      <w:lang w:bidi="ar"/>
                      <w14:textFill>
                        <w14:solidFill>
                          <w14:schemeClr w14:val="tx1"/>
                        </w14:solidFill>
                      </w14:textFill>
                    </w:rPr>
                    <w:t>2</w:t>
                  </w:r>
                  <w:r>
                    <w:rPr>
                      <w:rFonts w:hint="eastAsia" w:cs="Times New Roman"/>
                      <w:color w:val="000000" w:themeColor="text1"/>
                      <w:kern w:val="0"/>
                      <w:sz w:val="21"/>
                      <w:szCs w:val="21"/>
                      <w:highlight w:val="none"/>
                      <w:vertAlign w:val="baseline"/>
                      <w:lang w:eastAsia="zh-CN" w:bidi="ar"/>
                      <w14:textFill>
                        <w14:solidFill>
                          <w14:schemeClr w14:val="tx1"/>
                        </w14:solidFill>
                      </w14:textFill>
                    </w:rPr>
                    <w:t>，</w:t>
                  </w:r>
                  <w:r>
                    <w:rPr>
                      <w:rFonts w:hint="eastAsia" w:cs="Times New Roman"/>
                      <w:color w:val="000000" w:themeColor="text1"/>
                      <w:kern w:val="0"/>
                      <w:sz w:val="21"/>
                      <w:szCs w:val="21"/>
                      <w:highlight w:val="none"/>
                      <w:vertAlign w:val="baseline"/>
                      <w:lang w:val="en-US" w:eastAsia="zh-CN" w:bidi="ar"/>
                      <w14:textFill>
                        <w14:solidFill>
                          <w14:schemeClr w14:val="tx1"/>
                        </w14:solidFill>
                      </w14:textFill>
                    </w:rPr>
                    <w:t>贮存能力45t</w:t>
                  </w:r>
                </w:p>
              </w:tc>
              <w:tc>
                <w:tcPr>
                  <w:tcW w:w="665" w:type="dxa"/>
                  <w:tcBorders>
                    <w:tl2br w:val="nil"/>
                    <w:tr2bl w:val="nil"/>
                  </w:tcBorders>
                  <w:noWrap w:val="0"/>
                  <w:vAlign w:val="center"/>
                </w:tcPr>
                <w:p w14:paraId="51DDCB7A">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堆存</w:t>
                  </w:r>
                </w:p>
              </w:tc>
              <w:tc>
                <w:tcPr>
                  <w:tcW w:w="653" w:type="dxa"/>
                  <w:tcBorders>
                    <w:tl2br w:val="nil"/>
                    <w:tr2bl w:val="nil"/>
                  </w:tcBorders>
                  <w:noWrap w:val="0"/>
                  <w:vAlign w:val="center"/>
                </w:tcPr>
                <w:p w14:paraId="6A801FC1">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t</w:t>
                  </w:r>
                </w:p>
              </w:tc>
              <w:tc>
                <w:tcPr>
                  <w:tcW w:w="512" w:type="dxa"/>
                  <w:tcBorders>
                    <w:tl2br w:val="nil"/>
                    <w:tr2bl w:val="nil"/>
                  </w:tcBorders>
                  <w:noWrap w:val="0"/>
                  <w:vAlign w:val="center"/>
                </w:tcPr>
                <w:p w14:paraId="76BA2CB7">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1年</w:t>
                  </w:r>
                </w:p>
              </w:tc>
            </w:tr>
            <w:tr w14:paraId="71C5688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369" w:hRule="atLeast"/>
                <w:jc w:val="center"/>
              </w:trPr>
              <w:tc>
                <w:tcPr>
                  <w:tcW w:w="362" w:type="dxa"/>
                  <w:tcBorders>
                    <w:tl2br w:val="nil"/>
                    <w:tr2bl w:val="nil"/>
                  </w:tcBorders>
                  <w:noWrap w:val="0"/>
                  <w:vAlign w:val="center"/>
                </w:tcPr>
                <w:p w14:paraId="61C89A99">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2</w:t>
                  </w:r>
                </w:p>
              </w:tc>
              <w:tc>
                <w:tcPr>
                  <w:tcW w:w="1212" w:type="dxa"/>
                  <w:vMerge w:val="continue"/>
                  <w:tcBorders>
                    <w:tl2br w:val="nil"/>
                    <w:tr2bl w:val="nil"/>
                  </w:tcBorders>
                  <w:noWrap w:val="0"/>
                  <w:vAlign w:val="center"/>
                </w:tcPr>
                <w:p w14:paraId="56484040">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1932" w:type="dxa"/>
                  <w:tcBorders>
                    <w:bottom w:val="single" w:color="auto" w:sz="4" w:space="0"/>
                    <w:tl2br w:val="nil"/>
                    <w:tr2bl w:val="nil"/>
                  </w:tcBorders>
                  <w:noWrap w:val="0"/>
                  <w:vAlign w:val="center"/>
                </w:tcPr>
                <w:p w14:paraId="1B3C89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预处理池泥渣及管道循环装置废物</w:t>
                  </w:r>
                </w:p>
              </w:tc>
              <w:tc>
                <w:tcPr>
                  <w:tcW w:w="780" w:type="dxa"/>
                  <w:tcBorders>
                    <w:top w:val="single" w:color="auto" w:sz="4" w:space="0"/>
                    <w:bottom w:val="single" w:color="auto" w:sz="4" w:space="0"/>
                    <w:tl2br w:val="nil"/>
                    <w:tr2bl w:val="nil"/>
                  </w:tcBorders>
                  <w:noWrap w:val="0"/>
                  <w:vAlign w:val="center"/>
                </w:tcPr>
                <w:p w14:paraId="5F769328">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HW17</w:t>
                  </w:r>
                </w:p>
              </w:tc>
              <w:tc>
                <w:tcPr>
                  <w:tcW w:w="1087" w:type="dxa"/>
                  <w:tcBorders>
                    <w:top w:val="single" w:color="auto" w:sz="4" w:space="0"/>
                    <w:tl2br w:val="nil"/>
                    <w:tr2bl w:val="nil"/>
                  </w:tcBorders>
                  <w:noWrap w:val="0"/>
                  <w:vAlign w:val="center"/>
                </w:tcPr>
                <w:p w14:paraId="2FEF642C">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336-064-17</w:t>
                  </w:r>
                </w:p>
              </w:tc>
              <w:tc>
                <w:tcPr>
                  <w:tcW w:w="571" w:type="dxa"/>
                  <w:vMerge w:val="continue"/>
                  <w:tcBorders>
                    <w:tl2br w:val="nil"/>
                    <w:tr2bl w:val="nil"/>
                  </w:tcBorders>
                  <w:noWrap w:val="0"/>
                  <w:vAlign w:val="center"/>
                </w:tcPr>
                <w:p w14:paraId="17F88110">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652" w:type="dxa"/>
                  <w:vMerge w:val="continue"/>
                  <w:tcBorders>
                    <w:tl2br w:val="nil"/>
                    <w:tr2bl w:val="nil"/>
                  </w:tcBorders>
                  <w:noWrap w:val="0"/>
                  <w:vAlign w:val="center"/>
                </w:tcPr>
                <w:p w14:paraId="385E9CCB">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665" w:type="dxa"/>
                  <w:tcBorders>
                    <w:tl2br w:val="nil"/>
                    <w:tr2bl w:val="nil"/>
                  </w:tcBorders>
                  <w:noWrap w:val="0"/>
                  <w:vAlign w:val="center"/>
                </w:tcPr>
                <w:p w14:paraId="59B2C343">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桶装</w:t>
                  </w:r>
                </w:p>
              </w:tc>
              <w:tc>
                <w:tcPr>
                  <w:tcW w:w="653" w:type="dxa"/>
                  <w:tcBorders>
                    <w:tl2br w:val="nil"/>
                    <w:tr2bl w:val="nil"/>
                  </w:tcBorders>
                  <w:noWrap w:val="0"/>
                  <w:vAlign w:val="center"/>
                </w:tcPr>
                <w:p w14:paraId="4EE85D91">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2</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t</w:t>
                  </w:r>
                </w:p>
              </w:tc>
              <w:tc>
                <w:tcPr>
                  <w:tcW w:w="512" w:type="dxa"/>
                  <w:tcBorders>
                    <w:tl2br w:val="nil"/>
                    <w:tr2bl w:val="nil"/>
                  </w:tcBorders>
                  <w:noWrap w:val="0"/>
                  <w:vAlign w:val="center"/>
                </w:tcPr>
                <w:p w14:paraId="6E12479D">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1年</w:t>
                  </w:r>
                </w:p>
              </w:tc>
            </w:tr>
            <w:tr w14:paraId="269B7917">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369" w:hRule="atLeast"/>
                <w:jc w:val="center"/>
              </w:trPr>
              <w:tc>
                <w:tcPr>
                  <w:tcW w:w="362" w:type="dxa"/>
                  <w:tcBorders>
                    <w:tl2br w:val="nil"/>
                    <w:tr2bl w:val="nil"/>
                  </w:tcBorders>
                  <w:noWrap w:val="0"/>
                  <w:vAlign w:val="center"/>
                </w:tcPr>
                <w:p w14:paraId="16BE3AC6">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3</w:t>
                  </w:r>
                </w:p>
              </w:tc>
              <w:tc>
                <w:tcPr>
                  <w:tcW w:w="1212" w:type="dxa"/>
                  <w:vMerge w:val="continue"/>
                  <w:tcBorders>
                    <w:tl2br w:val="nil"/>
                    <w:tr2bl w:val="nil"/>
                  </w:tcBorders>
                  <w:noWrap w:val="0"/>
                  <w:vAlign w:val="center"/>
                </w:tcPr>
                <w:p w14:paraId="74D71D6B">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1932" w:type="dxa"/>
                  <w:tcBorders>
                    <w:top w:val="single" w:color="auto" w:sz="4" w:space="0"/>
                    <w:tl2br w:val="nil"/>
                    <w:tr2bl w:val="nil"/>
                  </w:tcBorders>
                  <w:noWrap w:val="0"/>
                  <w:vAlign w:val="center"/>
                </w:tcPr>
                <w:p w14:paraId="6D742F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无铬钝化池废槽液</w:t>
                  </w:r>
                </w:p>
              </w:tc>
              <w:tc>
                <w:tcPr>
                  <w:tcW w:w="780" w:type="dxa"/>
                  <w:tcBorders>
                    <w:top w:val="single" w:color="auto" w:sz="4" w:space="0"/>
                    <w:bottom w:val="single" w:color="auto" w:sz="4" w:space="0"/>
                    <w:tl2br w:val="nil"/>
                    <w:tr2bl w:val="nil"/>
                  </w:tcBorders>
                  <w:noWrap w:val="0"/>
                  <w:vAlign w:val="center"/>
                </w:tcPr>
                <w:p w14:paraId="1A4F874F">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HW17</w:t>
                  </w:r>
                </w:p>
              </w:tc>
              <w:tc>
                <w:tcPr>
                  <w:tcW w:w="1087" w:type="dxa"/>
                  <w:tcBorders>
                    <w:bottom w:val="single" w:color="auto" w:sz="4" w:space="0"/>
                    <w:tl2br w:val="nil"/>
                    <w:tr2bl w:val="nil"/>
                  </w:tcBorders>
                  <w:noWrap w:val="0"/>
                  <w:vAlign w:val="center"/>
                </w:tcPr>
                <w:p w14:paraId="4E57E677">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336-064-17</w:t>
                  </w:r>
                </w:p>
              </w:tc>
              <w:tc>
                <w:tcPr>
                  <w:tcW w:w="571" w:type="dxa"/>
                  <w:vMerge w:val="continue"/>
                  <w:tcBorders>
                    <w:tl2br w:val="nil"/>
                    <w:tr2bl w:val="nil"/>
                  </w:tcBorders>
                  <w:noWrap w:val="0"/>
                  <w:vAlign w:val="center"/>
                </w:tcPr>
                <w:p w14:paraId="4F7281B3">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52" w:type="dxa"/>
                  <w:vMerge w:val="continue"/>
                  <w:tcBorders>
                    <w:tl2br w:val="nil"/>
                    <w:tr2bl w:val="nil"/>
                  </w:tcBorders>
                  <w:noWrap w:val="0"/>
                  <w:vAlign w:val="center"/>
                </w:tcPr>
                <w:p w14:paraId="7402CF9E">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65" w:type="dxa"/>
                  <w:tcBorders>
                    <w:tl2br w:val="nil"/>
                    <w:tr2bl w:val="nil"/>
                  </w:tcBorders>
                  <w:noWrap w:val="0"/>
                  <w:vAlign w:val="center"/>
                </w:tcPr>
                <w:p w14:paraId="11506E6E">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桶装</w:t>
                  </w:r>
                </w:p>
              </w:tc>
              <w:tc>
                <w:tcPr>
                  <w:tcW w:w="653" w:type="dxa"/>
                  <w:tcBorders>
                    <w:tl2br w:val="nil"/>
                    <w:tr2bl w:val="nil"/>
                  </w:tcBorders>
                  <w:noWrap w:val="0"/>
                  <w:vAlign w:val="center"/>
                </w:tcPr>
                <w:p w14:paraId="57F7DF83">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15</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t</w:t>
                  </w:r>
                </w:p>
              </w:tc>
              <w:tc>
                <w:tcPr>
                  <w:tcW w:w="512" w:type="dxa"/>
                  <w:tcBorders>
                    <w:tl2br w:val="nil"/>
                    <w:tr2bl w:val="nil"/>
                  </w:tcBorders>
                  <w:noWrap w:val="0"/>
                  <w:vAlign w:val="center"/>
                </w:tcPr>
                <w:p w14:paraId="48FDFFAB">
                  <w:pPr>
                    <w:widowControl/>
                    <w:spacing w:line="240" w:lineRule="auto"/>
                    <w:jc w:val="center"/>
                    <w:textAlignment w:val="center"/>
                    <w:rPr>
                      <w:rFonts w:hint="eastAsia" w:ascii="Times New Roman" w:hAnsi="Times New Roman" w:eastAsia="宋体" w:cs="Times New Roman"/>
                      <w:color w:val="000000" w:themeColor="text1"/>
                      <w:kern w:val="0"/>
                      <w:sz w:val="21"/>
                      <w:szCs w:val="21"/>
                      <w:highlight w:val="none"/>
                      <w:lang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半年</w:t>
                  </w:r>
                </w:p>
              </w:tc>
            </w:tr>
            <w:tr w14:paraId="22337F6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369" w:hRule="atLeast"/>
                <w:jc w:val="center"/>
              </w:trPr>
              <w:tc>
                <w:tcPr>
                  <w:tcW w:w="362" w:type="dxa"/>
                  <w:tcBorders>
                    <w:tl2br w:val="nil"/>
                    <w:tr2bl w:val="nil"/>
                  </w:tcBorders>
                  <w:noWrap w:val="0"/>
                  <w:vAlign w:val="center"/>
                </w:tcPr>
                <w:p w14:paraId="69F7EF35">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4</w:t>
                  </w:r>
                </w:p>
              </w:tc>
              <w:tc>
                <w:tcPr>
                  <w:tcW w:w="1212" w:type="dxa"/>
                  <w:vMerge w:val="continue"/>
                  <w:tcBorders>
                    <w:tl2br w:val="nil"/>
                    <w:tr2bl w:val="nil"/>
                  </w:tcBorders>
                  <w:noWrap w:val="0"/>
                  <w:vAlign w:val="center"/>
                </w:tcPr>
                <w:p w14:paraId="24AAAA23">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1932" w:type="dxa"/>
                  <w:tcBorders>
                    <w:tl2br w:val="nil"/>
                    <w:tr2bl w:val="nil"/>
                  </w:tcBorders>
                  <w:noWrap w:val="0"/>
                  <w:vAlign w:val="center"/>
                </w:tcPr>
                <w:p w14:paraId="281594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废水处理站污泥</w:t>
                  </w:r>
                </w:p>
              </w:tc>
              <w:tc>
                <w:tcPr>
                  <w:tcW w:w="780" w:type="dxa"/>
                  <w:tcBorders>
                    <w:top w:val="single" w:color="auto" w:sz="4" w:space="0"/>
                    <w:bottom w:val="single" w:color="auto" w:sz="4" w:space="0"/>
                    <w:tl2br w:val="nil"/>
                    <w:tr2bl w:val="nil"/>
                  </w:tcBorders>
                  <w:noWrap w:val="0"/>
                  <w:vAlign w:val="center"/>
                </w:tcPr>
                <w:p w14:paraId="49345C92">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HW17</w:t>
                  </w:r>
                </w:p>
              </w:tc>
              <w:tc>
                <w:tcPr>
                  <w:tcW w:w="1087" w:type="dxa"/>
                  <w:tcBorders>
                    <w:top w:val="single" w:color="auto" w:sz="4" w:space="0"/>
                    <w:bottom w:val="single" w:color="auto" w:sz="4" w:space="0"/>
                    <w:tl2br w:val="nil"/>
                    <w:tr2bl w:val="nil"/>
                  </w:tcBorders>
                  <w:noWrap w:val="0"/>
                  <w:vAlign w:val="center"/>
                </w:tcPr>
                <w:p w14:paraId="30376AF5">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336-064-17</w:t>
                  </w:r>
                </w:p>
              </w:tc>
              <w:tc>
                <w:tcPr>
                  <w:tcW w:w="571" w:type="dxa"/>
                  <w:vMerge w:val="continue"/>
                  <w:tcBorders>
                    <w:tl2br w:val="nil"/>
                    <w:tr2bl w:val="nil"/>
                  </w:tcBorders>
                  <w:noWrap w:val="0"/>
                  <w:vAlign w:val="center"/>
                </w:tcPr>
                <w:p w14:paraId="4A4EC00C">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52" w:type="dxa"/>
                  <w:vMerge w:val="continue"/>
                  <w:tcBorders>
                    <w:tl2br w:val="nil"/>
                    <w:tr2bl w:val="nil"/>
                  </w:tcBorders>
                  <w:noWrap w:val="0"/>
                  <w:vAlign w:val="center"/>
                </w:tcPr>
                <w:p w14:paraId="2CDDFEC4">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65" w:type="dxa"/>
                  <w:tcBorders>
                    <w:tl2br w:val="nil"/>
                    <w:tr2bl w:val="nil"/>
                  </w:tcBorders>
                  <w:noWrap w:val="0"/>
                  <w:vAlign w:val="center"/>
                </w:tcPr>
                <w:p w14:paraId="3572E789">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袋装</w:t>
                  </w:r>
                </w:p>
              </w:tc>
              <w:tc>
                <w:tcPr>
                  <w:tcW w:w="653" w:type="dxa"/>
                  <w:tcBorders>
                    <w:tl2br w:val="nil"/>
                    <w:tr2bl w:val="nil"/>
                  </w:tcBorders>
                  <w:noWrap w:val="0"/>
                  <w:vAlign w:val="center"/>
                </w:tcPr>
                <w:p w14:paraId="6B6A6F77">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t</w:t>
                  </w:r>
                </w:p>
              </w:tc>
              <w:tc>
                <w:tcPr>
                  <w:tcW w:w="512" w:type="dxa"/>
                  <w:tcBorders>
                    <w:tl2br w:val="nil"/>
                    <w:tr2bl w:val="nil"/>
                  </w:tcBorders>
                  <w:noWrap w:val="0"/>
                  <w:vAlign w:val="center"/>
                </w:tcPr>
                <w:p w14:paraId="1ECEF3D6">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1年</w:t>
                  </w:r>
                </w:p>
              </w:tc>
            </w:tr>
            <w:tr w14:paraId="377972F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369" w:hRule="atLeast"/>
                <w:jc w:val="center"/>
              </w:trPr>
              <w:tc>
                <w:tcPr>
                  <w:tcW w:w="362" w:type="dxa"/>
                  <w:tcBorders>
                    <w:tl2br w:val="nil"/>
                    <w:tr2bl w:val="nil"/>
                  </w:tcBorders>
                  <w:noWrap w:val="0"/>
                  <w:vAlign w:val="center"/>
                </w:tcPr>
                <w:p w14:paraId="3358B526">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5</w:t>
                  </w:r>
                </w:p>
              </w:tc>
              <w:tc>
                <w:tcPr>
                  <w:tcW w:w="1212" w:type="dxa"/>
                  <w:vMerge w:val="continue"/>
                  <w:tcBorders>
                    <w:tl2br w:val="nil"/>
                    <w:tr2bl w:val="nil"/>
                  </w:tcBorders>
                  <w:noWrap w:val="0"/>
                  <w:vAlign w:val="center"/>
                </w:tcPr>
                <w:p w14:paraId="529D3D98">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1932" w:type="dxa"/>
                  <w:tcBorders>
                    <w:bottom w:val="single" w:color="auto" w:sz="4" w:space="0"/>
                    <w:tl2br w:val="nil"/>
                    <w:tr2bl w:val="nil"/>
                  </w:tcBorders>
                  <w:noWrap w:val="0"/>
                  <w:vAlign w:val="center"/>
                </w:tcPr>
                <w:p w14:paraId="394A8E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废pH调整剂包装桶</w:t>
                  </w:r>
                </w:p>
              </w:tc>
              <w:tc>
                <w:tcPr>
                  <w:tcW w:w="780" w:type="dxa"/>
                  <w:tcBorders>
                    <w:top w:val="single" w:color="auto" w:sz="4" w:space="0"/>
                    <w:bottom w:val="single" w:color="auto" w:sz="4" w:space="0"/>
                    <w:tl2br w:val="nil"/>
                    <w:tr2bl w:val="nil"/>
                  </w:tcBorders>
                  <w:noWrap w:val="0"/>
                  <w:vAlign w:val="center"/>
                </w:tcPr>
                <w:p w14:paraId="7820DC13">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HW49</w:t>
                  </w:r>
                </w:p>
              </w:tc>
              <w:tc>
                <w:tcPr>
                  <w:tcW w:w="1087" w:type="dxa"/>
                  <w:tcBorders>
                    <w:top w:val="single" w:color="auto" w:sz="4" w:space="0"/>
                    <w:bottom w:val="single" w:color="auto" w:sz="4" w:space="0"/>
                    <w:tl2br w:val="nil"/>
                    <w:tr2bl w:val="nil"/>
                  </w:tcBorders>
                  <w:noWrap w:val="0"/>
                  <w:vAlign w:val="center"/>
                </w:tcPr>
                <w:p w14:paraId="61597881">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900-041-49</w:t>
                  </w:r>
                </w:p>
              </w:tc>
              <w:tc>
                <w:tcPr>
                  <w:tcW w:w="571" w:type="dxa"/>
                  <w:vMerge w:val="continue"/>
                  <w:tcBorders>
                    <w:tl2br w:val="nil"/>
                    <w:tr2bl w:val="nil"/>
                  </w:tcBorders>
                  <w:noWrap w:val="0"/>
                  <w:vAlign w:val="center"/>
                </w:tcPr>
                <w:p w14:paraId="46767C6F">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52" w:type="dxa"/>
                  <w:vMerge w:val="continue"/>
                  <w:tcBorders>
                    <w:tl2br w:val="nil"/>
                    <w:tr2bl w:val="nil"/>
                  </w:tcBorders>
                  <w:noWrap w:val="0"/>
                  <w:vAlign w:val="center"/>
                </w:tcPr>
                <w:p w14:paraId="66DD09C2">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65" w:type="dxa"/>
                  <w:tcBorders>
                    <w:tl2br w:val="nil"/>
                    <w:tr2bl w:val="nil"/>
                  </w:tcBorders>
                  <w:noWrap w:val="0"/>
                  <w:vAlign w:val="center"/>
                </w:tcPr>
                <w:p w14:paraId="28EAD26C">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堆存</w:t>
                  </w:r>
                </w:p>
              </w:tc>
              <w:tc>
                <w:tcPr>
                  <w:tcW w:w="653" w:type="dxa"/>
                  <w:tcBorders>
                    <w:tl2br w:val="nil"/>
                    <w:tr2bl w:val="nil"/>
                  </w:tcBorders>
                  <w:noWrap w:val="0"/>
                  <w:vAlign w:val="center"/>
                </w:tcPr>
                <w:p w14:paraId="3303DA2E">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0.1</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t</w:t>
                  </w:r>
                </w:p>
              </w:tc>
              <w:tc>
                <w:tcPr>
                  <w:tcW w:w="512" w:type="dxa"/>
                  <w:tcBorders>
                    <w:tl2br w:val="nil"/>
                    <w:tr2bl w:val="nil"/>
                  </w:tcBorders>
                  <w:noWrap w:val="0"/>
                  <w:vAlign w:val="center"/>
                </w:tcPr>
                <w:p w14:paraId="270EF6A7">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1年</w:t>
                  </w:r>
                </w:p>
              </w:tc>
            </w:tr>
            <w:tr w14:paraId="56376C6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369" w:hRule="atLeast"/>
                <w:jc w:val="center"/>
              </w:trPr>
              <w:tc>
                <w:tcPr>
                  <w:tcW w:w="362" w:type="dxa"/>
                  <w:tcBorders>
                    <w:tl2br w:val="nil"/>
                    <w:tr2bl w:val="nil"/>
                  </w:tcBorders>
                  <w:noWrap w:val="0"/>
                  <w:vAlign w:val="center"/>
                </w:tcPr>
                <w:p w14:paraId="0100E9BF">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6</w:t>
                  </w:r>
                </w:p>
              </w:tc>
              <w:tc>
                <w:tcPr>
                  <w:tcW w:w="1212" w:type="dxa"/>
                  <w:vMerge w:val="continue"/>
                  <w:tcBorders>
                    <w:tl2br w:val="nil"/>
                    <w:tr2bl w:val="nil"/>
                  </w:tcBorders>
                  <w:noWrap w:val="0"/>
                  <w:vAlign w:val="center"/>
                </w:tcPr>
                <w:p w14:paraId="363ACA10">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1932" w:type="dxa"/>
                  <w:tcBorders>
                    <w:top w:val="single" w:color="auto" w:sz="4" w:space="0"/>
                    <w:tl2br w:val="nil"/>
                    <w:tr2bl w:val="nil"/>
                  </w:tcBorders>
                  <w:noWrap w:val="0"/>
                  <w:vAlign w:val="center"/>
                </w:tcPr>
                <w:p w14:paraId="3A8849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废机油桶</w:t>
                  </w:r>
                </w:p>
              </w:tc>
              <w:tc>
                <w:tcPr>
                  <w:tcW w:w="780" w:type="dxa"/>
                  <w:tcBorders>
                    <w:top w:val="single" w:color="auto" w:sz="4" w:space="0"/>
                    <w:tl2br w:val="nil"/>
                    <w:tr2bl w:val="nil"/>
                  </w:tcBorders>
                  <w:noWrap w:val="0"/>
                  <w:vAlign w:val="center"/>
                </w:tcPr>
                <w:p w14:paraId="572CE3B4">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HW08</w:t>
                  </w:r>
                </w:p>
              </w:tc>
              <w:tc>
                <w:tcPr>
                  <w:tcW w:w="1087" w:type="dxa"/>
                  <w:tcBorders>
                    <w:top w:val="single" w:color="auto" w:sz="4" w:space="0"/>
                    <w:tl2br w:val="nil"/>
                    <w:tr2bl w:val="nil"/>
                  </w:tcBorders>
                  <w:noWrap w:val="0"/>
                  <w:vAlign w:val="center"/>
                </w:tcPr>
                <w:p w14:paraId="54B5746A">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900-249-08</w:t>
                  </w:r>
                </w:p>
              </w:tc>
              <w:tc>
                <w:tcPr>
                  <w:tcW w:w="571" w:type="dxa"/>
                  <w:vMerge w:val="continue"/>
                  <w:tcBorders>
                    <w:tl2br w:val="nil"/>
                    <w:tr2bl w:val="nil"/>
                  </w:tcBorders>
                  <w:noWrap w:val="0"/>
                  <w:vAlign w:val="center"/>
                </w:tcPr>
                <w:p w14:paraId="3DB4AE29">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52" w:type="dxa"/>
                  <w:vMerge w:val="continue"/>
                  <w:tcBorders>
                    <w:tl2br w:val="nil"/>
                    <w:tr2bl w:val="nil"/>
                  </w:tcBorders>
                  <w:noWrap w:val="0"/>
                  <w:vAlign w:val="center"/>
                </w:tcPr>
                <w:p w14:paraId="4644DCA9">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65" w:type="dxa"/>
                  <w:tcBorders>
                    <w:tl2br w:val="nil"/>
                    <w:tr2bl w:val="nil"/>
                  </w:tcBorders>
                  <w:noWrap w:val="0"/>
                  <w:vAlign w:val="center"/>
                </w:tcPr>
                <w:p w14:paraId="22D1128B">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堆存</w:t>
                  </w:r>
                </w:p>
              </w:tc>
              <w:tc>
                <w:tcPr>
                  <w:tcW w:w="653" w:type="dxa"/>
                  <w:vMerge w:val="restart"/>
                  <w:tcBorders>
                    <w:tl2br w:val="nil"/>
                    <w:tr2bl w:val="nil"/>
                  </w:tcBorders>
                  <w:noWrap w:val="0"/>
                  <w:vAlign w:val="center"/>
                </w:tcPr>
                <w:p w14:paraId="21E3302E">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1.5</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t</w:t>
                  </w:r>
                </w:p>
              </w:tc>
              <w:tc>
                <w:tcPr>
                  <w:tcW w:w="512" w:type="dxa"/>
                  <w:vMerge w:val="restart"/>
                  <w:tcBorders>
                    <w:tl2br w:val="nil"/>
                    <w:tr2bl w:val="nil"/>
                  </w:tcBorders>
                  <w:noWrap w:val="0"/>
                  <w:vAlign w:val="center"/>
                </w:tcPr>
                <w:p w14:paraId="29F1AC32">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1年</w:t>
                  </w:r>
                </w:p>
              </w:tc>
            </w:tr>
            <w:tr w14:paraId="4B0DED6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369" w:hRule="atLeast"/>
                <w:jc w:val="center"/>
              </w:trPr>
              <w:tc>
                <w:tcPr>
                  <w:tcW w:w="362" w:type="dxa"/>
                  <w:noWrap w:val="0"/>
                  <w:vAlign w:val="center"/>
                </w:tcPr>
                <w:p w14:paraId="69A68A05">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7</w:t>
                  </w:r>
                </w:p>
              </w:tc>
              <w:tc>
                <w:tcPr>
                  <w:tcW w:w="1212" w:type="dxa"/>
                  <w:vMerge w:val="continue"/>
                  <w:noWrap w:val="0"/>
                  <w:vAlign w:val="center"/>
                </w:tcPr>
                <w:p w14:paraId="471C36C9">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1932" w:type="dxa"/>
                  <w:noWrap w:val="0"/>
                  <w:vAlign w:val="center"/>
                </w:tcPr>
                <w:p w14:paraId="45BAC1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废机油</w:t>
                  </w:r>
                </w:p>
              </w:tc>
              <w:tc>
                <w:tcPr>
                  <w:tcW w:w="780" w:type="dxa"/>
                  <w:tcBorders>
                    <w:bottom w:val="single" w:color="auto" w:sz="4" w:space="0"/>
                  </w:tcBorders>
                  <w:noWrap w:val="0"/>
                  <w:vAlign w:val="center"/>
                </w:tcPr>
                <w:p w14:paraId="7D221734">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HW08</w:t>
                  </w:r>
                </w:p>
              </w:tc>
              <w:tc>
                <w:tcPr>
                  <w:tcW w:w="1087" w:type="dxa"/>
                  <w:tcBorders>
                    <w:bottom w:val="single" w:color="auto" w:sz="4" w:space="0"/>
                  </w:tcBorders>
                  <w:noWrap w:val="0"/>
                  <w:vAlign w:val="center"/>
                </w:tcPr>
                <w:p w14:paraId="25A88A8C">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900-249-08</w:t>
                  </w:r>
                </w:p>
              </w:tc>
              <w:tc>
                <w:tcPr>
                  <w:tcW w:w="571" w:type="dxa"/>
                  <w:vMerge w:val="continue"/>
                  <w:noWrap w:val="0"/>
                  <w:vAlign w:val="center"/>
                </w:tcPr>
                <w:p w14:paraId="7B527E7C">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52" w:type="dxa"/>
                  <w:vMerge w:val="continue"/>
                  <w:noWrap w:val="0"/>
                  <w:vAlign w:val="center"/>
                </w:tcPr>
                <w:p w14:paraId="0D477FF0">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65" w:type="dxa"/>
                  <w:noWrap w:val="0"/>
                  <w:vAlign w:val="center"/>
                </w:tcPr>
                <w:p w14:paraId="364F4780">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桶装</w:t>
                  </w:r>
                </w:p>
              </w:tc>
              <w:tc>
                <w:tcPr>
                  <w:tcW w:w="653" w:type="dxa"/>
                  <w:vMerge w:val="continue"/>
                  <w:noWrap w:val="0"/>
                  <w:vAlign w:val="center"/>
                </w:tcPr>
                <w:p w14:paraId="10A550E4">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512" w:type="dxa"/>
                  <w:vMerge w:val="continue"/>
                  <w:noWrap w:val="0"/>
                  <w:vAlign w:val="center"/>
                </w:tcPr>
                <w:p w14:paraId="3087C1CE">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r>
            <w:tr w14:paraId="26EF629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369" w:hRule="atLeast"/>
                <w:jc w:val="center"/>
              </w:trPr>
              <w:tc>
                <w:tcPr>
                  <w:tcW w:w="362" w:type="dxa"/>
                  <w:noWrap w:val="0"/>
                  <w:vAlign w:val="center"/>
                </w:tcPr>
                <w:p w14:paraId="5374C16D">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8</w:t>
                  </w:r>
                </w:p>
              </w:tc>
              <w:tc>
                <w:tcPr>
                  <w:tcW w:w="1212" w:type="dxa"/>
                  <w:vMerge w:val="continue"/>
                  <w:noWrap w:val="0"/>
                  <w:vAlign w:val="center"/>
                </w:tcPr>
                <w:p w14:paraId="5E9DED8C">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1932" w:type="dxa"/>
                  <w:noWrap w:val="0"/>
                  <w:vAlign w:val="center"/>
                </w:tcPr>
                <w:p w14:paraId="2F090B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废含油抹布手套</w:t>
                  </w:r>
                </w:p>
              </w:tc>
              <w:tc>
                <w:tcPr>
                  <w:tcW w:w="780" w:type="dxa"/>
                  <w:tcBorders>
                    <w:top w:val="single" w:color="auto" w:sz="4" w:space="0"/>
                    <w:bottom w:val="single" w:color="auto" w:sz="4" w:space="0"/>
                  </w:tcBorders>
                  <w:noWrap w:val="0"/>
                  <w:vAlign w:val="center"/>
                </w:tcPr>
                <w:p w14:paraId="15D63402">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HW49</w:t>
                  </w:r>
                </w:p>
              </w:tc>
              <w:tc>
                <w:tcPr>
                  <w:tcW w:w="1087" w:type="dxa"/>
                  <w:tcBorders>
                    <w:top w:val="single" w:color="auto" w:sz="4" w:space="0"/>
                    <w:bottom w:val="single" w:color="auto" w:sz="4" w:space="0"/>
                  </w:tcBorders>
                  <w:noWrap w:val="0"/>
                  <w:vAlign w:val="center"/>
                </w:tcPr>
                <w:p w14:paraId="61F5F78E">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900-041-49</w:t>
                  </w:r>
                </w:p>
              </w:tc>
              <w:tc>
                <w:tcPr>
                  <w:tcW w:w="571" w:type="dxa"/>
                  <w:vMerge w:val="continue"/>
                  <w:noWrap w:val="0"/>
                  <w:vAlign w:val="center"/>
                </w:tcPr>
                <w:p w14:paraId="5A0EF46B">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52" w:type="dxa"/>
                  <w:vMerge w:val="continue"/>
                  <w:noWrap w:val="0"/>
                  <w:vAlign w:val="center"/>
                </w:tcPr>
                <w:p w14:paraId="6EE5F818">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65" w:type="dxa"/>
                  <w:noWrap w:val="0"/>
                  <w:vAlign w:val="center"/>
                </w:tcPr>
                <w:p w14:paraId="2130FDF0">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袋装</w:t>
                  </w:r>
                </w:p>
              </w:tc>
              <w:tc>
                <w:tcPr>
                  <w:tcW w:w="653" w:type="dxa"/>
                  <w:vMerge w:val="continue"/>
                  <w:noWrap w:val="0"/>
                  <w:vAlign w:val="center"/>
                </w:tcPr>
                <w:p w14:paraId="5070F89C">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512" w:type="dxa"/>
                  <w:vMerge w:val="continue"/>
                  <w:noWrap w:val="0"/>
                  <w:vAlign w:val="center"/>
                </w:tcPr>
                <w:p w14:paraId="0F0F72F1">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r>
            <w:tr w14:paraId="452A5654">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369" w:hRule="atLeast"/>
                <w:jc w:val="center"/>
              </w:trPr>
              <w:tc>
                <w:tcPr>
                  <w:tcW w:w="362" w:type="dxa"/>
                  <w:noWrap w:val="0"/>
                  <w:vAlign w:val="center"/>
                </w:tcPr>
                <w:p w14:paraId="428BA1AE">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9</w:t>
                  </w:r>
                </w:p>
              </w:tc>
              <w:tc>
                <w:tcPr>
                  <w:tcW w:w="1212" w:type="dxa"/>
                  <w:vMerge w:val="continue"/>
                  <w:noWrap w:val="0"/>
                  <w:vAlign w:val="center"/>
                </w:tcPr>
                <w:p w14:paraId="7A022721">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1932" w:type="dxa"/>
                  <w:noWrap w:val="0"/>
                  <w:vAlign w:val="center"/>
                </w:tcPr>
                <w:p w14:paraId="32DF14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废液压油桶</w:t>
                  </w:r>
                </w:p>
              </w:tc>
              <w:tc>
                <w:tcPr>
                  <w:tcW w:w="780" w:type="dxa"/>
                  <w:tcBorders>
                    <w:top w:val="single" w:color="auto" w:sz="4" w:space="0"/>
                    <w:bottom w:val="single" w:color="auto" w:sz="4" w:space="0"/>
                  </w:tcBorders>
                  <w:noWrap w:val="0"/>
                  <w:vAlign w:val="center"/>
                </w:tcPr>
                <w:p w14:paraId="3FDA5673">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HW08</w:t>
                  </w:r>
                </w:p>
              </w:tc>
              <w:tc>
                <w:tcPr>
                  <w:tcW w:w="1087" w:type="dxa"/>
                  <w:tcBorders>
                    <w:top w:val="single" w:color="auto" w:sz="4" w:space="0"/>
                    <w:bottom w:val="single" w:color="auto" w:sz="4" w:space="0"/>
                  </w:tcBorders>
                  <w:noWrap w:val="0"/>
                  <w:vAlign w:val="center"/>
                </w:tcPr>
                <w:p w14:paraId="2FE4E062">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900-249-08</w:t>
                  </w:r>
                </w:p>
              </w:tc>
              <w:tc>
                <w:tcPr>
                  <w:tcW w:w="571" w:type="dxa"/>
                  <w:vMerge w:val="continue"/>
                  <w:noWrap w:val="0"/>
                  <w:vAlign w:val="center"/>
                </w:tcPr>
                <w:p w14:paraId="1B11BD58">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52" w:type="dxa"/>
                  <w:vMerge w:val="continue"/>
                  <w:noWrap w:val="0"/>
                  <w:vAlign w:val="center"/>
                </w:tcPr>
                <w:p w14:paraId="76A1F050">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65" w:type="dxa"/>
                  <w:noWrap w:val="0"/>
                  <w:vAlign w:val="center"/>
                </w:tcPr>
                <w:p w14:paraId="071994EA">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堆存</w:t>
                  </w:r>
                </w:p>
              </w:tc>
              <w:tc>
                <w:tcPr>
                  <w:tcW w:w="653" w:type="dxa"/>
                  <w:vMerge w:val="continue"/>
                  <w:noWrap w:val="0"/>
                  <w:vAlign w:val="center"/>
                </w:tcPr>
                <w:p w14:paraId="127A4D68">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512" w:type="dxa"/>
                  <w:vMerge w:val="continue"/>
                  <w:noWrap w:val="0"/>
                  <w:vAlign w:val="center"/>
                </w:tcPr>
                <w:p w14:paraId="479AD664">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r>
            <w:tr w14:paraId="3018C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369" w:hRule="atLeast"/>
                <w:jc w:val="center"/>
              </w:trPr>
              <w:tc>
                <w:tcPr>
                  <w:tcW w:w="362" w:type="dxa"/>
                  <w:noWrap w:val="0"/>
                  <w:vAlign w:val="center"/>
                </w:tcPr>
                <w:p w14:paraId="351ACF0D">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10</w:t>
                  </w:r>
                </w:p>
              </w:tc>
              <w:tc>
                <w:tcPr>
                  <w:tcW w:w="1212" w:type="dxa"/>
                  <w:vMerge w:val="continue"/>
                  <w:noWrap w:val="0"/>
                  <w:vAlign w:val="center"/>
                </w:tcPr>
                <w:p w14:paraId="1ACCBEDC">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1932" w:type="dxa"/>
                  <w:noWrap w:val="0"/>
                  <w:vAlign w:val="center"/>
                </w:tcPr>
                <w:p w14:paraId="7D2ECB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废液压油</w:t>
                  </w:r>
                </w:p>
              </w:tc>
              <w:tc>
                <w:tcPr>
                  <w:tcW w:w="780" w:type="dxa"/>
                  <w:noWrap w:val="0"/>
                  <w:vAlign w:val="center"/>
                </w:tcPr>
                <w:p w14:paraId="2384DD4D">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HW08</w:t>
                  </w:r>
                </w:p>
              </w:tc>
              <w:tc>
                <w:tcPr>
                  <w:tcW w:w="1087" w:type="dxa"/>
                  <w:noWrap w:val="0"/>
                  <w:vAlign w:val="center"/>
                </w:tcPr>
                <w:p w14:paraId="235738B8">
                  <w:pPr>
                    <w:keepNext w:val="0"/>
                    <w:keepLines w:val="0"/>
                    <w:pageBreakBefore w:val="0"/>
                    <w:widowControl/>
                    <w:suppressLineNumbers w:val="0"/>
                    <w:kinsoku/>
                    <w:overflowPunct/>
                    <w:topLinePunct w:val="0"/>
                    <w:bidi w:val="0"/>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000000" w:themeColor="text1"/>
                      <w:kern w:val="2"/>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900-249-08</w:t>
                  </w:r>
                </w:p>
              </w:tc>
              <w:tc>
                <w:tcPr>
                  <w:tcW w:w="571" w:type="dxa"/>
                  <w:vMerge w:val="continue"/>
                  <w:noWrap w:val="0"/>
                  <w:vAlign w:val="center"/>
                </w:tcPr>
                <w:p w14:paraId="4ADBF480">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52" w:type="dxa"/>
                  <w:vMerge w:val="continue"/>
                  <w:noWrap w:val="0"/>
                  <w:vAlign w:val="center"/>
                </w:tcPr>
                <w:p w14:paraId="20F641BC">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65" w:type="dxa"/>
                  <w:noWrap w:val="0"/>
                  <w:vAlign w:val="center"/>
                </w:tcPr>
                <w:p w14:paraId="4A9E5F5D">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桶装</w:t>
                  </w:r>
                </w:p>
              </w:tc>
              <w:tc>
                <w:tcPr>
                  <w:tcW w:w="653" w:type="dxa"/>
                  <w:vMerge w:val="continue"/>
                  <w:noWrap w:val="0"/>
                  <w:vAlign w:val="center"/>
                </w:tcPr>
                <w:p w14:paraId="48668B75">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512" w:type="dxa"/>
                  <w:vMerge w:val="continue"/>
                  <w:noWrap w:val="0"/>
                  <w:vAlign w:val="center"/>
                </w:tcPr>
                <w:p w14:paraId="41EF2AA6">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r>
            <w:tr w14:paraId="1007ECC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369" w:hRule="atLeast"/>
                <w:jc w:val="center"/>
              </w:trPr>
              <w:tc>
                <w:tcPr>
                  <w:tcW w:w="362" w:type="dxa"/>
                  <w:noWrap w:val="0"/>
                  <w:vAlign w:val="center"/>
                </w:tcPr>
                <w:p w14:paraId="7D3C9858">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11</w:t>
                  </w:r>
                </w:p>
              </w:tc>
              <w:tc>
                <w:tcPr>
                  <w:tcW w:w="1212" w:type="dxa"/>
                  <w:vMerge w:val="continue"/>
                  <w:noWrap w:val="0"/>
                  <w:vAlign w:val="center"/>
                </w:tcPr>
                <w:p w14:paraId="5243574C">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1932" w:type="dxa"/>
                  <w:shd w:val="clear" w:color="auto" w:fill="auto"/>
                  <w:noWrap w:val="0"/>
                  <w:vAlign w:val="center"/>
                </w:tcPr>
                <w:p w14:paraId="5EBA5B7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废原料桶</w:t>
                  </w:r>
                </w:p>
              </w:tc>
              <w:tc>
                <w:tcPr>
                  <w:tcW w:w="780" w:type="dxa"/>
                  <w:shd w:val="clear" w:color="auto" w:fill="auto"/>
                  <w:noWrap w:val="0"/>
                  <w:vAlign w:val="center"/>
                </w:tcPr>
                <w:p w14:paraId="37AB28D7">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HW49</w:t>
                  </w:r>
                </w:p>
              </w:tc>
              <w:tc>
                <w:tcPr>
                  <w:tcW w:w="1087" w:type="dxa"/>
                  <w:shd w:val="clear" w:color="auto" w:fill="auto"/>
                  <w:noWrap w:val="0"/>
                  <w:vAlign w:val="center"/>
                </w:tcPr>
                <w:p w14:paraId="2CC5693E">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900-041-49</w:t>
                  </w:r>
                </w:p>
              </w:tc>
              <w:tc>
                <w:tcPr>
                  <w:tcW w:w="571" w:type="dxa"/>
                  <w:vMerge w:val="continue"/>
                  <w:noWrap w:val="0"/>
                  <w:vAlign w:val="center"/>
                </w:tcPr>
                <w:p w14:paraId="6811B807">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52" w:type="dxa"/>
                  <w:vMerge w:val="continue"/>
                  <w:noWrap w:val="0"/>
                  <w:vAlign w:val="center"/>
                </w:tcPr>
                <w:p w14:paraId="5F58CA63">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65" w:type="dxa"/>
                  <w:noWrap w:val="0"/>
                  <w:vAlign w:val="center"/>
                </w:tcPr>
                <w:p w14:paraId="6B0C74ED">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堆存</w:t>
                  </w:r>
                </w:p>
              </w:tc>
              <w:tc>
                <w:tcPr>
                  <w:tcW w:w="653" w:type="dxa"/>
                  <w:noWrap w:val="0"/>
                  <w:vAlign w:val="center"/>
                </w:tcPr>
                <w:p w14:paraId="1332125C">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0.3t</w:t>
                  </w:r>
                </w:p>
              </w:tc>
              <w:tc>
                <w:tcPr>
                  <w:tcW w:w="512" w:type="dxa"/>
                  <w:noWrap w:val="0"/>
                  <w:vAlign w:val="center"/>
                </w:tcPr>
                <w:p w14:paraId="0290439F">
                  <w:pPr>
                    <w:widowControl/>
                    <w:spacing w:line="240" w:lineRule="auto"/>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1年</w:t>
                  </w:r>
                </w:p>
              </w:tc>
            </w:tr>
            <w:tr w14:paraId="10CD0DD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369" w:hRule="atLeast"/>
                <w:jc w:val="center"/>
              </w:trPr>
              <w:tc>
                <w:tcPr>
                  <w:tcW w:w="362" w:type="dxa"/>
                  <w:noWrap w:val="0"/>
                  <w:vAlign w:val="center"/>
                </w:tcPr>
                <w:p w14:paraId="66D463E5">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r>
                    <w:rPr>
                      <w:rFonts w:hint="eastAsia" w:cs="Times New Roman"/>
                      <w:color w:val="000000" w:themeColor="text1"/>
                      <w:kern w:val="0"/>
                      <w:sz w:val="21"/>
                      <w:szCs w:val="21"/>
                      <w:highlight w:val="none"/>
                      <w:lang w:val="en-US" w:eastAsia="zh-CN" w:bidi="ar"/>
                      <w14:textFill>
                        <w14:solidFill>
                          <w14:schemeClr w14:val="tx1"/>
                        </w14:solidFill>
                      </w14:textFill>
                    </w:rPr>
                    <w:t>2</w:t>
                  </w:r>
                </w:p>
              </w:tc>
              <w:tc>
                <w:tcPr>
                  <w:tcW w:w="1212" w:type="dxa"/>
                  <w:vMerge w:val="continue"/>
                  <w:noWrap w:val="0"/>
                  <w:vAlign w:val="center"/>
                </w:tcPr>
                <w:p w14:paraId="3E51FDDB">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1932" w:type="dxa"/>
                  <w:shd w:val="clear" w:color="auto" w:fill="auto"/>
                  <w:noWrap w:val="0"/>
                  <w:vAlign w:val="center"/>
                </w:tcPr>
                <w:p w14:paraId="276FEC0F">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喷枪清洗液</w:t>
                  </w:r>
                </w:p>
              </w:tc>
              <w:tc>
                <w:tcPr>
                  <w:tcW w:w="780" w:type="dxa"/>
                  <w:shd w:val="clear" w:color="auto" w:fill="auto"/>
                  <w:noWrap w:val="0"/>
                  <w:vAlign w:val="center"/>
                </w:tcPr>
                <w:p w14:paraId="15BD30F3">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HW06</w:t>
                  </w:r>
                </w:p>
              </w:tc>
              <w:tc>
                <w:tcPr>
                  <w:tcW w:w="1087" w:type="dxa"/>
                  <w:shd w:val="clear" w:color="auto" w:fill="auto"/>
                  <w:noWrap w:val="0"/>
                  <w:vAlign w:val="center"/>
                </w:tcPr>
                <w:p w14:paraId="0013D2A3">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900-402-06</w:t>
                  </w:r>
                </w:p>
              </w:tc>
              <w:tc>
                <w:tcPr>
                  <w:tcW w:w="571" w:type="dxa"/>
                  <w:vMerge w:val="continue"/>
                  <w:noWrap w:val="0"/>
                  <w:vAlign w:val="center"/>
                </w:tcPr>
                <w:p w14:paraId="0F73B0C2">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52" w:type="dxa"/>
                  <w:vMerge w:val="continue"/>
                  <w:noWrap w:val="0"/>
                  <w:vAlign w:val="center"/>
                </w:tcPr>
                <w:p w14:paraId="05BE4C93">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65" w:type="dxa"/>
                  <w:noWrap w:val="0"/>
                  <w:vAlign w:val="center"/>
                </w:tcPr>
                <w:p w14:paraId="67417954">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桶装</w:t>
                  </w:r>
                </w:p>
              </w:tc>
              <w:tc>
                <w:tcPr>
                  <w:tcW w:w="653" w:type="dxa"/>
                  <w:noWrap w:val="0"/>
                  <w:vAlign w:val="center"/>
                </w:tcPr>
                <w:p w14:paraId="3735B496">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0.1t</w:t>
                  </w:r>
                </w:p>
              </w:tc>
              <w:tc>
                <w:tcPr>
                  <w:tcW w:w="512" w:type="dxa"/>
                  <w:noWrap w:val="0"/>
                  <w:vAlign w:val="center"/>
                </w:tcPr>
                <w:p w14:paraId="3B35CD21">
                  <w:pPr>
                    <w:widowControl/>
                    <w:spacing w:line="240" w:lineRule="auto"/>
                    <w:jc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半年</w:t>
                  </w:r>
                </w:p>
              </w:tc>
            </w:tr>
            <w:tr w14:paraId="3B0A9CC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369" w:hRule="atLeast"/>
                <w:jc w:val="center"/>
              </w:trPr>
              <w:tc>
                <w:tcPr>
                  <w:tcW w:w="362" w:type="dxa"/>
                  <w:noWrap w:val="0"/>
                  <w:vAlign w:val="center"/>
                </w:tcPr>
                <w:p w14:paraId="1E36E677">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r>
                    <w:rPr>
                      <w:rFonts w:hint="eastAsia" w:cs="Times New Roman"/>
                      <w:color w:val="000000" w:themeColor="text1"/>
                      <w:kern w:val="0"/>
                      <w:sz w:val="21"/>
                      <w:szCs w:val="21"/>
                      <w:highlight w:val="none"/>
                      <w:lang w:val="en-US" w:eastAsia="zh-CN" w:bidi="ar"/>
                      <w14:textFill>
                        <w14:solidFill>
                          <w14:schemeClr w14:val="tx1"/>
                        </w14:solidFill>
                      </w14:textFill>
                    </w:rPr>
                    <w:t>3</w:t>
                  </w:r>
                </w:p>
              </w:tc>
              <w:tc>
                <w:tcPr>
                  <w:tcW w:w="1212" w:type="dxa"/>
                  <w:vMerge w:val="continue"/>
                  <w:noWrap w:val="0"/>
                  <w:vAlign w:val="center"/>
                </w:tcPr>
                <w:p w14:paraId="6BDCB549">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1932" w:type="dxa"/>
                  <w:shd w:val="clear" w:color="auto" w:fill="auto"/>
                  <w:noWrap w:val="0"/>
                  <w:vAlign w:val="center"/>
                </w:tcPr>
                <w:p w14:paraId="55BBE6BD">
                  <w:pPr>
                    <w:pStyle w:val="109"/>
                    <w:pageBreakBefore w:val="0"/>
                    <w:tabs>
                      <w:tab w:val="left" w:pos="-2848"/>
                    </w:tabs>
                    <w:wordWrap w:val="0"/>
                    <w:topLinePunct/>
                    <w:bidi w:val="0"/>
                    <w:spacing w:beforeAutospacing="0" w:afterAutospacing="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废滤芯静电喷粉</w:t>
                  </w:r>
                </w:p>
              </w:tc>
              <w:tc>
                <w:tcPr>
                  <w:tcW w:w="780" w:type="dxa"/>
                  <w:shd w:val="clear" w:color="auto" w:fill="auto"/>
                  <w:noWrap w:val="0"/>
                  <w:vAlign w:val="center"/>
                </w:tcPr>
                <w:p w14:paraId="203BF0B7">
                  <w:pPr>
                    <w:pStyle w:val="109"/>
                    <w:pageBreakBefore w:val="0"/>
                    <w:tabs>
                      <w:tab w:val="left" w:pos="-2848"/>
                    </w:tabs>
                    <w:wordWrap w:val="0"/>
                    <w:topLinePunct/>
                    <w:bidi w:val="0"/>
                    <w:spacing w:beforeAutospacing="0" w:afterAutospacing="0"/>
                    <w:rPr>
                      <w:rFonts w:hint="default" w:ascii="Times New Roman" w:hAnsi="Times New Roman" w:eastAsia="宋体" w:cs="Times New Roman"/>
                      <w:color w:val="000000" w:themeColor="text1"/>
                      <w:spacing w:val="-2"/>
                      <w:kern w:val="44"/>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HW49</w:t>
                  </w:r>
                </w:p>
              </w:tc>
              <w:tc>
                <w:tcPr>
                  <w:tcW w:w="1087" w:type="dxa"/>
                  <w:shd w:val="clear" w:color="auto" w:fill="auto"/>
                  <w:noWrap w:val="0"/>
                  <w:vAlign w:val="center"/>
                </w:tcPr>
                <w:p w14:paraId="4CD0F252">
                  <w:pPr>
                    <w:pStyle w:val="109"/>
                    <w:pageBreakBefore w:val="0"/>
                    <w:tabs>
                      <w:tab w:val="left" w:pos="-2848"/>
                    </w:tabs>
                    <w:wordWrap w:val="0"/>
                    <w:topLinePunct/>
                    <w:bidi w:val="0"/>
                    <w:spacing w:beforeAutospacing="0" w:afterAutospacing="0"/>
                    <w:rPr>
                      <w:rFonts w:hint="default" w:ascii="Times New Roman" w:hAnsi="Times New Roman" w:eastAsia="宋体" w:cs="Times New Roman"/>
                      <w:color w:val="000000" w:themeColor="text1"/>
                      <w:spacing w:val="-2"/>
                      <w:kern w:val="44"/>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900-041-49</w:t>
                  </w:r>
                </w:p>
              </w:tc>
              <w:tc>
                <w:tcPr>
                  <w:tcW w:w="571" w:type="dxa"/>
                  <w:vMerge w:val="continue"/>
                  <w:noWrap w:val="0"/>
                  <w:vAlign w:val="center"/>
                </w:tcPr>
                <w:p w14:paraId="385F9841">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52" w:type="dxa"/>
                  <w:vMerge w:val="continue"/>
                  <w:noWrap w:val="0"/>
                  <w:vAlign w:val="center"/>
                </w:tcPr>
                <w:p w14:paraId="2E6D4FE3">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65" w:type="dxa"/>
                  <w:noWrap w:val="0"/>
                  <w:vAlign w:val="center"/>
                </w:tcPr>
                <w:p w14:paraId="401CF6A3">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桶装</w:t>
                  </w:r>
                </w:p>
              </w:tc>
              <w:tc>
                <w:tcPr>
                  <w:tcW w:w="653" w:type="dxa"/>
                  <w:noWrap w:val="0"/>
                  <w:vAlign w:val="center"/>
                </w:tcPr>
                <w:p w14:paraId="62A7D390">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0.1t</w:t>
                  </w:r>
                </w:p>
              </w:tc>
              <w:tc>
                <w:tcPr>
                  <w:tcW w:w="512" w:type="dxa"/>
                  <w:noWrap w:val="0"/>
                  <w:vAlign w:val="center"/>
                </w:tcPr>
                <w:p w14:paraId="092119C4">
                  <w:pPr>
                    <w:widowControl/>
                    <w:spacing w:line="240" w:lineRule="auto"/>
                    <w:jc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1年</w:t>
                  </w:r>
                </w:p>
              </w:tc>
            </w:tr>
            <w:tr w14:paraId="7EF3FEF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369" w:hRule="atLeast"/>
                <w:jc w:val="center"/>
              </w:trPr>
              <w:tc>
                <w:tcPr>
                  <w:tcW w:w="362" w:type="dxa"/>
                  <w:noWrap w:val="0"/>
                  <w:vAlign w:val="center"/>
                </w:tcPr>
                <w:p w14:paraId="3ABA0DE0">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r>
                    <w:rPr>
                      <w:rFonts w:hint="eastAsia" w:cs="Times New Roman"/>
                      <w:color w:val="000000" w:themeColor="text1"/>
                      <w:kern w:val="0"/>
                      <w:sz w:val="21"/>
                      <w:szCs w:val="21"/>
                      <w:highlight w:val="none"/>
                      <w:lang w:val="en-US" w:eastAsia="zh-CN" w:bidi="ar"/>
                      <w14:textFill>
                        <w14:solidFill>
                          <w14:schemeClr w14:val="tx1"/>
                        </w14:solidFill>
                      </w14:textFill>
                    </w:rPr>
                    <w:t>4</w:t>
                  </w:r>
                </w:p>
              </w:tc>
              <w:tc>
                <w:tcPr>
                  <w:tcW w:w="1212" w:type="dxa"/>
                  <w:vMerge w:val="continue"/>
                  <w:noWrap w:val="0"/>
                  <w:vAlign w:val="center"/>
                </w:tcPr>
                <w:p w14:paraId="57E1D2E7">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1932" w:type="dxa"/>
                  <w:shd w:val="clear" w:color="auto" w:fill="auto"/>
                  <w:noWrap w:val="0"/>
                  <w:vAlign w:val="center"/>
                </w:tcPr>
                <w:p w14:paraId="5051D785">
                  <w:pPr>
                    <w:pStyle w:val="109"/>
                    <w:pageBreakBefore w:val="0"/>
                    <w:tabs>
                      <w:tab w:val="left" w:pos="-2848"/>
                    </w:tabs>
                    <w:wordWrap w:val="0"/>
                    <w:topLinePunct/>
                    <w:bidi w:val="0"/>
                    <w:spacing w:beforeAutospacing="0" w:afterAutospacing="0"/>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废过滤棉</w:t>
                  </w:r>
                </w:p>
              </w:tc>
              <w:tc>
                <w:tcPr>
                  <w:tcW w:w="780" w:type="dxa"/>
                  <w:shd w:val="clear" w:color="auto" w:fill="auto"/>
                  <w:noWrap w:val="0"/>
                  <w:vAlign w:val="center"/>
                </w:tcPr>
                <w:p w14:paraId="2E78B76C">
                  <w:pPr>
                    <w:pStyle w:val="109"/>
                    <w:pageBreakBefore w:val="0"/>
                    <w:tabs>
                      <w:tab w:val="left" w:pos="-2848"/>
                    </w:tabs>
                    <w:wordWrap w:val="0"/>
                    <w:topLinePunct/>
                    <w:bidi w:val="0"/>
                    <w:spacing w:beforeAutospacing="0" w:afterAutospacing="0"/>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HW49</w:t>
                  </w:r>
                </w:p>
              </w:tc>
              <w:tc>
                <w:tcPr>
                  <w:tcW w:w="1087" w:type="dxa"/>
                  <w:shd w:val="clear" w:color="auto" w:fill="auto"/>
                  <w:noWrap w:val="0"/>
                  <w:vAlign w:val="center"/>
                </w:tcPr>
                <w:p w14:paraId="36333CB8">
                  <w:pPr>
                    <w:pStyle w:val="109"/>
                    <w:pageBreakBefore w:val="0"/>
                    <w:tabs>
                      <w:tab w:val="left" w:pos="-2848"/>
                    </w:tabs>
                    <w:wordWrap w:val="0"/>
                    <w:topLinePunct/>
                    <w:bidi w:val="0"/>
                    <w:spacing w:beforeAutospacing="0" w:afterAutospacing="0"/>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900-041-49</w:t>
                  </w:r>
                </w:p>
              </w:tc>
              <w:tc>
                <w:tcPr>
                  <w:tcW w:w="571" w:type="dxa"/>
                  <w:vMerge w:val="continue"/>
                  <w:noWrap w:val="0"/>
                  <w:vAlign w:val="center"/>
                </w:tcPr>
                <w:p w14:paraId="561D06A6">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52" w:type="dxa"/>
                  <w:vMerge w:val="continue"/>
                  <w:noWrap w:val="0"/>
                  <w:vAlign w:val="center"/>
                </w:tcPr>
                <w:p w14:paraId="746D4F9D">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65" w:type="dxa"/>
                  <w:noWrap w:val="0"/>
                  <w:vAlign w:val="center"/>
                </w:tcPr>
                <w:p w14:paraId="7DC3B8A7">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桶装</w:t>
                  </w:r>
                </w:p>
              </w:tc>
              <w:tc>
                <w:tcPr>
                  <w:tcW w:w="653" w:type="dxa"/>
                  <w:noWrap w:val="0"/>
                  <w:vAlign w:val="center"/>
                </w:tcPr>
                <w:p w14:paraId="193846D5">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0.2</w:t>
                  </w:r>
                </w:p>
              </w:tc>
              <w:tc>
                <w:tcPr>
                  <w:tcW w:w="512" w:type="dxa"/>
                  <w:noWrap w:val="0"/>
                  <w:vAlign w:val="center"/>
                </w:tcPr>
                <w:p w14:paraId="4E8B6A52">
                  <w:pPr>
                    <w:widowControl/>
                    <w:spacing w:line="240" w:lineRule="auto"/>
                    <w:jc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半年</w:t>
                  </w:r>
                </w:p>
              </w:tc>
            </w:tr>
            <w:tr w14:paraId="6F00CB1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369" w:hRule="atLeast"/>
                <w:jc w:val="center"/>
              </w:trPr>
              <w:tc>
                <w:tcPr>
                  <w:tcW w:w="362" w:type="dxa"/>
                  <w:noWrap w:val="0"/>
                  <w:vAlign w:val="center"/>
                </w:tcPr>
                <w:p w14:paraId="6F6FE549">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r>
                    <w:rPr>
                      <w:rFonts w:hint="eastAsia" w:cs="Times New Roman"/>
                      <w:color w:val="000000" w:themeColor="text1"/>
                      <w:kern w:val="0"/>
                      <w:sz w:val="21"/>
                      <w:szCs w:val="21"/>
                      <w:highlight w:val="none"/>
                      <w:lang w:val="en-US" w:eastAsia="zh-CN" w:bidi="ar"/>
                      <w14:textFill>
                        <w14:solidFill>
                          <w14:schemeClr w14:val="tx1"/>
                        </w14:solidFill>
                      </w14:textFill>
                    </w:rPr>
                    <w:t>5</w:t>
                  </w:r>
                </w:p>
              </w:tc>
              <w:tc>
                <w:tcPr>
                  <w:tcW w:w="1212" w:type="dxa"/>
                  <w:vMerge w:val="continue"/>
                  <w:noWrap w:val="0"/>
                  <w:vAlign w:val="center"/>
                </w:tcPr>
                <w:p w14:paraId="702ED97F">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1932" w:type="dxa"/>
                  <w:shd w:val="clear" w:color="auto" w:fill="auto"/>
                  <w:noWrap w:val="0"/>
                  <w:vAlign w:val="center"/>
                </w:tcPr>
                <w:p w14:paraId="24D01F74">
                  <w:pPr>
                    <w:pStyle w:val="109"/>
                    <w:pageBreakBefore w:val="0"/>
                    <w:tabs>
                      <w:tab w:val="left" w:pos="-2848"/>
                    </w:tabs>
                    <w:wordWrap w:val="0"/>
                    <w:topLinePunct/>
                    <w:bidi w:val="0"/>
                    <w:spacing w:beforeAutospacing="0" w:afterAutospacing="0"/>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废活性炭</w:t>
                  </w:r>
                </w:p>
              </w:tc>
              <w:tc>
                <w:tcPr>
                  <w:tcW w:w="780" w:type="dxa"/>
                  <w:shd w:val="clear" w:color="auto" w:fill="auto"/>
                  <w:noWrap w:val="0"/>
                  <w:vAlign w:val="center"/>
                </w:tcPr>
                <w:p w14:paraId="5AFB1C73">
                  <w:pPr>
                    <w:pStyle w:val="109"/>
                    <w:pageBreakBefore w:val="0"/>
                    <w:tabs>
                      <w:tab w:val="left" w:pos="-2848"/>
                    </w:tabs>
                    <w:wordWrap w:val="0"/>
                    <w:topLinePunct/>
                    <w:bidi w:val="0"/>
                    <w:spacing w:beforeAutospacing="0" w:afterAutospacing="0"/>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HW49</w:t>
                  </w:r>
                </w:p>
              </w:tc>
              <w:tc>
                <w:tcPr>
                  <w:tcW w:w="1087" w:type="dxa"/>
                  <w:shd w:val="clear" w:color="auto" w:fill="auto"/>
                  <w:noWrap w:val="0"/>
                  <w:vAlign w:val="center"/>
                </w:tcPr>
                <w:p w14:paraId="0AEB6AF4">
                  <w:pPr>
                    <w:pStyle w:val="109"/>
                    <w:pageBreakBefore w:val="0"/>
                    <w:tabs>
                      <w:tab w:val="left" w:pos="-2848"/>
                    </w:tabs>
                    <w:wordWrap w:val="0"/>
                    <w:topLinePunct/>
                    <w:bidi w:val="0"/>
                    <w:spacing w:beforeAutospacing="0" w:afterAutospacing="0"/>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900-039-49</w:t>
                  </w:r>
                </w:p>
              </w:tc>
              <w:tc>
                <w:tcPr>
                  <w:tcW w:w="571" w:type="dxa"/>
                  <w:vMerge w:val="continue"/>
                  <w:noWrap w:val="0"/>
                  <w:vAlign w:val="center"/>
                </w:tcPr>
                <w:p w14:paraId="058FD67A">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52" w:type="dxa"/>
                  <w:vMerge w:val="continue"/>
                  <w:noWrap w:val="0"/>
                  <w:vAlign w:val="center"/>
                </w:tcPr>
                <w:p w14:paraId="56CD5629">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65" w:type="dxa"/>
                  <w:noWrap w:val="0"/>
                  <w:vAlign w:val="center"/>
                </w:tcPr>
                <w:p w14:paraId="0ACE0440">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堆存</w:t>
                  </w:r>
                </w:p>
              </w:tc>
              <w:tc>
                <w:tcPr>
                  <w:tcW w:w="653" w:type="dxa"/>
                  <w:noWrap w:val="0"/>
                  <w:vAlign w:val="center"/>
                </w:tcPr>
                <w:p w14:paraId="006B8C71">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9t</w:t>
                  </w:r>
                </w:p>
              </w:tc>
              <w:tc>
                <w:tcPr>
                  <w:tcW w:w="512" w:type="dxa"/>
                  <w:noWrap w:val="0"/>
                  <w:vAlign w:val="center"/>
                </w:tcPr>
                <w:p w14:paraId="1C733869">
                  <w:pPr>
                    <w:widowControl/>
                    <w:spacing w:line="240" w:lineRule="auto"/>
                    <w:jc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1年</w:t>
                  </w:r>
                </w:p>
              </w:tc>
            </w:tr>
            <w:tr w14:paraId="7575CB7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369" w:hRule="atLeast"/>
                <w:jc w:val="center"/>
              </w:trPr>
              <w:tc>
                <w:tcPr>
                  <w:tcW w:w="362" w:type="dxa"/>
                  <w:noWrap w:val="0"/>
                  <w:vAlign w:val="center"/>
                </w:tcPr>
                <w:p w14:paraId="07F72676">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r>
                    <w:rPr>
                      <w:rFonts w:hint="eastAsia" w:cs="Times New Roman"/>
                      <w:color w:val="000000" w:themeColor="text1"/>
                      <w:kern w:val="0"/>
                      <w:sz w:val="21"/>
                      <w:szCs w:val="21"/>
                      <w:highlight w:val="none"/>
                      <w:lang w:val="en-US" w:eastAsia="zh-CN" w:bidi="ar"/>
                      <w14:textFill>
                        <w14:solidFill>
                          <w14:schemeClr w14:val="tx1"/>
                        </w14:solidFill>
                      </w14:textFill>
                    </w:rPr>
                    <w:t>6</w:t>
                  </w:r>
                </w:p>
              </w:tc>
              <w:tc>
                <w:tcPr>
                  <w:tcW w:w="1212" w:type="dxa"/>
                  <w:vMerge w:val="continue"/>
                  <w:noWrap w:val="0"/>
                  <w:vAlign w:val="center"/>
                </w:tcPr>
                <w:p w14:paraId="77D21309">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1932" w:type="dxa"/>
                  <w:shd w:val="clear" w:color="auto" w:fill="auto"/>
                  <w:noWrap w:val="0"/>
                  <w:vAlign w:val="center"/>
                </w:tcPr>
                <w:p w14:paraId="40F19A1C">
                  <w:pPr>
                    <w:pStyle w:val="109"/>
                    <w:pageBreakBefore w:val="0"/>
                    <w:tabs>
                      <w:tab w:val="left" w:pos="-2848"/>
                    </w:tabs>
                    <w:wordWrap w:val="0"/>
                    <w:topLinePunct/>
                    <w:bidi w:val="0"/>
                    <w:spacing w:beforeAutospacing="0" w:afterAutospacing="0"/>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废粉末涂料</w:t>
                  </w:r>
                </w:p>
              </w:tc>
              <w:tc>
                <w:tcPr>
                  <w:tcW w:w="780" w:type="dxa"/>
                  <w:shd w:val="clear" w:color="auto" w:fill="auto"/>
                  <w:noWrap w:val="0"/>
                  <w:vAlign w:val="center"/>
                </w:tcPr>
                <w:p w14:paraId="24290229">
                  <w:pPr>
                    <w:keepNext w:val="0"/>
                    <w:keepLines w:val="0"/>
                    <w:widowControl/>
                    <w:suppressLineNumbers w:val="0"/>
                    <w:spacing w:line="240" w:lineRule="auto"/>
                    <w:jc w:val="center"/>
                    <w:textAlignment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待鉴定</w:t>
                  </w:r>
                </w:p>
              </w:tc>
              <w:tc>
                <w:tcPr>
                  <w:tcW w:w="1087" w:type="dxa"/>
                  <w:shd w:val="clear" w:color="auto" w:fill="auto"/>
                  <w:noWrap w:val="0"/>
                  <w:vAlign w:val="center"/>
                </w:tcPr>
                <w:p w14:paraId="5D458E36">
                  <w:pPr>
                    <w:keepNext w:val="0"/>
                    <w:keepLines w:val="0"/>
                    <w:widowControl/>
                    <w:suppressLineNumbers w:val="0"/>
                    <w:spacing w:line="240" w:lineRule="auto"/>
                    <w:jc w:val="center"/>
                    <w:textAlignment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待鉴定</w:t>
                  </w:r>
                </w:p>
              </w:tc>
              <w:tc>
                <w:tcPr>
                  <w:tcW w:w="571" w:type="dxa"/>
                  <w:vMerge w:val="continue"/>
                  <w:noWrap w:val="0"/>
                  <w:vAlign w:val="center"/>
                </w:tcPr>
                <w:p w14:paraId="680B9FE6">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52" w:type="dxa"/>
                  <w:vMerge w:val="continue"/>
                  <w:noWrap w:val="0"/>
                  <w:vAlign w:val="center"/>
                </w:tcPr>
                <w:p w14:paraId="52490D0A">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65" w:type="dxa"/>
                  <w:noWrap w:val="0"/>
                  <w:vAlign w:val="center"/>
                </w:tcPr>
                <w:p w14:paraId="0BC783C9">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桶装</w:t>
                  </w:r>
                </w:p>
              </w:tc>
              <w:tc>
                <w:tcPr>
                  <w:tcW w:w="653" w:type="dxa"/>
                  <w:noWrap w:val="0"/>
                  <w:vAlign w:val="center"/>
                </w:tcPr>
                <w:p w14:paraId="3710AD5A">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2t</w:t>
                  </w:r>
                </w:p>
              </w:tc>
              <w:tc>
                <w:tcPr>
                  <w:tcW w:w="512" w:type="dxa"/>
                  <w:noWrap w:val="0"/>
                  <w:vAlign w:val="center"/>
                </w:tcPr>
                <w:p w14:paraId="478B5E4B">
                  <w:pPr>
                    <w:widowControl/>
                    <w:spacing w:line="240" w:lineRule="auto"/>
                    <w:jc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1年</w:t>
                  </w:r>
                </w:p>
              </w:tc>
            </w:tr>
            <w:tr w14:paraId="518A9DD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369" w:hRule="atLeast"/>
                <w:jc w:val="center"/>
              </w:trPr>
              <w:tc>
                <w:tcPr>
                  <w:tcW w:w="362" w:type="dxa"/>
                  <w:noWrap w:val="0"/>
                  <w:vAlign w:val="center"/>
                </w:tcPr>
                <w:p w14:paraId="27A9E716">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17</w:t>
                  </w:r>
                </w:p>
              </w:tc>
              <w:tc>
                <w:tcPr>
                  <w:tcW w:w="1212" w:type="dxa"/>
                  <w:vMerge w:val="continue"/>
                  <w:noWrap w:val="0"/>
                  <w:vAlign w:val="center"/>
                </w:tcPr>
                <w:p w14:paraId="02B7CE28">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1932" w:type="dxa"/>
                  <w:shd w:val="clear" w:color="auto" w:fill="auto"/>
                  <w:noWrap w:val="0"/>
                  <w:vAlign w:val="center"/>
                </w:tcPr>
                <w:p w14:paraId="59CA844A">
                  <w:pPr>
                    <w:pStyle w:val="109"/>
                    <w:pageBreakBefore w:val="0"/>
                    <w:tabs>
                      <w:tab w:val="left" w:pos="-2848"/>
                    </w:tabs>
                    <w:wordWrap w:val="0"/>
                    <w:topLinePunct/>
                    <w:bidi w:val="0"/>
                    <w:spacing w:beforeAutospacing="0" w:afterAutospacing="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废催化剂</w:t>
                  </w:r>
                </w:p>
              </w:tc>
              <w:tc>
                <w:tcPr>
                  <w:tcW w:w="780" w:type="dxa"/>
                  <w:shd w:val="clear" w:color="auto" w:fill="auto"/>
                  <w:noWrap w:val="0"/>
                  <w:vAlign w:val="center"/>
                </w:tcPr>
                <w:p w14:paraId="7FFCE301">
                  <w:pPr>
                    <w:pStyle w:val="109"/>
                    <w:pageBreakBefore w:val="0"/>
                    <w:tabs>
                      <w:tab w:val="left" w:pos="-2848"/>
                    </w:tabs>
                    <w:wordWrap w:val="0"/>
                    <w:topLinePunct/>
                    <w:bidi w:val="0"/>
                    <w:spacing w:beforeAutospacing="0" w:afterAutospacing="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HW50</w:t>
                  </w:r>
                </w:p>
              </w:tc>
              <w:tc>
                <w:tcPr>
                  <w:tcW w:w="1087" w:type="dxa"/>
                  <w:shd w:val="clear" w:color="auto" w:fill="auto"/>
                  <w:noWrap w:val="0"/>
                  <w:vAlign w:val="center"/>
                </w:tcPr>
                <w:p w14:paraId="45E9AC04">
                  <w:pPr>
                    <w:pStyle w:val="109"/>
                    <w:pageBreakBefore w:val="0"/>
                    <w:tabs>
                      <w:tab w:val="left" w:pos="-2848"/>
                    </w:tabs>
                    <w:wordWrap w:val="0"/>
                    <w:topLinePunct/>
                    <w:bidi w:val="0"/>
                    <w:spacing w:beforeAutospacing="0" w:afterAutospacing="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900-049-50</w:t>
                  </w:r>
                </w:p>
              </w:tc>
              <w:tc>
                <w:tcPr>
                  <w:tcW w:w="571" w:type="dxa"/>
                  <w:vMerge w:val="continue"/>
                  <w:noWrap w:val="0"/>
                  <w:vAlign w:val="center"/>
                </w:tcPr>
                <w:p w14:paraId="2032A5F6">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52" w:type="dxa"/>
                  <w:vMerge w:val="continue"/>
                  <w:noWrap w:val="0"/>
                  <w:vAlign w:val="center"/>
                </w:tcPr>
                <w:p w14:paraId="66B31C17">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65" w:type="dxa"/>
                  <w:shd w:val="clear" w:color="auto" w:fill="auto"/>
                  <w:noWrap w:val="0"/>
                  <w:vAlign w:val="center"/>
                </w:tcPr>
                <w:p w14:paraId="7360B26E">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堆存</w:t>
                  </w:r>
                </w:p>
              </w:tc>
              <w:tc>
                <w:tcPr>
                  <w:tcW w:w="653" w:type="dxa"/>
                  <w:shd w:val="clear" w:color="auto" w:fill="auto"/>
                  <w:noWrap w:val="0"/>
                  <w:vAlign w:val="center"/>
                </w:tcPr>
                <w:p w14:paraId="4298F72C">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0.5t</w:t>
                  </w:r>
                </w:p>
              </w:tc>
              <w:tc>
                <w:tcPr>
                  <w:tcW w:w="512" w:type="dxa"/>
                  <w:shd w:val="clear" w:color="auto" w:fill="auto"/>
                  <w:noWrap w:val="0"/>
                  <w:vAlign w:val="center"/>
                </w:tcPr>
                <w:p w14:paraId="771DCAFE">
                  <w:pPr>
                    <w:widowControl/>
                    <w:spacing w:line="240" w:lineRule="auto"/>
                    <w:jc w:val="cente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1年</w:t>
                  </w:r>
                </w:p>
              </w:tc>
            </w:tr>
            <w:tr w14:paraId="05F9037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369" w:hRule="atLeast"/>
                <w:jc w:val="center"/>
              </w:trPr>
              <w:tc>
                <w:tcPr>
                  <w:tcW w:w="362" w:type="dxa"/>
                  <w:noWrap w:val="0"/>
                  <w:vAlign w:val="center"/>
                </w:tcPr>
                <w:p w14:paraId="03F34EE2">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18</w:t>
                  </w:r>
                </w:p>
              </w:tc>
              <w:tc>
                <w:tcPr>
                  <w:tcW w:w="1212" w:type="dxa"/>
                  <w:vMerge w:val="continue"/>
                  <w:noWrap w:val="0"/>
                  <w:vAlign w:val="center"/>
                </w:tcPr>
                <w:p w14:paraId="2EECDE8F">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1932" w:type="dxa"/>
                  <w:shd w:val="clear" w:color="auto" w:fill="auto"/>
                  <w:noWrap w:val="0"/>
                  <w:vAlign w:val="center"/>
                </w:tcPr>
                <w:p w14:paraId="50743357">
                  <w:pPr>
                    <w:pStyle w:val="109"/>
                    <w:pageBreakBefore w:val="0"/>
                    <w:tabs>
                      <w:tab w:val="left" w:pos="-2848"/>
                    </w:tabs>
                    <w:wordWrap w:val="0"/>
                    <w:topLinePunct/>
                    <w:bidi w:val="0"/>
                    <w:spacing w:beforeAutospacing="0" w:afterAutospacing="0"/>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喷淋废液及沉渣</w:t>
                  </w:r>
                </w:p>
              </w:tc>
              <w:tc>
                <w:tcPr>
                  <w:tcW w:w="780" w:type="dxa"/>
                  <w:shd w:val="clear" w:color="auto" w:fill="auto"/>
                  <w:noWrap w:val="0"/>
                  <w:vAlign w:val="center"/>
                </w:tcPr>
                <w:p w14:paraId="5266EC3E">
                  <w:pPr>
                    <w:pStyle w:val="109"/>
                    <w:pageBreakBefore w:val="0"/>
                    <w:tabs>
                      <w:tab w:val="left" w:pos="-2848"/>
                    </w:tabs>
                    <w:wordWrap w:val="0"/>
                    <w:topLinePunct/>
                    <w:bidi w:val="0"/>
                    <w:spacing w:beforeAutospacing="0" w:afterAutospacing="0"/>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HW12</w:t>
                  </w:r>
                </w:p>
              </w:tc>
              <w:tc>
                <w:tcPr>
                  <w:tcW w:w="1087" w:type="dxa"/>
                  <w:shd w:val="clear" w:color="auto" w:fill="auto"/>
                  <w:noWrap w:val="0"/>
                  <w:vAlign w:val="center"/>
                </w:tcPr>
                <w:p w14:paraId="3A014DD3">
                  <w:pPr>
                    <w:pStyle w:val="109"/>
                    <w:pageBreakBefore w:val="0"/>
                    <w:tabs>
                      <w:tab w:val="left" w:pos="-2848"/>
                    </w:tabs>
                    <w:wordWrap w:val="0"/>
                    <w:topLinePunct/>
                    <w:bidi w:val="0"/>
                    <w:spacing w:beforeAutospacing="0" w:afterAutospacing="0"/>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900-252-12</w:t>
                  </w:r>
                </w:p>
              </w:tc>
              <w:tc>
                <w:tcPr>
                  <w:tcW w:w="571" w:type="dxa"/>
                  <w:vMerge w:val="continue"/>
                  <w:noWrap w:val="0"/>
                  <w:vAlign w:val="center"/>
                </w:tcPr>
                <w:p w14:paraId="20B1F619">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52" w:type="dxa"/>
                  <w:vMerge w:val="continue"/>
                  <w:noWrap w:val="0"/>
                  <w:vAlign w:val="center"/>
                </w:tcPr>
                <w:p w14:paraId="1DB19C0A">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65" w:type="dxa"/>
                  <w:noWrap w:val="0"/>
                  <w:vAlign w:val="center"/>
                </w:tcPr>
                <w:p w14:paraId="3253D1F2">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桶装</w:t>
                  </w:r>
                </w:p>
              </w:tc>
              <w:tc>
                <w:tcPr>
                  <w:tcW w:w="653" w:type="dxa"/>
                  <w:noWrap w:val="0"/>
                  <w:vAlign w:val="center"/>
                </w:tcPr>
                <w:p w14:paraId="466713E2">
                  <w:pPr>
                    <w:widowControl/>
                    <w:spacing w:line="240" w:lineRule="auto"/>
                    <w:jc w:val="center"/>
                    <w:textAlignment w:val="center"/>
                    <w:rPr>
                      <w:rFonts w:hint="default"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3t</w:t>
                  </w:r>
                </w:p>
              </w:tc>
              <w:tc>
                <w:tcPr>
                  <w:tcW w:w="512" w:type="dxa"/>
                  <w:noWrap w:val="0"/>
                  <w:vAlign w:val="center"/>
                </w:tcPr>
                <w:p w14:paraId="15171DD5">
                  <w:pPr>
                    <w:widowControl/>
                    <w:spacing w:line="240" w:lineRule="auto"/>
                    <w:jc w:val="center"/>
                    <w:rPr>
                      <w:rFonts w:hint="default"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1年</w:t>
                  </w:r>
                </w:p>
              </w:tc>
            </w:tr>
          </w:tbl>
          <w:p w14:paraId="1B1264C7">
            <w:pPr>
              <w:pStyle w:val="112"/>
              <w:keepNext w:val="0"/>
              <w:keepLines w:val="0"/>
              <w:pageBreakBefore w:val="0"/>
              <w:widowControl w:val="0"/>
              <w:kinsoku/>
              <w:wordWrap/>
              <w:overflowPunct/>
              <w:topLinePunct w:val="0"/>
              <w:autoSpaceDE/>
              <w:autoSpaceDN/>
              <w:bidi w:val="0"/>
              <w:adjustRightInd/>
              <w:snapToGrid/>
              <w:spacing w:line="120" w:lineRule="exact"/>
              <w:ind w:left="595"/>
              <w:textAlignment w:val="auto"/>
              <w:rPr>
                <w:rFonts w:hint="default" w:ascii="Times New Roman" w:hAnsi="Times New Roman" w:eastAsia="宋体" w:cs="Times New Roman"/>
                <w:color w:val="000000" w:themeColor="text1"/>
                <w:sz w:val="24"/>
                <w:highlight w:val="none"/>
                <w:lang w:eastAsia="zh-CN"/>
                <w14:textFill>
                  <w14:solidFill>
                    <w14:schemeClr w14:val="tx1"/>
                  </w14:solidFill>
                </w14:textFill>
              </w:rPr>
            </w:pPr>
          </w:p>
          <w:p w14:paraId="2BB1B5F8">
            <w:pPr>
              <w:spacing w:line="360" w:lineRule="auto"/>
              <w:ind w:firstLine="480" w:firstLineChars="200"/>
              <w:rPr>
                <w:rFonts w:hint="default" w:ascii="Times New Roman" w:hAnsi="Times New Roman" w:eastAsia="宋体" w:cs="Times New Roman"/>
                <w:b w:val="0"/>
                <w:bCs w:val="0"/>
                <w:color w:val="000000" w:themeColor="text1"/>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 xml:space="preserve">3）危险废物运输要求 </w:t>
            </w:r>
          </w:p>
          <w:p w14:paraId="1C7B42A5">
            <w:pPr>
              <w:spacing w:line="360" w:lineRule="auto"/>
              <w:ind w:firstLine="480" w:firstLineChars="200"/>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项目危险废物经收集后交由有危险废物处理资质的单位外运处理。危险废物须严格按照《广东省危险废物经营许可证管理暂行规定》和《广东省危险废物转移报告联单管理暂行规定》中的有关要求管理。建设单位应委托具有相应资质的运输单位和利用处置经营单位，签订委托合同，依法委托运输、利用处置危险废物。在委托时，应详细核实运输单位、车辆、驾驶员及押运员的资质，并根据废物特性，选择运输工具，严防二次污染；应详细核实经营单位资质，严禁委托不具资质或资质不符的单位处置。转移前，产生单位应制定转移计划，向</w:t>
            </w:r>
            <w:r>
              <w:rPr>
                <w:rFonts w:hint="eastAsia" w:cs="Times New Roman"/>
                <w:b w:val="0"/>
                <w:bCs w:val="0"/>
                <w:color w:val="000000" w:themeColor="text1"/>
                <w:sz w:val="24"/>
                <w:highlight w:val="none"/>
                <w:lang w:val="en-US" w:eastAsia="zh-CN"/>
                <w14:textFill>
                  <w14:solidFill>
                    <w14:schemeClr w14:val="tx1"/>
                  </w14:solidFill>
                </w14:textFill>
              </w:rPr>
              <w:t>生态环境主管部门</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报备并领取联单；转移后，应按照转移实际，做到一转移一联单，并及时向</w:t>
            </w:r>
            <w:r>
              <w:rPr>
                <w:rFonts w:hint="eastAsia" w:cs="Times New Roman"/>
                <w:b w:val="0"/>
                <w:bCs w:val="0"/>
                <w:color w:val="000000" w:themeColor="text1"/>
                <w:sz w:val="24"/>
                <w:highlight w:val="none"/>
                <w:lang w:val="en-US" w:eastAsia="zh-CN"/>
                <w14:textFill>
                  <w14:solidFill>
                    <w14:schemeClr w14:val="tx1"/>
                  </w14:solidFill>
                </w14:textFill>
              </w:rPr>
              <w:t>生态环境主管部门</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提交转移联单，联单保存应在五年以上。</w:t>
            </w:r>
          </w:p>
          <w:p w14:paraId="7E0A5AF1">
            <w:pPr>
              <w:spacing w:line="360" w:lineRule="auto"/>
              <w:ind w:firstLine="482"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4.3环境影响评价结论</w:t>
            </w:r>
          </w:p>
          <w:p w14:paraId="4E6DDD4E">
            <w:pPr>
              <w:spacing w:line="360" w:lineRule="auto"/>
              <w:ind w:firstLine="480" w:firstLineChars="200"/>
              <w:rPr>
                <w:rFonts w:hint="default" w:ascii="Times New Roman" w:hAnsi="Times New Roman" w:eastAsia="宋体" w:cs="Times New Roman"/>
                <w:b w:val="0"/>
                <w:bCs w:val="0"/>
                <w:color w:val="000000" w:themeColor="text1"/>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本项目产生的固体废物经上述措施处理后，项目产生的固废均能得到妥善处置，不会直接对环境造成明显不利影响。</w:t>
            </w:r>
          </w:p>
          <w:p w14:paraId="714AF595">
            <w:pPr>
              <w:spacing w:line="360" w:lineRule="auto"/>
              <w:ind w:firstLine="482"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5、地下水、土壤</w:t>
            </w:r>
          </w:p>
          <w:p w14:paraId="35CFB153">
            <w:pPr>
              <w:spacing w:line="360" w:lineRule="auto"/>
              <w:ind w:firstLine="482" w:firstLineChars="200"/>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bookmarkStart w:id="35" w:name="bookmark4"/>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5.1地下水和土壤污染源及污染途径分析</w:t>
            </w:r>
          </w:p>
          <w:p w14:paraId="5A587D59">
            <w:pPr>
              <w:spacing w:line="360" w:lineRule="auto"/>
              <w:ind w:firstLine="480" w:firstLineChars="200"/>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地下水污染主要是由于污染物迁移穿过包气带进入含水层造成；土壤污染主要由大气沉降、地面漫流、垂直入渗等原因造成。</w:t>
            </w:r>
          </w:p>
          <w:p w14:paraId="5912D89E">
            <w:pPr>
              <w:spacing w:line="360" w:lineRule="auto"/>
              <w:ind w:firstLine="480" w:firstLineChars="200"/>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项目厂区地面已全部硬化，危废间、化学品仓地面硬化，并刷环氧树脂漆防渗层、设置围堰，地面防腐防渗措施良好，不存在露天生产或储存的情况，即不存受雨水冲刷、淋溶出污染物的情况。</w:t>
            </w:r>
          </w:p>
          <w:p w14:paraId="3257A191">
            <w:pPr>
              <w:spacing w:line="360" w:lineRule="auto"/>
              <w:ind w:firstLine="480" w:firstLineChars="200"/>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项目危险废物暂存仓按《危险废物贮存污染控制标准》（GB18597-2023）相关要求设置；污水处理站、生产车间均为硬底化地面，若生产设备发生渗漏可及时发现并检修，即使发生渗漏时也可以有效收集；事故废水设置导流沟连通事故应急池，以便收集事故废水，可有效避免消防废水流出厂外。因此，本项目不存在污染土壤和地下水环境的途径。</w:t>
            </w:r>
          </w:p>
          <w:p w14:paraId="5A8C8DC9">
            <w:pPr>
              <w:spacing w:line="360" w:lineRule="auto"/>
              <w:ind w:firstLine="482" w:firstLineChars="200"/>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5.2地下水和土壤污染防控措施</w:t>
            </w:r>
          </w:p>
          <w:p w14:paraId="75E2F632">
            <w:pPr>
              <w:spacing w:line="360" w:lineRule="auto"/>
              <w:ind w:firstLine="480" w:firstLineChars="200"/>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针对项目可能发生的地下水、土壤污染，按照“源头控制、末端防治、污染监控、应急响应”相结合的原则，从污染物的产生、入渗、扩散、应急响应全阶段进行控制；进行污染防治分区，按照要求进行分区防渗处理。为进一步降低项目运行过程对地下水、土壤环境的影响，本环评建议建设单位做好以下内容：</w:t>
            </w:r>
          </w:p>
          <w:p w14:paraId="7C7DB490">
            <w:pPr>
              <w:spacing w:line="360" w:lineRule="auto"/>
              <w:ind w:firstLine="480" w:firstLineChars="200"/>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（1）生产中严格落实废水收集、治理措施。生产中加强废水收集巡检，发现泄漏后采取堵截措施，将泄漏的废污水控制在厂区范围内，并妥善处理。</w:t>
            </w:r>
          </w:p>
          <w:p w14:paraId="1171F969">
            <w:pPr>
              <w:spacing w:line="360" w:lineRule="auto"/>
              <w:ind w:firstLine="480" w:firstLineChars="200"/>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（2）加强废气处理设备的管理和维护，确保设备处于良好的运行状态，做到源头控制，减少颗粒物的排放。</w:t>
            </w:r>
          </w:p>
          <w:p w14:paraId="7E51584F">
            <w:pPr>
              <w:spacing w:line="360" w:lineRule="auto"/>
              <w:ind w:firstLine="480" w:firstLineChars="200"/>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（3）车间地面做好防渗、防腐工作。地下水、土壤污染防治工作统筹考虑，项目生产厂房、</w:t>
            </w:r>
            <w:r>
              <w:rPr>
                <w:rFonts w:hint="eastAsia" w:cs="Times New Roman"/>
                <w:b w:val="0"/>
                <w:bCs w:val="0"/>
                <w:color w:val="000000" w:themeColor="text1"/>
                <w:sz w:val="24"/>
                <w:szCs w:val="24"/>
                <w:highlight w:val="none"/>
                <w:lang w:val="en-US" w:eastAsia="zh-CN"/>
                <w14:textFill>
                  <w14:solidFill>
                    <w14:schemeClr w14:val="tx1"/>
                  </w14:solidFill>
                </w14:textFill>
              </w:rPr>
              <w:t>危险废物贮存间</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、污水处理站属于重点污染区，做好各区域的地面防渗方案，采用符合防渗标准要求的防渗材料。</w:t>
            </w:r>
          </w:p>
          <w:p w14:paraId="681DCBF7">
            <w:pPr>
              <w:spacing w:line="360" w:lineRule="auto"/>
              <w:ind w:firstLine="480" w:firstLineChars="200"/>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4）原料及产品转运、贮存等各环节做好防风、防水、防渗措施，避免有害物质流失禁止随意弃置、堆放、填埋。固体废物应分类收集暂存，严格按照《危险废物贮存污染控制标准》（GB18597-2023）相关要求对危险废物进行收集、暂存，并委托持有《危险废物经营许可证》的单位进行无害化处理处置。化学品存放区应备有泄漏应急处理设备（防渗托盘）和合适的收容材料，储存、运输过程中应当进行密闭，采取塑料包装物进行密闭等措施，避免化学品泄漏。</w:t>
            </w:r>
          </w:p>
          <w:p w14:paraId="5BAD6BEF">
            <w:pPr>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综上，本项目采取以上措施后，不会对地下水和土壤产生明显的不利影响。</w:t>
            </w:r>
            <w:bookmarkEnd w:id="35"/>
          </w:p>
          <w:p w14:paraId="68019EC1">
            <w:pPr>
              <w:numPr>
                <w:ilvl w:val="0"/>
                <w:numId w:val="16"/>
              </w:numPr>
              <w:spacing w:line="360" w:lineRule="auto"/>
              <w:ind w:firstLine="482"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生态</w:t>
            </w:r>
          </w:p>
          <w:p w14:paraId="07DFA4E2">
            <w:pPr>
              <w:spacing w:line="360" w:lineRule="auto"/>
              <w:ind w:firstLine="480"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本项目所在区域无特殊的生态环境和需特别保护的野生动植物，不属于生态环境敏感区。因此，本项目的建设不会对周边生态环境造成明显影响。</w:t>
            </w:r>
          </w:p>
          <w:p w14:paraId="5446807F">
            <w:pPr>
              <w:pStyle w:val="39"/>
              <w:spacing w:after="0" w:line="360" w:lineRule="auto"/>
              <w:ind w:firstLine="482"/>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7、环境风险</w:t>
            </w:r>
          </w:p>
          <w:p w14:paraId="1F472F84">
            <w:pPr>
              <w:pStyle w:val="39"/>
              <w:spacing w:after="0" w:line="360" w:lineRule="auto"/>
              <w:ind w:firstLine="482"/>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7.1环境风险物质识别</w:t>
            </w:r>
          </w:p>
          <w:p w14:paraId="0518E4A4">
            <w:pPr>
              <w:pStyle w:val="39"/>
              <w:spacing w:after="0" w:line="360" w:lineRule="auto"/>
              <w:ind w:firstLine="482"/>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本项目涉及《建设项目环境风险评价技术导则》（HJ169-2018）附录B表B.1及表B.2所列部分危险物质</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包括无铬钝化剂、pH调整剂</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、机油、</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液压油、天然气以及</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危险废物。根据《建设项目环境风险评价技术导则》（HJ169-2018）附录C（规范性附录）危险物质及工艺系统危险性（P）的分级，计算本项目涉及的危险物质最大存在总量与其在附录B中对应临界量的比值Q。当只涉及一种环境风险物质时，计算该物质的总数量与其临界量比值，即为Q；当存在多种环境风险物质时，则按下式计算物质数量与其临界量比值（Q）：</w:t>
            </w:r>
          </w:p>
          <w:p w14:paraId="4C6AABB0">
            <w:pPr>
              <w:pStyle w:val="39"/>
              <w:spacing w:after="0" w:line="360" w:lineRule="auto"/>
              <w:jc w:val="center"/>
              <w:rPr>
                <w:rFonts w:hint="default" w:ascii="Times New Roman" w:hAnsi="Times New Roman" w:eastAsia="宋体" w:cs="Times New Roman"/>
                <w:color w:val="000000" w:themeColor="text1"/>
                <w:spacing w:val="-5"/>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5"/>
                <w:position w:val="-30"/>
                <w:sz w:val="24"/>
                <w:szCs w:val="24"/>
                <w:highlight w:val="none"/>
                <w:lang w:eastAsia="zh-CN"/>
                <w14:textFill>
                  <w14:solidFill>
                    <w14:schemeClr w14:val="tx1"/>
                  </w14:solidFill>
                </w14:textFill>
              </w:rPr>
              <w:object>
                <v:shape id="_x0000_i1036" o:spt="75" type="#_x0000_t75" style="height:34pt;width:101pt;" o:ole="t" filled="f" o:preferrelative="t" stroked="f" coordsize="21600,21600">
                  <v:path/>
                  <v:fill on="f" focussize="0,0"/>
                  <v:stroke on="f"/>
                  <v:imagedata r:id="rId49" o:title=""/>
                  <o:lock v:ext="edit" aspectratio="t"/>
                  <w10:wrap type="none"/>
                  <w10:anchorlock/>
                </v:shape>
                <o:OLEObject Type="Embed" ProgID="Equation.KSEE3" ShapeID="_x0000_i1036" DrawAspect="Content" ObjectID="_1468075736" r:id="rId48">
                  <o:LockedField>false</o:LockedField>
                </o:OLEObject>
              </w:object>
            </w:r>
          </w:p>
          <w:p w14:paraId="3732F0A9">
            <w:pPr>
              <w:pStyle w:val="39"/>
              <w:spacing w:after="0" w:line="360" w:lineRule="auto"/>
              <w:ind w:firstLine="482"/>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pacing w:val="-5"/>
                <w:sz w:val="24"/>
                <w:szCs w:val="24"/>
                <w:highlight w:val="none"/>
                <w14:textFill>
                  <w14:solidFill>
                    <w14:schemeClr w14:val="tx1"/>
                  </w14:solidFill>
                </w14:textFill>
              </w:rPr>
              <w:t>式中：</w:t>
            </w:r>
            <w:r>
              <w:rPr>
                <w:rFonts w:hint="default" w:ascii="Times New Roman" w:hAnsi="Times New Roman" w:eastAsia="Times New Roman" w:cs="Times New Roman"/>
                <w:color w:val="000000" w:themeColor="text1"/>
                <w:spacing w:val="-5"/>
                <w:sz w:val="24"/>
                <w:szCs w:val="24"/>
                <w:highlight w:val="none"/>
                <w14:textFill>
                  <w14:solidFill>
                    <w14:schemeClr w14:val="tx1"/>
                  </w14:solidFill>
                </w14:textFill>
              </w:rPr>
              <w:t>q</w:t>
            </w:r>
            <w:r>
              <w:rPr>
                <w:rFonts w:hint="default" w:ascii="Times New Roman" w:hAnsi="Times New Roman" w:eastAsia="Times New Roman" w:cs="Times New Roman"/>
                <w:color w:val="000000" w:themeColor="text1"/>
                <w:spacing w:val="-5"/>
                <w:sz w:val="24"/>
                <w:szCs w:val="24"/>
                <w:highlight w:val="none"/>
                <w:vertAlign w:val="subscript"/>
                <w14:textFill>
                  <w14:solidFill>
                    <w14:schemeClr w14:val="tx1"/>
                  </w14:solidFill>
                </w14:textFill>
              </w:rPr>
              <w:t>1</w:t>
            </w:r>
            <w:r>
              <w:rPr>
                <w:rFonts w:hint="default" w:ascii="Times New Roman" w:hAnsi="Times New Roman" w:cs="Times New Roman"/>
                <w:color w:val="000000" w:themeColor="text1"/>
                <w:spacing w:val="-5"/>
                <w:sz w:val="24"/>
                <w:szCs w:val="24"/>
                <w:highlight w:val="none"/>
                <w14:textFill>
                  <w14:solidFill>
                    <w14:schemeClr w14:val="tx1"/>
                  </w14:solidFill>
                </w14:textFill>
              </w:rPr>
              <w:t>，</w:t>
            </w:r>
            <w:r>
              <w:rPr>
                <w:rFonts w:hint="default" w:ascii="Times New Roman" w:hAnsi="Times New Roman" w:eastAsia="Times New Roman" w:cs="Times New Roman"/>
                <w:color w:val="000000" w:themeColor="text1"/>
                <w:spacing w:val="-5"/>
                <w:sz w:val="24"/>
                <w:szCs w:val="24"/>
                <w:highlight w:val="none"/>
                <w14:textFill>
                  <w14:solidFill>
                    <w14:schemeClr w14:val="tx1"/>
                  </w14:solidFill>
                </w14:textFill>
              </w:rPr>
              <w:t>q</w:t>
            </w:r>
            <w:r>
              <w:rPr>
                <w:rFonts w:hint="default" w:ascii="Times New Roman" w:hAnsi="Times New Roman" w:eastAsia="Times New Roman" w:cs="Times New Roman"/>
                <w:color w:val="000000" w:themeColor="text1"/>
                <w:spacing w:val="-5"/>
                <w:sz w:val="24"/>
                <w:szCs w:val="24"/>
                <w:highlight w:val="none"/>
                <w:vertAlign w:val="subscript"/>
                <w14:textFill>
                  <w14:solidFill>
                    <w14:schemeClr w14:val="tx1"/>
                  </w14:solidFill>
                </w14:textFill>
              </w:rPr>
              <w:t>2</w:t>
            </w:r>
            <w:r>
              <w:rPr>
                <w:rFonts w:hint="default" w:ascii="Times New Roman" w:hAnsi="Times New Roman" w:cs="Times New Roman"/>
                <w:color w:val="000000" w:themeColor="text1"/>
                <w:spacing w:val="-5"/>
                <w:sz w:val="24"/>
                <w:szCs w:val="24"/>
                <w:highlight w:val="none"/>
                <w14:textFill>
                  <w14:solidFill>
                    <w14:schemeClr w14:val="tx1"/>
                  </w14:solidFill>
                </w14:textFill>
              </w:rPr>
              <w:t>，</w:t>
            </w:r>
            <w:r>
              <w:rPr>
                <w:rFonts w:hint="default" w:ascii="Times New Roman" w:hAnsi="Times New Roman" w:cs="Times New Roman"/>
                <w:color w:val="000000" w:themeColor="text1"/>
                <w:spacing w:val="-5"/>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pacing w:val="-5"/>
                <w:sz w:val="24"/>
                <w:szCs w:val="24"/>
                <w:highlight w:val="none"/>
                <w:lang w:eastAsia="zh-CN"/>
                <w14:textFill>
                  <w14:solidFill>
                    <w14:schemeClr w14:val="tx1"/>
                  </w14:solidFill>
                </w14:textFill>
              </w:rPr>
              <w:t>，</w:t>
            </w:r>
            <w:r>
              <w:rPr>
                <w:rFonts w:hint="default" w:ascii="Times New Roman" w:hAnsi="Times New Roman" w:eastAsia="Times New Roman" w:cs="Times New Roman"/>
                <w:color w:val="000000" w:themeColor="text1"/>
                <w:spacing w:val="-5"/>
                <w:sz w:val="24"/>
                <w:szCs w:val="24"/>
                <w:highlight w:val="none"/>
                <w14:textFill>
                  <w14:solidFill>
                    <w14:schemeClr w14:val="tx1"/>
                  </w14:solidFill>
                </w14:textFill>
              </w:rPr>
              <w:t>q</w:t>
            </w:r>
            <w:r>
              <w:rPr>
                <w:rFonts w:hint="default" w:ascii="Times New Roman" w:hAnsi="Times New Roman" w:eastAsia="Times New Roman" w:cs="Times New Roman"/>
                <w:color w:val="000000" w:themeColor="text1"/>
                <w:spacing w:val="-5"/>
                <w:sz w:val="24"/>
                <w:szCs w:val="24"/>
                <w:highlight w:val="none"/>
                <w:vertAlign w:val="subscript"/>
                <w14:textFill>
                  <w14:solidFill>
                    <w14:schemeClr w14:val="tx1"/>
                  </w14:solidFill>
                </w14:textFill>
              </w:rPr>
              <w:t>n</w:t>
            </w:r>
            <w:r>
              <w:rPr>
                <w:rFonts w:hint="default" w:ascii="Times New Roman" w:hAnsi="Times New Roman" w:eastAsia="Times New Roman" w:cs="Times New Roman"/>
                <w:color w:val="000000" w:themeColor="text1"/>
                <w:spacing w:val="-5"/>
                <w:sz w:val="24"/>
                <w:szCs w:val="24"/>
                <w:highlight w:val="none"/>
                <w14:textFill>
                  <w14:solidFill>
                    <w14:schemeClr w14:val="tx1"/>
                  </w14:solidFill>
                </w14:textFill>
              </w:rPr>
              <w:t>—</w:t>
            </w:r>
            <w:r>
              <w:rPr>
                <w:rFonts w:hint="default" w:ascii="Times New Roman" w:hAnsi="Times New Roman" w:cs="Times New Roman"/>
                <w:color w:val="000000" w:themeColor="text1"/>
                <w:spacing w:val="-5"/>
                <w:sz w:val="24"/>
                <w:szCs w:val="24"/>
                <w:highlight w:val="none"/>
                <w14:textFill>
                  <w14:solidFill>
                    <w14:schemeClr w14:val="tx1"/>
                  </w14:solidFill>
                </w14:textFill>
              </w:rPr>
              <w:t>每种危险物质的最大存在总量，</w:t>
            </w:r>
            <w:r>
              <w:rPr>
                <w:rFonts w:hint="default" w:ascii="Times New Roman" w:hAnsi="Times New Roman" w:eastAsia="Times New Roman" w:cs="Times New Roman"/>
                <w:color w:val="000000" w:themeColor="text1"/>
                <w:spacing w:val="-5"/>
                <w:sz w:val="24"/>
                <w:szCs w:val="24"/>
                <w:highlight w:val="none"/>
                <w14:textFill>
                  <w14:solidFill>
                    <w14:schemeClr w14:val="tx1"/>
                  </w14:solidFill>
                </w14:textFill>
              </w:rPr>
              <w:t>t</w:t>
            </w:r>
            <w:r>
              <w:rPr>
                <w:rFonts w:hint="default" w:ascii="Times New Roman" w:hAnsi="Times New Roman" w:cs="Times New Roman"/>
                <w:color w:val="000000" w:themeColor="text1"/>
                <w:spacing w:val="-5"/>
                <w:sz w:val="24"/>
                <w:szCs w:val="24"/>
                <w:highlight w:val="none"/>
                <w14:textFill>
                  <w14:solidFill>
                    <w14:schemeClr w14:val="tx1"/>
                  </w14:solidFill>
                </w14:textFill>
              </w:rPr>
              <w:t>；</w:t>
            </w:r>
            <w:r>
              <w:rPr>
                <w:rFonts w:hint="default" w:ascii="Times New Roman" w:hAnsi="Times New Roman" w:eastAsia="Times New Roman" w:cs="Times New Roman"/>
                <w:color w:val="000000" w:themeColor="text1"/>
                <w:spacing w:val="-2"/>
                <w:sz w:val="24"/>
                <w:szCs w:val="24"/>
                <w:highlight w:val="none"/>
                <w14:textFill>
                  <w14:solidFill>
                    <w14:schemeClr w14:val="tx1"/>
                  </w14:solidFill>
                </w14:textFill>
              </w:rPr>
              <w:t>Q</w:t>
            </w:r>
            <w:r>
              <w:rPr>
                <w:rFonts w:hint="default" w:ascii="Times New Roman" w:hAnsi="Times New Roman" w:eastAsia="Times New Roman" w:cs="Times New Roman"/>
                <w:color w:val="000000" w:themeColor="text1"/>
                <w:spacing w:val="-5"/>
                <w:sz w:val="24"/>
                <w:szCs w:val="24"/>
                <w:highlight w:val="none"/>
                <w:vertAlign w:val="subscript"/>
                <w14:textFill>
                  <w14:solidFill>
                    <w14:schemeClr w14:val="tx1"/>
                  </w14:solidFill>
                </w14:textFill>
              </w:rPr>
              <w:t>1</w:t>
            </w:r>
            <w:r>
              <w:rPr>
                <w:rFonts w:hint="default" w:ascii="Times New Roman" w:hAnsi="Times New Roman" w:cs="Times New Roman"/>
                <w:color w:val="000000" w:themeColor="text1"/>
                <w:spacing w:val="-2"/>
                <w:sz w:val="24"/>
                <w:szCs w:val="24"/>
                <w:highlight w:val="none"/>
                <w14:textFill>
                  <w14:solidFill>
                    <w14:schemeClr w14:val="tx1"/>
                  </w14:solidFill>
                </w14:textFill>
              </w:rPr>
              <w:t>，</w:t>
            </w:r>
            <w:r>
              <w:rPr>
                <w:rFonts w:hint="default" w:ascii="Times New Roman" w:hAnsi="Times New Roman" w:eastAsia="Times New Roman" w:cs="Times New Roman"/>
                <w:color w:val="000000" w:themeColor="text1"/>
                <w:spacing w:val="-2"/>
                <w:sz w:val="24"/>
                <w:szCs w:val="24"/>
                <w:highlight w:val="none"/>
                <w14:textFill>
                  <w14:solidFill>
                    <w14:schemeClr w14:val="tx1"/>
                  </w14:solidFill>
                </w14:textFill>
              </w:rPr>
              <w:t>Q</w:t>
            </w:r>
            <w:r>
              <w:rPr>
                <w:rFonts w:hint="default" w:ascii="Times New Roman" w:hAnsi="Times New Roman" w:eastAsia="Times New Roman" w:cs="Times New Roman"/>
                <w:color w:val="000000" w:themeColor="text1"/>
                <w:spacing w:val="-5"/>
                <w:sz w:val="24"/>
                <w:szCs w:val="24"/>
                <w:highlight w:val="none"/>
                <w:vertAlign w:val="subscript"/>
                <w14:textFill>
                  <w14:solidFill>
                    <w14:schemeClr w14:val="tx1"/>
                  </w14:solidFill>
                </w14:textFill>
              </w:rPr>
              <w:t>2</w:t>
            </w:r>
            <w:r>
              <w:rPr>
                <w:rFonts w:hint="default" w:ascii="Times New Roman" w:hAnsi="Times New Roman" w:cs="Times New Roman"/>
                <w:color w:val="000000" w:themeColor="text1"/>
                <w:spacing w:val="-2"/>
                <w:sz w:val="24"/>
                <w:szCs w:val="24"/>
                <w:highlight w:val="none"/>
                <w14:textFill>
                  <w14:solidFill>
                    <w14:schemeClr w14:val="tx1"/>
                  </w14:solidFill>
                </w14:textFill>
              </w:rPr>
              <w:t>，</w:t>
            </w:r>
            <w:r>
              <w:rPr>
                <w:rFonts w:hint="default" w:ascii="Times New Roman" w:hAnsi="Times New Roman" w:eastAsia="宋体" w:cs="Times New Roman"/>
                <w:color w:val="000000" w:themeColor="text1"/>
                <w:spacing w:val="-2"/>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2"/>
                <w:sz w:val="24"/>
                <w:szCs w:val="24"/>
                <w:highlight w:val="none"/>
                <w:lang w:eastAsia="zh-CN"/>
                <w14:textFill>
                  <w14:solidFill>
                    <w14:schemeClr w14:val="tx1"/>
                  </w14:solidFill>
                </w14:textFill>
              </w:rPr>
              <w:t>，</w:t>
            </w:r>
            <w:r>
              <w:rPr>
                <w:rFonts w:hint="default" w:ascii="Times New Roman" w:hAnsi="Times New Roman" w:eastAsia="Times New Roman" w:cs="Times New Roman"/>
                <w:color w:val="000000" w:themeColor="text1"/>
                <w:spacing w:val="-2"/>
                <w:sz w:val="24"/>
                <w:szCs w:val="24"/>
                <w:highlight w:val="none"/>
                <w14:textFill>
                  <w14:solidFill>
                    <w14:schemeClr w14:val="tx1"/>
                  </w14:solidFill>
                </w14:textFill>
              </w:rPr>
              <w:t>Q</w:t>
            </w:r>
            <w:r>
              <w:rPr>
                <w:rFonts w:hint="default" w:ascii="Times New Roman" w:hAnsi="Times New Roman" w:eastAsia="Times New Roman" w:cs="Times New Roman"/>
                <w:color w:val="000000" w:themeColor="text1"/>
                <w:spacing w:val="-5"/>
                <w:sz w:val="24"/>
                <w:szCs w:val="24"/>
                <w:highlight w:val="none"/>
                <w:vertAlign w:val="subscript"/>
                <w14:textFill>
                  <w14:solidFill>
                    <w14:schemeClr w14:val="tx1"/>
                  </w14:solidFill>
                </w14:textFill>
              </w:rPr>
              <w:t>n</w:t>
            </w:r>
            <w:r>
              <w:rPr>
                <w:rFonts w:hint="default" w:ascii="Times New Roman" w:hAnsi="Times New Roman" w:eastAsia="Times New Roman" w:cs="Times New Roman"/>
                <w:color w:val="000000" w:themeColor="text1"/>
                <w:spacing w:val="-2"/>
                <w:sz w:val="24"/>
                <w:szCs w:val="24"/>
                <w:highlight w:val="none"/>
                <w14:textFill>
                  <w14:solidFill>
                    <w14:schemeClr w14:val="tx1"/>
                  </w14:solidFill>
                </w14:textFill>
              </w:rPr>
              <w:t>—</w:t>
            </w:r>
            <w:r>
              <w:rPr>
                <w:rFonts w:hint="default" w:ascii="Times New Roman" w:hAnsi="Times New Roman" w:cs="Times New Roman"/>
                <w:color w:val="000000" w:themeColor="text1"/>
                <w:spacing w:val="-2"/>
                <w:sz w:val="24"/>
                <w:szCs w:val="24"/>
                <w:highlight w:val="none"/>
                <w14:textFill>
                  <w14:solidFill>
                    <w14:schemeClr w14:val="tx1"/>
                  </w14:solidFill>
                </w14:textFill>
              </w:rPr>
              <w:t>每种环境风险物质相</w:t>
            </w:r>
            <w:r>
              <w:rPr>
                <w:rFonts w:hint="default" w:ascii="Times New Roman" w:hAnsi="Times New Roman" w:cs="Times New Roman"/>
                <w:color w:val="000000" w:themeColor="text1"/>
                <w:spacing w:val="-3"/>
                <w:sz w:val="24"/>
                <w:szCs w:val="24"/>
                <w:highlight w:val="none"/>
                <w14:textFill>
                  <w14:solidFill>
                    <w14:schemeClr w14:val="tx1"/>
                  </w14:solidFill>
                </w14:textFill>
              </w:rPr>
              <w:t>对应的临界量，</w:t>
            </w:r>
            <w:r>
              <w:rPr>
                <w:rFonts w:hint="default" w:ascii="Times New Roman" w:hAnsi="Times New Roman" w:eastAsia="Times New Roman" w:cs="Times New Roman"/>
                <w:color w:val="000000" w:themeColor="text1"/>
                <w:spacing w:val="-3"/>
                <w:sz w:val="24"/>
                <w:szCs w:val="24"/>
                <w:highlight w:val="none"/>
                <w14:textFill>
                  <w14:solidFill>
                    <w14:schemeClr w14:val="tx1"/>
                  </w14:solidFill>
                </w14:textFill>
              </w:rPr>
              <w:t>t</w:t>
            </w:r>
            <w:r>
              <w:rPr>
                <w:rFonts w:hint="default" w:ascii="Times New Roman" w:hAnsi="Times New Roman" w:cs="Times New Roman"/>
                <w:color w:val="000000" w:themeColor="text1"/>
                <w:spacing w:val="-3"/>
                <w:sz w:val="24"/>
                <w:szCs w:val="24"/>
                <w:highlight w:val="none"/>
                <w14:textFill>
                  <w14:solidFill>
                    <w14:schemeClr w14:val="tx1"/>
                  </w14:solidFill>
                </w14:textFill>
              </w:rPr>
              <w:t>。</w:t>
            </w:r>
          </w:p>
          <w:p w14:paraId="43CD6DE7">
            <w:pPr>
              <w:pStyle w:val="39"/>
              <w:spacing w:after="0" w:line="360" w:lineRule="auto"/>
              <w:ind w:firstLine="482"/>
              <w:rPr>
                <w:rFonts w:hint="default" w:ascii="Times New Roman" w:hAnsi="Times New Roman" w:cs="Times New Roman"/>
                <w:color w:val="000000" w:themeColor="text1"/>
                <w:spacing w:val="-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本项目建成投产后，风险物质</w:t>
            </w:r>
            <w:r>
              <w:rPr>
                <w:rFonts w:hint="default" w:ascii="Times New Roman" w:hAnsi="Times New Roman" w:cs="Times New Roman"/>
                <w:color w:val="000000" w:themeColor="text1"/>
                <w:spacing w:val="-1"/>
                <w:sz w:val="24"/>
                <w:szCs w:val="24"/>
                <w:highlight w:val="none"/>
                <w14:textFill>
                  <w14:solidFill>
                    <w14:schemeClr w14:val="tx1"/>
                  </w14:solidFill>
                </w14:textFill>
              </w:rPr>
              <w:t>危险物质数量、分布情况及</w:t>
            </w:r>
            <w:r>
              <w:rPr>
                <w:rFonts w:hint="default" w:ascii="Times New Roman" w:hAnsi="Times New Roman" w:eastAsia="Times New Roman" w:cs="Times New Roman"/>
                <w:color w:val="000000" w:themeColor="text1"/>
                <w:spacing w:val="-1"/>
                <w:sz w:val="24"/>
                <w:szCs w:val="24"/>
                <w:highlight w:val="none"/>
                <w14:textFill>
                  <w14:solidFill>
                    <w14:schemeClr w14:val="tx1"/>
                  </w14:solidFill>
                </w14:textFill>
              </w:rPr>
              <w:t>Q</w:t>
            </w:r>
            <w:r>
              <w:rPr>
                <w:rFonts w:hint="default" w:ascii="Times New Roman" w:hAnsi="Times New Roman" w:cs="Times New Roman"/>
                <w:color w:val="000000" w:themeColor="text1"/>
                <w:spacing w:val="-1"/>
                <w:sz w:val="24"/>
                <w:szCs w:val="24"/>
                <w:highlight w:val="none"/>
                <w14:textFill>
                  <w14:solidFill>
                    <w14:schemeClr w14:val="tx1"/>
                  </w14:solidFill>
                </w14:textFill>
              </w:rPr>
              <w:t>值核算情况如下表所示。</w:t>
            </w:r>
          </w:p>
          <w:p w14:paraId="5CDDFAA0">
            <w:pPr>
              <w:keepNext/>
              <w:keepLines/>
              <w:numPr>
                <w:ilvl w:val="0"/>
                <w:numId w:val="0"/>
              </w:numPr>
              <w:suppressLineNumbers w:val="0"/>
              <w:tabs>
                <w:tab w:val="left" w:pos="0"/>
              </w:tabs>
              <w:spacing w:before="0" w:beforeAutospacing="0" w:after="0" w:afterAutospacing="0"/>
              <w:ind w:left="0" w:leftChars="0" w:right="0" w:rightChars="0" w:firstLine="40" w:firstLineChars="0"/>
              <w:jc w:val="center"/>
              <w:outlineLvl w:val="3"/>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w:t>
            </w:r>
            <w:r>
              <w:rPr>
                <w:rFonts w:hint="eastAsia" w:cs="Times New Roman"/>
                <w:b/>
                <w:bCs/>
                <w:color w:val="000000" w:themeColor="text1"/>
                <w:kern w:val="2"/>
                <w:sz w:val="21"/>
                <w:szCs w:val="21"/>
                <w:lang w:val="en-US" w:eastAsia="zh-CN" w:bidi="ar-SA"/>
                <w14:textFill>
                  <w14:solidFill>
                    <w14:schemeClr w14:val="tx1"/>
                  </w14:solidFill>
                </w14:textFill>
              </w:rPr>
              <w:t xml:space="preserve">40 </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全厂风险物质Q值表</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26"/>
              <w:gridCol w:w="911"/>
              <w:gridCol w:w="1792"/>
              <w:gridCol w:w="1530"/>
              <w:gridCol w:w="1340"/>
              <w:gridCol w:w="943"/>
              <w:gridCol w:w="1284"/>
            </w:tblGrid>
            <w:tr w14:paraId="42C2D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jc w:val="center"/>
              </w:trPr>
              <w:tc>
                <w:tcPr>
                  <w:tcW w:w="626" w:type="dxa"/>
                  <w:shd w:val="clear" w:color="auto" w:fill="auto"/>
                  <w:vAlign w:val="center"/>
                </w:tcPr>
                <w:p w14:paraId="4C88CFAA">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序号</w:t>
                  </w:r>
                </w:p>
              </w:tc>
              <w:tc>
                <w:tcPr>
                  <w:tcW w:w="911" w:type="dxa"/>
                  <w:shd w:val="clear" w:color="auto" w:fill="auto"/>
                  <w:vAlign w:val="center"/>
                </w:tcPr>
                <w:p w14:paraId="6ACEE1A6">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类别</w:t>
                  </w:r>
                </w:p>
              </w:tc>
              <w:tc>
                <w:tcPr>
                  <w:tcW w:w="1792" w:type="dxa"/>
                  <w:shd w:val="clear" w:color="auto" w:fill="auto"/>
                  <w:vAlign w:val="center"/>
                </w:tcPr>
                <w:p w14:paraId="2354C400">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风险组份及含量</w:t>
                  </w:r>
                </w:p>
              </w:tc>
              <w:tc>
                <w:tcPr>
                  <w:tcW w:w="1530" w:type="dxa"/>
                  <w:shd w:val="clear" w:color="auto" w:fill="auto"/>
                  <w:vAlign w:val="center"/>
                </w:tcPr>
                <w:p w14:paraId="06C6BDF1">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CAS号</w:t>
                  </w:r>
                </w:p>
              </w:tc>
              <w:tc>
                <w:tcPr>
                  <w:tcW w:w="1340" w:type="dxa"/>
                  <w:shd w:val="clear" w:color="auto" w:fill="auto"/>
                  <w:vAlign w:val="center"/>
                </w:tcPr>
                <w:p w14:paraId="5F561827">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最大储存量t</w:t>
                  </w:r>
                </w:p>
              </w:tc>
              <w:tc>
                <w:tcPr>
                  <w:tcW w:w="943" w:type="dxa"/>
                  <w:shd w:val="clear" w:color="auto" w:fill="auto"/>
                  <w:vAlign w:val="center"/>
                </w:tcPr>
                <w:p w14:paraId="633E6F24">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临界值t</w:t>
                  </w:r>
                </w:p>
              </w:tc>
              <w:tc>
                <w:tcPr>
                  <w:tcW w:w="1284" w:type="dxa"/>
                  <w:shd w:val="clear" w:color="auto" w:fill="auto"/>
                  <w:vAlign w:val="center"/>
                </w:tcPr>
                <w:p w14:paraId="11BD69E7">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比值/Q</w:t>
                  </w:r>
                </w:p>
              </w:tc>
            </w:tr>
            <w:tr w14:paraId="03BA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26" w:type="dxa"/>
                  <w:shd w:val="clear" w:color="auto" w:fill="auto"/>
                  <w:vAlign w:val="center"/>
                </w:tcPr>
                <w:p w14:paraId="6BE3562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911" w:type="dxa"/>
                  <w:shd w:val="clear" w:color="auto" w:fill="auto"/>
                  <w:vAlign w:val="center"/>
                </w:tcPr>
                <w:p w14:paraId="195A54D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天然气</w:t>
                  </w:r>
                </w:p>
              </w:tc>
              <w:tc>
                <w:tcPr>
                  <w:tcW w:w="1792" w:type="dxa"/>
                  <w:shd w:val="clear" w:color="auto" w:fill="auto"/>
                  <w:vAlign w:val="center"/>
                </w:tcPr>
                <w:p w14:paraId="2E4293E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甲烷</w:t>
                  </w:r>
                </w:p>
              </w:tc>
              <w:tc>
                <w:tcPr>
                  <w:tcW w:w="1530" w:type="dxa"/>
                  <w:shd w:val="clear" w:color="auto" w:fill="auto"/>
                  <w:vAlign w:val="center"/>
                </w:tcPr>
                <w:p w14:paraId="1DC96BA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8006-14-2</w:t>
                  </w:r>
                </w:p>
              </w:tc>
              <w:tc>
                <w:tcPr>
                  <w:tcW w:w="1340" w:type="dxa"/>
                  <w:shd w:val="clear" w:color="auto" w:fill="auto"/>
                  <w:vAlign w:val="center"/>
                </w:tcPr>
                <w:p w14:paraId="1D8D9A1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0.00032</w:t>
                  </w:r>
                </w:p>
              </w:tc>
              <w:tc>
                <w:tcPr>
                  <w:tcW w:w="943" w:type="dxa"/>
                  <w:shd w:val="clear" w:color="auto" w:fill="auto"/>
                  <w:vAlign w:val="center"/>
                </w:tcPr>
                <w:p w14:paraId="5FA05DA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w:t>
                  </w:r>
                </w:p>
              </w:tc>
              <w:tc>
                <w:tcPr>
                  <w:tcW w:w="1284" w:type="dxa"/>
                  <w:shd w:val="clear" w:color="auto" w:fill="auto"/>
                  <w:vAlign w:val="center"/>
                </w:tcPr>
                <w:p w14:paraId="02AB7AA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0.000032</w:t>
                  </w:r>
                </w:p>
              </w:tc>
            </w:tr>
            <w:tr w14:paraId="2FB75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26" w:type="dxa"/>
                  <w:shd w:val="clear" w:color="auto" w:fill="auto"/>
                  <w:vAlign w:val="center"/>
                </w:tcPr>
                <w:p w14:paraId="433F9D2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911" w:type="dxa"/>
                  <w:shd w:val="clear" w:color="auto" w:fill="auto"/>
                  <w:vAlign w:val="center"/>
                </w:tcPr>
                <w:p w14:paraId="6242081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底漆</w:t>
                  </w:r>
                </w:p>
              </w:tc>
              <w:tc>
                <w:tcPr>
                  <w:tcW w:w="1792" w:type="dxa"/>
                  <w:shd w:val="clear" w:color="auto" w:fill="auto"/>
                  <w:vAlign w:val="center"/>
                </w:tcPr>
                <w:p w14:paraId="7B58108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二甲苯（33%）</w:t>
                  </w:r>
                </w:p>
              </w:tc>
              <w:tc>
                <w:tcPr>
                  <w:tcW w:w="1530" w:type="dxa"/>
                  <w:shd w:val="clear" w:color="auto" w:fill="auto"/>
                  <w:vAlign w:val="center"/>
                </w:tcPr>
                <w:p w14:paraId="596CAB1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1330-20-7</w:t>
                  </w:r>
                </w:p>
              </w:tc>
              <w:tc>
                <w:tcPr>
                  <w:tcW w:w="1340" w:type="dxa"/>
                  <w:shd w:val="clear" w:color="auto" w:fill="auto"/>
                  <w:vAlign w:val="center"/>
                </w:tcPr>
                <w:p w14:paraId="1CFC0F9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0.018</w:t>
                  </w:r>
                </w:p>
              </w:tc>
              <w:tc>
                <w:tcPr>
                  <w:tcW w:w="943" w:type="dxa"/>
                  <w:shd w:val="clear" w:color="auto" w:fill="auto"/>
                  <w:vAlign w:val="center"/>
                </w:tcPr>
                <w:p w14:paraId="330B59E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w:t>
                  </w:r>
                </w:p>
              </w:tc>
              <w:tc>
                <w:tcPr>
                  <w:tcW w:w="1284" w:type="dxa"/>
                  <w:shd w:val="clear" w:color="auto" w:fill="auto"/>
                  <w:vAlign w:val="center"/>
                </w:tcPr>
                <w:p w14:paraId="6F07168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0.0018</w:t>
                  </w:r>
                </w:p>
              </w:tc>
            </w:tr>
            <w:tr w14:paraId="3F152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26" w:type="dxa"/>
                  <w:shd w:val="clear" w:color="auto" w:fill="auto"/>
                  <w:vAlign w:val="center"/>
                </w:tcPr>
                <w:p w14:paraId="24555DB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911" w:type="dxa"/>
                  <w:shd w:val="clear" w:color="auto" w:fill="auto"/>
                  <w:vAlign w:val="center"/>
                </w:tcPr>
                <w:p w14:paraId="708C787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面漆</w:t>
                  </w:r>
                </w:p>
              </w:tc>
              <w:tc>
                <w:tcPr>
                  <w:tcW w:w="1792" w:type="dxa"/>
                  <w:shd w:val="clear" w:color="auto" w:fill="auto"/>
                  <w:vAlign w:val="center"/>
                </w:tcPr>
                <w:p w14:paraId="338F914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二甲苯（27%）</w:t>
                  </w:r>
                </w:p>
              </w:tc>
              <w:tc>
                <w:tcPr>
                  <w:tcW w:w="1530" w:type="dxa"/>
                  <w:shd w:val="clear" w:color="auto" w:fill="auto"/>
                  <w:vAlign w:val="center"/>
                </w:tcPr>
                <w:p w14:paraId="6FF0CB4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1330-20-7</w:t>
                  </w:r>
                </w:p>
              </w:tc>
              <w:tc>
                <w:tcPr>
                  <w:tcW w:w="1340" w:type="dxa"/>
                  <w:shd w:val="clear" w:color="auto" w:fill="auto"/>
                  <w:vAlign w:val="center"/>
                </w:tcPr>
                <w:p w14:paraId="6D58753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0.0385</w:t>
                  </w:r>
                </w:p>
              </w:tc>
              <w:tc>
                <w:tcPr>
                  <w:tcW w:w="943" w:type="dxa"/>
                  <w:shd w:val="clear" w:color="auto" w:fill="auto"/>
                  <w:vAlign w:val="center"/>
                </w:tcPr>
                <w:p w14:paraId="68F557B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w:t>
                  </w:r>
                </w:p>
              </w:tc>
              <w:tc>
                <w:tcPr>
                  <w:tcW w:w="1284" w:type="dxa"/>
                  <w:shd w:val="clear" w:color="auto" w:fill="auto"/>
                  <w:vAlign w:val="center"/>
                </w:tcPr>
                <w:p w14:paraId="3834E87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0.00385</w:t>
                  </w:r>
                </w:p>
              </w:tc>
            </w:tr>
            <w:tr w14:paraId="34A1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26" w:type="dxa"/>
                  <w:shd w:val="clear" w:color="auto" w:fill="auto"/>
                  <w:vAlign w:val="center"/>
                </w:tcPr>
                <w:p w14:paraId="046CF94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911" w:type="dxa"/>
                  <w:shd w:val="clear" w:color="auto" w:fill="auto"/>
                  <w:vAlign w:val="center"/>
                </w:tcPr>
                <w:p w14:paraId="4F83EE6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清漆</w:t>
                  </w:r>
                </w:p>
              </w:tc>
              <w:tc>
                <w:tcPr>
                  <w:tcW w:w="1792" w:type="dxa"/>
                  <w:shd w:val="clear" w:color="auto" w:fill="auto"/>
                  <w:vAlign w:val="center"/>
                </w:tcPr>
                <w:p w14:paraId="3D28ED9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二甲苯（30%）</w:t>
                  </w:r>
                </w:p>
              </w:tc>
              <w:tc>
                <w:tcPr>
                  <w:tcW w:w="1530" w:type="dxa"/>
                  <w:shd w:val="clear" w:color="auto" w:fill="auto"/>
                  <w:vAlign w:val="center"/>
                </w:tcPr>
                <w:p w14:paraId="63CCBAF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1330-20-7</w:t>
                  </w:r>
                </w:p>
              </w:tc>
              <w:tc>
                <w:tcPr>
                  <w:tcW w:w="1340" w:type="dxa"/>
                  <w:shd w:val="clear" w:color="auto" w:fill="auto"/>
                  <w:vAlign w:val="center"/>
                </w:tcPr>
                <w:p w14:paraId="663C003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0.01118</w:t>
                  </w:r>
                </w:p>
              </w:tc>
              <w:tc>
                <w:tcPr>
                  <w:tcW w:w="943" w:type="dxa"/>
                  <w:shd w:val="clear" w:color="auto" w:fill="auto"/>
                  <w:vAlign w:val="center"/>
                </w:tcPr>
                <w:p w14:paraId="4C0E57F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w:t>
                  </w:r>
                </w:p>
              </w:tc>
              <w:tc>
                <w:tcPr>
                  <w:tcW w:w="1284" w:type="dxa"/>
                  <w:shd w:val="clear" w:color="auto" w:fill="auto"/>
                  <w:vAlign w:val="center"/>
                </w:tcPr>
                <w:p w14:paraId="5E59718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0.001118</w:t>
                  </w:r>
                </w:p>
              </w:tc>
            </w:tr>
            <w:tr w14:paraId="772E6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26" w:type="dxa"/>
                  <w:vMerge w:val="restart"/>
                  <w:shd w:val="clear" w:color="auto" w:fill="auto"/>
                  <w:vAlign w:val="center"/>
                </w:tcPr>
                <w:p w14:paraId="786ADAD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p>
              </w:tc>
              <w:tc>
                <w:tcPr>
                  <w:tcW w:w="911" w:type="dxa"/>
                  <w:vMerge w:val="restart"/>
                  <w:shd w:val="clear" w:color="auto" w:fill="auto"/>
                  <w:vAlign w:val="center"/>
                </w:tcPr>
                <w:p w14:paraId="3477FA0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稀释剂</w:t>
                  </w:r>
                </w:p>
              </w:tc>
              <w:tc>
                <w:tcPr>
                  <w:tcW w:w="1792" w:type="dxa"/>
                  <w:shd w:val="clear" w:color="auto" w:fill="auto"/>
                  <w:vAlign w:val="center"/>
                </w:tcPr>
                <w:p w14:paraId="7039150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二甲苯（70%）</w:t>
                  </w:r>
                </w:p>
              </w:tc>
              <w:tc>
                <w:tcPr>
                  <w:tcW w:w="1530" w:type="dxa"/>
                  <w:shd w:val="clear" w:color="auto" w:fill="auto"/>
                  <w:vAlign w:val="center"/>
                </w:tcPr>
                <w:p w14:paraId="25A83C0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1330-20-7</w:t>
                  </w:r>
                </w:p>
              </w:tc>
              <w:tc>
                <w:tcPr>
                  <w:tcW w:w="1340" w:type="dxa"/>
                  <w:shd w:val="clear" w:color="auto" w:fill="auto"/>
                  <w:vAlign w:val="center"/>
                </w:tcPr>
                <w:p w14:paraId="59098E6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0.077</w:t>
                  </w:r>
                </w:p>
              </w:tc>
              <w:tc>
                <w:tcPr>
                  <w:tcW w:w="943" w:type="dxa"/>
                  <w:shd w:val="clear" w:color="auto" w:fill="auto"/>
                  <w:vAlign w:val="center"/>
                </w:tcPr>
                <w:p w14:paraId="653B340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w:t>
                  </w:r>
                </w:p>
              </w:tc>
              <w:tc>
                <w:tcPr>
                  <w:tcW w:w="1284" w:type="dxa"/>
                  <w:shd w:val="clear" w:color="auto" w:fill="auto"/>
                  <w:vAlign w:val="center"/>
                </w:tcPr>
                <w:p w14:paraId="3BC5CC5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0.0077</w:t>
                  </w:r>
                </w:p>
              </w:tc>
            </w:tr>
            <w:tr w14:paraId="7F88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26" w:type="dxa"/>
                  <w:vMerge w:val="continue"/>
                  <w:shd w:val="clear" w:color="auto" w:fill="auto"/>
                  <w:vAlign w:val="center"/>
                </w:tcPr>
                <w:p w14:paraId="59857743">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911" w:type="dxa"/>
                  <w:vMerge w:val="continue"/>
                  <w:shd w:val="clear" w:color="auto" w:fill="auto"/>
                  <w:vAlign w:val="center"/>
                </w:tcPr>
                <w:p w14:paraId="4608BE8D">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792" w:type="dxa"/>
                  <w:shd w:val="clear" w:color="auto" w:fill="auto"/>
                  <w:vAlign w:val="center"/>
                </w:tcPr>
                <w:p w14:paraId="07E050E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乙二醇单丁醚（30%）</w:t>
                  </w:r>
                </w:p>
              </w:tc>
              <w:tc>
                <w:tcPr>
                  <w:tcW w:w="1530" w:type="dxa"/>
                  <w:shd w:val="clear" w:color="auto" w:fill="auto"/>
                  <w:vAlign w:val="center"/>
                </w:tcPr>
                <w:p w14:paraId="573D08D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111-76-2</w:t>
                  </w:r>
                </w:p>
              </w:tc>
              <w:tc>
                <w:tcPr>
                  <w:tcW w:w="1340" w:type="dxa"/>
                  <w:shd w:val="clear" w:color="auto" w:fill="auto"/>
                  <w:vAlign w:val="center"/>
                </w:tcPr>
                <w:p w14:paraId="31F0EEE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0.033</w:t>
                  </w:r>
                </w:p>
              </w:tc>
              <w:tc>
                <w:tcPr>
                  <w:tcW w:w="943" w:type="dxa"/>
                  <w:shd w:val="clear" w:color="auto" w:fill="auto"/>
                  <w:vAlign w:val="center"/>
                </w:tcPr>
                <w:p w14:paraId="78B8CBE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w:t>
                  </w:r>
                </w:p>
              </w:tc>
              <w:tc>
                <w:tcPr>
                  <w:tcW w:w="1284" w:type="dxa"/>
                  <w:shd w:val="clear" w:color="auto" w:fill="auto"/>
                  <w:vAlign w:val="center"/>
                </w:tcPr>
                <w:p w14:paraId="38015C3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0.0033</w:t>
                  </w:r>
                </w:p>
              </w:tc>
            </w:tr>
            <w:tr w14:paraId="3B148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26" w:type="dxa"/>
                  <w:shd w:val="clear" w:color="auto" w:fill="auto"/>
                  <w:vAlign w:val="center"/>
                </w:tcPr>
                <w:p w14:paraId="4CE3724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p>
              </w:tc>
              <w:tc>
                <w:tcPr>
                  <w:tcW w:w="911" w:type="dxa"/>
                  <w:shd w:val="clear" w:color="auto" w:fill="auto"/>
                  <w:vAlign w:val="center"/>
                </w:tcPr>
                <w:p w14:paraId="18D5B98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pH调整剂</w:t>
                  </w:r>
                </w:p>
              </w:tc>
              <w:tc>
                <w:tcPr>
                  <w:tcW w:w="1792" w:type="dxa"/>
                  <w:shd w:val="clear" w:color="auto" w:fill="auto"/>
                  <w:vAlign w:val="center"/>
                </w:tcPr>
                <w:p w14:paraId="6CA1A82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70%硫酸</w:t>
                  </w:r>
                </w:p>
              </w:tc>
              <w:tc>
                <w:tcPr>
                  <w:tcW w:w="1530" w:type="dxa"/>
                  <w:shd w:val="clear" w:color="auto" w:fill="auto"/>
                  <w:vAlign w:val="center"/>
                </w:tcPr>
                <w:p w14:paraId="678BE11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7664-93-9</w:t>
                  </w:r>
                </w:p>
              </w:tc>
              <w:tc>
                <w:tcPr>
                  <w:tcW w:w="1340" w:type="dxa"/>
                  <w:shd w:val="clear" w:color="auto" w:fill="auto"/>
                  <w:vAlign w:val="center"/>
                </w:tcPr>
                <w:p w14:paraId="4293B88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0.14</w:t>
                  </w:r>
                </w:p>
              </w:tc>
              <w:tc>
                <w:tcPr>
                  <w:tcW w:w="943" w:type="dxa"/>
                  <w:shd w:val="clear" w:color="auto" w:fill="auto"/>
                  <w:vAlign w:val="center"/>
                </w:tcPr>
                <w:p w14:paraId="14F0AAD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w:t>
                  </w:r>
                </w:p>
              </w:tc>
              <w:tc>
                <w:tcPr>
                  <w:tcW w:w="1284" w:type="dxa"/>
                  <w:shd w:val="clear" w:color="auto" w:fill="auto"/>
                  <w:vAlign w:val="center"/>
                </w:tcPr>
                <w:p w14:paraId="5C5EAAD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0.014</w:t>
                  </w:r>
                </w:p>
              </w:tc>
            </w:tr>
            <w:tr w14:paraId="3E81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26" w:type="dxa"/>
                  <w:shd w:val="clear" w:color="auto" w:fill="auto"/>
                  <w:vAlign w:val="center"/>
                </w:tcPr>
                <w:p w14:paraId="5510EBF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w:t>
                  </w:r>
                </w:p>
              </w:tc>
              <w:tc>
                <w:tcPr>
                  <w:tcW w:w="911" w:type="dxa"/>
                  <w:shd w:val="clear" w:color="auto" w:fill="auto"/>
                  <w:vAlign w:val="center"/>
                </w:tcPr>
                <w:p w14:paraId="1247E32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危险废物</w:t>
                  </w:r>
                </w:p>
              </w:tc>
              <w:tc>
                <w:tcPr>
                  <w:tcW w:w="1792" w:type="dxa"/>
                  <w:shd w:val="clear" w:color="auto" w:fill="auto"/>
                  <w:vAlign w:val="center"/>
                </w:tcPr>
                <w:p w14:paraId="0A58DEC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1530" w:type="dxa"/>
                  <w:shd w:val="clear" w:color="auto" w:fill="auto"/>
                  <w:vAlign w:val="center"/>
                </w:tcPr>
                <w:p w14:paraId="1FCC492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1340" w:type="dxa"/>
                  <w:shd w:val="clear" w:color="auto" w:fill="auto"/>
                  <w:vAlign w:val="center"/>
                </w:tcPr>
                <w:p w14:paraId="23B1461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w:t>
                  </w:r>
                </w:p>
              </w:tc>
              <w:tc>
                <w:tcPr>
                  <w:tcW w:w="943" w:type="dxa"/>
                  <w:shd w:val="clear" w:color="auto" w:fill="auto"/>
                  <w:vAlign w:val="center"/>
                </w:tcPr>
                <w:p w14:paraId="558B002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284" w:type="dxa"/>
                  <w:shd w:val="clear" w:color="auto" w:fill="auto"/>
                  <w:vAlign w:val="center"/>
                </w:tcPr>
                <w:p w14:paraId="178FB73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0.9</w:t>
                  </w:r>
                </w:p>
              </w:tc>
            </w:tr>
            <w:tr w14:paraId="3249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26" w:type="dxa"/>
                  <w:shd w:val="clear" w:color="auto" w:fill="auto"/>
                  <w:vAlign w:val="center"/>
                </w:tcPr>
                <w:p w14:paraId="2FCDD00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w:t>
                  </w:r>
                </w:p>
              </w:tc>
              <w:tc>
                <w:tcPr>
                  <w:tcW w:w="911" w:type="dxa"/>
                  <w:shd w:val="clear" w:color="auto" w:fill="auto"/>
                  <w:vAlign w:val="center"/>
                </w:tcPr>
                <w:p w14:paraId="101E5CD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机油</w:t>
                  </w:r>
                </w:p>
              </w:tc>
              <w:tc>
                <w:tcPr>
                  <w:tcW w:w="1792" w:type="dxa"/>
                  <w:shd w:val="clear" w:color="auto" w:fill="auto"/>
                  <w:vAlign w:val="center"/>
                </w:tcPr>
                <w:p w14:paraId="24E2902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1530" w:type="dxa"/>
                  <w:shd w:val="clear" w:color="auto" w:fill="auto"/>
                  <w:vAlign w:val="center"/>
                </w:tcPr>
                <w:p w14:paraId="54D48D7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1340" w:type="dxa"/>
                  <w:shd w:val="clear" w:color="auto" w:fill="auto"/>
                  <w:noWrap/>
                  <w:vAlign w:val="center"/>
                </w:tcPr>
                <w:p w14:paraId="427814A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w:t>
                  </w:r>
                </w:p>
              </w:tc>
              <w:tc>
                <w:tcPr>
                  <w:tcW w:w="943" w:type="dxa"/>
                  <w:shd w:val="clear" w:color="auto" w:fill="auto"/>
                  <w:vAlign w:val="center"/>
                </w:tcPr>
                <w:p w14:paraId="303A186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2500</w:t>
                  </w:r>
                </w:p>
              </w:tc>
              <w:tc>
                <w:tcPr>
                  <w:tcW w:w="1284" w:type="dxa"/>
                  <w:shd w:val="clear" w:color="auto" w:fill="auto"/>
                  <w:vAlign w:val="center"/>
                </w:tcPr>
                <w:p w14:paraId="11D61AC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0.00004</w:t>
                  </w:r>
                </w:p>
              </w:tc>
            </w:tr>
            <w:tr w14:paraId="760E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26" w:type="dxa"/>
                  <w:shd w:val="clear" w:color="auto" w:fill="auto"/>
                  <w:vAlign w:val="center"/>
                </w:tcPr>
                <w:p w14:paraId="769D94A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w:t>
                  </w:r>
                </w:p>
              </w:tc>
              <w:tc>
                <w:tcPr>
                  <w:tcW w:w="911" w:type="dxa"/>
                  <w:shd w:val="clear" w:color="auto" w:fill="auto"/>
                  <w:vAlign w:val="center"/>
                </w:tcPr>
                <w:p w14:paraId="20798F8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液压油</w:t>
                  </w:r>
                </w:p>
              </w:tc>
              <w:tc>
                <w:tcPr>
                  <w:tcW w:w="1792" w:type="dxa"/>
                  <w:shd w:val="clear" w:color="auto" w:fill="auto"/>
                  <w:vAlign w:val="center"/>
                </w:tcPr>
                <w:p w14:paraId="6D79008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1530" w:type="dxa"/>
                  <w:shd w:val="clear" w:color="auto" w:fill="auto"/>
                  <w:vAlign w:val="center"/>
                </w:tcPr>
                <w:p w14:paraId="6FB9348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1340" w:type="dxa"/>
                  <w:shd w:val="clear" w:color="auto" w:fill="auto"/>
                  <w:vAlign w:val="center"/>
                </w:tcPr>
                <w:p w14:paraId="4FD94AB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w:t>
                  </w:r>
                </w:p>
              </w:tc>
              <w:tc>
                <w:tcPr>
                  <w:tcW w:w="943" w:type="dxa"/>
                  <w:shd w:val="clear" w:color="auto" w:fill="auto"/>
                  <w:vAlign w:val="center"/>
                </w:tcPr>
                <w:p w14:paraId="66CE18E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2500</w:t>
                  </w:r>
                </w:p>
              </w:tc>
              <w:tc>
                <w:tcPr>
                  <w:tcW w:w="1284" w:type="dxa"/>
                  <w:shd w:val="clear" w:color="auto" w:fill="auto"/>
                  <w:vAlign w:val="center"/>
                </w:tcPr>
                <w:p w14:paraId="4572CE3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0.00004</w:t>
                  </w:r>
                </w:p>
              </w:tc>
            </w:tr>
            <w:tr w14:paraId="19B1E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26" w:type="dxa"/>
                  <w:vMerge w:val="restart"/>
                  <w:shd w:val="clear" w:color="auto" w:fill="auto"/>
                  <w:vAlign w:val="center"/>
                </w:tcPr>
                <w:p w14:paraId="360470C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w:t>
                  </w:r>
                </w:p>
              </w:tc>
              <w:tc>
                <w:tcPr>
                  <w:tcW w:w="911" w:type="dxa"/>
                  <w:vMerge w:val="restart"/>
                  <w:shd w:val="clear" w:color="auto" w:fill="auto"/>
                  <w:vAlign w:val="center"/>
                </w:tcPr>
                <w:p w14:paraId="4264ABB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无铬钝化剂</w:t>
                  </w:r>
                </w:p>
              </w:tc>
              <w:tc>
                <w:tcPr>
                  <w:tcW w:w="1792" w:type="dxa"/>
                  <w:shd w:val="clear" w:color="auto" w:fill="auto"/>
                  <w:vAlign w:val="center"/>
                </w:tcPr>
                <w:p w14:paraId="183E5FF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氟锆酸（10%）</w:t>
                  </w:r>
                </w:p>
              </w:tc>
              <w:tc>
                <w:tcPr>
                  <w:tcW w:w="1530" w:type="dxa"/>
                  <w:shd w:val="clear" w:color="auto" w:fill="auto"/>
                  <w:vAlign w:val="center"/>
                </w:tcPr>
                <w:p w14:paraId="3B49E60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12021-95-3</w:t>
                  </w:r>
                </w:p>
              </w:tc>
              <w:tc>
                <w:tcPr>
                  <w:tcW w:w="1340" w:type="dxa"/>
                  <w:shd w:val="clear" w:color="auto" w:fill="auto"/>
                  <w:vAlign w:val="center"/>
                </w:tcPr>
                <w:p w14:paraId="5E63A01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w:t>
                  </w:r>
                </w:p>
              </w:tc>
              <w:tc>
                <w:tcPr>
                  <w:tcW w:w="943" w:type="dxa"/>
                  <w:shd w:val="clear" w:color="auto" w:fill="auto"/>
                  <w:vAlign w:val="center"/>
                </w:tcPr>
                <w:p w14:paraId="2D8CB9E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w:t>
                  </w:r>
                </w:p>
              </w:tc>
              <w:tc>
                <w:tcPr>
                  <w:tcW w:w="1284" w:type="dxa"/>
                  <w:shd w:val="clear" w:color="auto" w:fill="auto"/>
                  <w:vAlign w:val="center"/>
                </w:tcPr>
                <w:p w14:paraId="122FAFF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0.001</w:t>
                  </w:r>
                </w:p>
              </w:tc>
            </w:tr>
            <w:tr w14:paraId="4A2C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26" w:type="dxa"/>
                  <w:vMerge w:val="continue"/>
                  <w:shd w:val="clear" w:color="auto" w:fill="auto"/>
                  <w:vAlign w:val="center"/>
                </w:tcPr>
                <w:p w14:paraId="65D9DC17">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911" w:type="dxa"/>
                  <w:vMerge w:val="continue"/>
                  <w:shd w:val="clear" w:color="auto" w:fill="auto"/>
                  <w:vAlign w:val="center"/>
                </w:tcPr>
                <w:p w14:paraId="5EC3B944">
                  <w:pPr>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792" w:type="dxa"/>
                  <w:shd w:val="clear" w:color="auto" w:fill="auto"/>
                  <w:vAlign w:val="center"/>
                </w:tcPr>
                <w:p w14:paraId="1970AA1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氟钛酸（10%）</w:t>
                  </w:r>
                </w:p>
              </w:tc>
              <w:tc>
                <w:tcPr>
                  <w:tcW w:w="1530" w:type="dxa"/>
                  <w:shd w:val="clear" w:color="auto" w:fill="auto"/>
                  <w:vAlign w:val="center"/>
                </w:tcPr>
                <w:p w14:paraId="5B83699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17439-11-1</w:t>
                  </w:r>
                </w:p>
              </w:tc>
              <w:tc>
                <w:tcPr>
                  <w:tcW w:w="1340" w:type="dxa"/>
                  <w:shd w:val="clear" w:color="auto" w:fill="auto"/>
                  <w:vAlign w:val="center"/>
                </w:tcPr>
                <w:p w14:paraId="350DEA1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w:t>
                  </w:r>
                </w:p>
              </w:tc>
              <w:tc>
                <w:tcPr>
                  <w:tcW w:w="943" w:type="dxa"/>
                  <w:shd w:val="clear" w:color="auto" w:fill="auto"/>
                  <w:vAlign w:val="center"/>
                </w:tcPr>
                <w:p w14:paraId="7B7B11C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w:t>
                  </w:r>
                </w:p>
              </w:tc>
              <w:tc>
                <w:tcPr>
                  <w:tcW w:w="1284" w:type="dxa"/>
                  <w:shd w:val="clear" w:color="auto" w:fill="auto"/>
                  <w:vAlign w:val="center"/>
                </w:tcPr>
                <w:p w14:paraId="1C0166C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0.001</w:t>
                  </w:r>
                </w:p>
              </w:tc>
            </w:tr>
            <w:tr w14:paraId="3541C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26" w:type="dxa"/>
                  <w:shd w:val="clear" w:color="auto" w:fill="auto"/>
                  <w:vAlign w:val="center"/>
                </w:tcPr>
                <w:p w14:paraId="5D37A74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w:t>
                  </w:r>
                </w:p>
              </w:tc>
              <w:tc>
                <w:tcPr>
                  <w:tcW w:w="911" w:type="dxa"/>
                  <w:shd w:val="clear" w:color="auto" w:fill="auto"/>
                  <w:vAlign w:val="center"/>
                </w:tcPr>
                <w:p w14:paraId="1F96FCC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除油</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剂</w:t>
                  </w:r>
                </w:p>
              </w:tc>
              <w:tc>
                <w:tcPr>
                  <w:tcW w:w="1792" w:type="dxa"/>
                  <w:shd w:val="clear" w:color="auto" w:fill="auto"/>
                  <w:vAlign w:val="center"/>
                </w:tcPr>
                <w:p w14:paraId="4DCBC0F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表面活性剂（5%）</w:t>
                  </w:r>
                </w:p>
              </w:tc>
              <w:tc>
                <w:tcPr>
                  <w:tcW w:w="1530" w:type="dxa"/>
                  <w:shd w:val="clear" w:color="auto" w:fill="auto"/>
                  <w:vAlign w:val="center"/>
                </w:tcPr>
                <w:p w14:paraId="7ED618B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68084-34-4</w:t>
                  </w:r>
                </w:p>
              </w:tc>
              <w:tc>
                <w:tcPr>
                  <w:tcW w:w="1340" w:type="dxa"/>
                  <w:shd w:val="clear" w:color="auto" w:fill="auto"/>
                  <w:vAlign w:val="center"/>
                </w:tcPr>
                <w:p w14:paraId="3A21307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w:t>
                  </w:r>
                </w:p>
              </w:tc>
              <w:tc>
                <w:tcPr>
                  <w:tcW w:w="943" w:type="dxa"/>
                  <w:shd w:val="clear" w:color="auto" w:fill="auto"/>
                  <w:vAlign w:val="center"/>
                </w:tcPr>
                <w:p w14:paraId="7889FE2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w:t>
                  </w:r>
                </w:p>
              </w:tc>
              <w:tc>
                <w:tcPr>
                  <w:tcW w:w="1284" w:type="dxa"/>
                  <w:shd w:val="clear" w:color="auto" w:fill="auto"/>
                  <w:vAlign w:val="center"/>
                </w:tcPr>
                <w:p w14:paraId="6B1728D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0.004</w:t>
                  </w:r>
                </w:p>
              </w:tc>
            </w:tr>
            <w:tr w14:paraId="54C1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26" w:type="dxa"/>
                  <w:shd w:val="clear" w:color="auto" w:fill="auto"/>
                  <w:vAlign w:val="center"/>
                </w:tcPr>
                <w:p w14:paraId="3ADBDEC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12</w:t>
                  </w:r>
                </w:p>
              </w:tc>
              <w:tc>
                <w:tcPr>
                  <w:tcW w:w="911" w:type="dxa"/>
                  <w:vMerge w:val="restart"/>
                  <w:shd w:val="clear" w:color="auto" w:fill="auto"/>
                  <w:vAlign w:val="center"/>
                </w:tcPr>
                <w:p w14:paraId="127382EE">
                  <w:pPr>
                    <w:keepNext w:val="0"/>
                    <w:keepLines w:val="0"/>
                    <w:widowControl/>
                    <w:suppressLineNumbers w:val="0"/>
                    <w:jc w:val="center"/>
                    <w:textAlignment w:val="cente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清洗剂</w:t>
                  </w:r>
                </w:p>
              </w:tc>
              <w:tc>
                <w:tcPr>
                  <w:tcW w:w="1792" w:type="dxa"/>
                  <w:shd w:val="clear" w:color="auto" w:fill="auto"/>
                  <w:vAlign w:val="center"/>
                </w:tcPr>
                <w:p w14:paraId="26CF1D8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乙酸乙酯</w:t>
                  </w:r>
                </w:p>
              </w:tc>
              <w:tc>
                <w:tcPr>
                  <w:tcW w:w="1530" w:type="dxa"/>
                  <w:shd w:val="clear" w:color="auto" w:fill="auto"/>
                  <w:vAlign w:val="center"/>
                </w:tcPr>
                <w:p w14:paraId="1451844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141</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noBreakHyphen/>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78</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noBreakHyphen/>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p>
              </w:tc>
              <w:tc>
                <w:tcPr>
                  <w:tcW w:w="1340" w:type="dxa"/>
                  <w:shd w:val="clear" w:color="auto" w:fill="auto"/>
                  <w:vAlign w:val="center"/>
                </w:tcPr>
                <w:p w14:paraId="672482D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0.025</w:t>
                  </w:r>
                </w:p>
              </w:tc>
              <w:tc>
                <w:tcPr>
                  <w:tcW w:w="943" w:type="dxa"/>
                  <w:shd w:val="clear" w:color="auto" w:fill="auto"/>
                  <w:vAlign w:val="center"/>
                </w:tcPr>
                <w:p w14:paraId="5D7F0A9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500</w:t>
                  </w:r>
                </w:p>
              </w:tc>
              <w:tc>
                <w:tcPr>
                  <w:tcW w:w="1284" w:type="dxa"/>
                  <w:shd w:val="clear" w:color="auto" w:fill="auto"/>
                  <w:vAlign w:val="center"/>
                </w:tcPr>
                <w:p w14:paraId="1FCC0B7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0.00005</w:t>
                  </w:r>
                </w:p>
              </w:tc>
            </w:tr>
            <w:tr w14:paraId="2127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26" w:type="dxa"/>
                  <w:shd w:val="clear" w:color="auto" w:fill="auto"/>
                  <w:vAlign w:val="center"/>
                </w:tcPr>
                <w:p w14:paraId="3BEE6A3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13</w:t>
                  </w:r>
                </w:p>
              </w:tc>
              <w:tc>
                <w:tcPr>
                  <w:tcW w:w="911" w:type="dxa"/>
                  <w:vMerge w:val="continue"/>
                  <w:shd w:val="clear" w:color="auto" w:fill="auto"/>
                  <w:vAlign w:val="center"/>
                </w:tcPr>
                <w:p w14:paraId="23383224">
                  <w:pPr>
                    <w:keepNext w:val="0"/>
                    <w:keepLines w:val="0"/>
                    <w:widowControl/>
                    <w:suppressLineNumbers w:val="0"/>
                    <w:jc w:val="center"/>
                    <w:textAlignment w:val="cente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pPr>
                </w:p>
              </w:tc>
              <w:tc>
                <w:tcPr>
                  <w:tcW w:w="1792" w:type="dxa"/>
                  <w:shd w:val="clear" w:color="auto" w:fill="auto"/>
                  <w:vAlign w:val="center"/>
                </w:tcPr>
                <w:p w14:paraId="7773B40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乙酸正乙酯</w:t>
                  </w:r>
                </w:p>
              </w:tc>
              <w:tc>
                <w:tcPr>
                  <w:tcW w:w="1530" w:type="dxa"/>
                  <w:shd w:val="clear" w:color="auto" w:fill="auto"/>
                  <w:vAlign w:val="center"/>
                </w:tcPr>
                <w:p w14:paraId="38D7EEF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noBreakHyphen/>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86</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noBreakHyphen/>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1340" w:type="dxa"/>
                  <w:shd w:val="clear" w:color="auto" w:fill="auto"/>
                  <w:vAlign w:val="center"/>
                </w:tcPr>
                <w:p w14:paraId="47DB239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0.025</w:t>
                  </w:r>
                </w:p>
              </w:tc>
              <w:tc>
                <w:tcPr>
                  <w:tcW w:w="943" w:type="dxa"/>
                  <w:shd w:val="clear" w:color="auto" w:fill="auto"/>
                  <w:vAlign w:val="center"/>
                </w:tcPr>
                <w:p w14:paraId="25D36BA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500</w:t>
                  </w:r>
                </w:p>
              </w:tc>
              <w:tc>
                <w:tcPr>
                  <w:tcW w:w="1284" w:type="dxa"/>
                  <w:shd w:val="clear" w:color="auto" w:fill="auto"/>
                  <w:vAlign w:val="center"/>
                </w:tcPr>
                <w:p w14:paraId="1743A8E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0.00005</w:t>
                  </w:r>
                </w:p>
              </w:tc>
            </w:tr>
            <w:tr w14:paraId="33C82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142" w:type="dxa"/>
                  <w:gridSpan w:val="6"/>
                  <w:shd w:val="clear" w:color="auto" w:fill="auto"/>
                  <w:vAlign w:val="center"/>
                </w:tcPr>
                <w:p w14:paraId="5505339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项目Q值</w:t>
                  </w:r>
                </w:p>
              </w:tc>
              <w:tc>
                <w:tcPr>
                  <w:tcW w:w="1284" w:type="dxa"/>
                  <w:shd w:val="clear" w:color="auto" w:fill="auto"/>
                  <w:vAlign w:val="center"/>
                </w:tcPr>
                <w:p w14:paraId="06C979A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0.9</w:t>
                  </w:r>
                  <w: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38</w:t>
                  </w:r>
                </w:p>
              </w:tc>
            </w:tr>
            <w:tr w14:paraId="6CDD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26" w:type="dxa"/>
                  <w:gridSpan w:val="7"/>
                  <w:shd w:val="clear" w:color="auto" w:fill="auto"/>
                  <w:vAlign w:val="center"/>
                </w:tcPr>
                <w:p w14:paraId="65558BB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注：底漆（最大贮存量0.18t）、稀释剂（最大贮存量0.11t）、面漆（最大贮存量0.35t）、清漆（最大贮存量0.13t）原料中对应风险组份的最大储存量按其对应原料最大储存量折算得出；危险废物（最大贮存量以贮存能力计）临界量参考《建设项目环境风险评价技术导则》（HJ-2018）表b.2的健康危险急性毒性物质（类别2、类别3）进行计算；无铬钝化剂、</w:t>
                  </w:r>
                  <w: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除油</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剂参考表b.2危害水环境物质（类别3）进行计算；机油、液压油属于矿物质油，其临界量参考《建设项目环境风险评价技术导则》（HJ-2018）油类物质（矿物油类，如石油、汽油、柴油等；生物柴油等）的临界量；厂区内不设天然气储存装置，故本项目按管道中的天然气量计算最大储存量，厂区内天然气管道总长度约</w:t>
                  </w:r>
                  <w: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360</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m，管径40mm，密度0.7174kg/m</w:t>
                  </w:r>
                  <w:r>
                    <w:rPr>
                      <w:rFonts w:hint="default" w:ascii="Times New Roman" w:hAnsi="Times New Roman" w:eastAsia="宋体" w:cs="Times New Roman"/>
                      <w:i w:val="0"/>
                      <w:iCs w:val="0"/>
                      <w:color w:val="000000" w:themeColor="text1"/>
                      <w:kern w:val="0"/>
                      <w:sz w:val="21"/>
                      <w:szCs w:val="21"/>
                      <w:u w:val="none"/>
                      <w:vertAlign w:val="super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。则本项目厂区内最大储存量=天然气管道截面积×厂区内长度×密度，约为0.000</w:t>
                  </w:r>
                  <w: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32t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/a。</w:t>
                  </w:r>
                </w:p>
              </w:tc>
            </w:tr>
          </w:tbl>
          <w:p w14:paraId="3ED8DB9D">
            <w:pPr>
              <w:keepNext w:val="0"/>
              <w:keepLines w:val="0"/>
              <w:pageBreakBefore w:val="0"/>
              <w:widowControl w:val="0"/>
              <w:kinsoku/>
              <w:wordWrap/>
              <w:overflowPunct/>
              <w:topLinePunct w:val="0"/>
              <w:autoSpaceDE/>
              <w:autoSpaceDN/>
              <w:bidi w:val="0"/>
              <w:adjustRightInd/>
              <w:snapToGrid/>
              <w:spacing w:line="120" w:lineRule="exact"/>
              <w:textAlignment w:val="auto"/>
              <w:rPr>
                <w:rFonts w:hint="default" w:ascii="Times New Roman" w:hAnsi="Times New Roman" w:cs="Times New Roman"/>
                <w:color w:val="000000" w:themeColor="text1"/>
                <w:highlight w:val="none"/>
                <w14:textFill>
                  <w14:solidFill>
                    <w14:schemeClr w14:val="tx1"/>
                  </w14:solidFill>
                </w14:textFill>
              </w:rPr>
            </w:pPr>
          </w:p>
          <w:p w14:paraId="1C928166">
            <w:pPr>
              <w:pStyle w:val="39"/>
              <w:spacing w:after="0" w:line="360" w:lineRule="auto"/>
              <w:ind w:firstLine="482"/>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套入公式所得结果为（Q）=∑q</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n</w:t>
            </w:r>
            <w:r>
              <w:rPr>
                <w:rFonts w:hint="default" w:ascii="Times New Roman" w:hAnsi="Times New Roman" w:eastAsia="宋体" w:cs="Times New Roman"/>
                <w:color w:val="000000" w:themeColor="text1"/>
                <w:sz w:val="24"/>
                <w:szCs w:val="24"/>
                <w:highlight w:val="none"/>
                <w14:textFill>
                  <w14:solidFill>
                    <w14:schemeClr w14:val="tx1"/>
                  </w14:solidFill>
                </w14:textFill>
              </w:rPr>
              <w:t>/Q</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n</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0.</w:t>
            </w:r>
            <w:r>
              <w:rPr>
                <w:rFonts w:hint="eastAsia" w:cs="Times New Roman"/>
                <w:b w:val="0"/>
                <w:bCs/>
                <w:color w:val="000000" w:themeColor="text1"/>
                <w:sz w:val="24"/>
                <w:szCs w:val="24"/>
                <w:highlight w:val="none"/>
                <w:lang w:val="en-US" w:eastAsia="zh-CN"/>
                <w14:textFill>
                  <w14:solidFill>
                    <w14:schemeClr w14:val="tx1"/>
                  </w14:solidFill>
                </w14:textFill>
              </w:rPr>
              <w:t>937</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Q</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712CBF0B">
            <w:pPr>
              <w:pStyle w:val="39"/>
              <w:spacing w:after="0" w:line="360" w:lineRule="auto"/>
              <w:ind w:firstLine="482"/>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7.2</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风险源分布情况及可能影响途径</w:t>
            </w:r>
          </w:p>
          <w:p w14:paraId="01A2DAA2">
            <w:pPr>
              <w:keepNext/>
              <w:keepLines/>
              <w:numPr>
                <w:ilvl w:val="0"/>
                <w:numId w:val="0"/>
              </w:numPr>
              <w:suppressLineNumbers w:val="0"/>
              <w:tabs>
                <w:tab w:val="left" w:pos="0"/>
              </w:tabs>
              <w:spacing w:before="0" w:beforeAutospacing="0" w:after="0" w:afterAutospacing="0"/>
              <w:ind w:left="0" w:leftChars="0" w:right="0" w:rightChars="0" w:firstLine="40" w:firstLineChars="0"/>
              <w:jc w:val="center"/>
              <w:outlineLvl w:val="3"/>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表4-4</w:t>
            </w:r>
            <w:r>
              <w:rPr>
                <w:rFonts w:hint="eastAsia" w:cs="Times New Roman"/>
                <w:b/>
                <w:bCs/>
                <w:color w:val="000000" w:themeColor="text1"/>
                <w:kern w:val="2"/>
                <w:sz w:val="21"/>
                <w:szCs w:val="21"/>
                <w:lang w:val="en-US" w:eastAsia="zh-CN" w:bidi="ar-SA"/>
                <w14:textFill>
                  <w14:solidFill>
                    <w14:schemeClr w14:val="tx1"/>
                  </w14:solidFill>
                </w14:textFill>
              </w:rPr>
              <w:t>1</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危险单元风险类型识别</w:t>
            </w:r>
          </w:p>
          <w:tbl>
            <w:tblPr>
              <w:tblStyle w:val="132"/>
              <w:tblW w:w="4997"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64"/>
              <w:gridCol w:w="1021"/>
              <w:gridCol w:w="1064"/>
              <w:gridCol w:w="1965"/>
              <w:gridCol w:w="1551"/>
              <w:gridCol w:w="1842"/>
            </w:tblGrid>
            <w:tr w14:paraId="0013D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520" w:type="pct"/>
                  <w:tcBorders>
                    <w:tl2br w:val="nil"/>
                    <w:tr2bl w:val="nil"/>
                  </w:tcBorders>
                  <w:noWrap w:val="0"/>
                  <w:vAlign w:val="center"/>
                </w:tcPr>
                <w:p w14:paraId="3CB63831">
                  <w:pPr>
                    <w:widowControl/>
                    <w:spacing w:line="240" w:lineRule="auto"/>
                    <w:jc w:val="center"/>
                    <w:textAlignment w:val="cente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风险</w:t>
                  </w:r>
                  <w: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t>单元</w:t>
                  </w:r>
                </w:p>
              </w:tc>
              <w:tc>
                <w:tcPr>
                  <w:tcW w:w="614" w:type="pct"/>
                  <w:tcBorders>
                    <w:tl2br w:val="nil"/>
                    <w:tr2bl w:val="nil"/>
                  </w:tcBorders>
                  <w:noWrap w:val="0"/>
                  <w:vAlign w:val="center"/>
                </w:tcPr>
                <w:p w14:paraId="77938C34">
                  <w:pPr>
                    <w:widowControl/>
                    <w:spacing w:line="240" w:lineRule="auto"/>
                    <w:jc w:val="center"/>
                    <w:textAlignment w:val="cente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t>风险源</w:t>
                  </w:r>
                </w:p>
              </w:tc>
              <w:tc>
                <w:tcPr>
                  <w:tcW w:w="640" w:type="pct"/>
                  <w:tcBorders>
                    <w:tl2br w:val="nil"/>
                    <w:tr2bl w:val="nil"/>
                  </w:tcBorders>
                  <w:noWrap w:val="0"/>
                  <w:vAlign w:val="center"/>
                </w:tcPr>
                <w:p w14:paraId="22D6311A">
                  <w:pPr>
                    <w:widowControl/>
                    <w:spacing w:line="240" w:lineRule="auto"/>
                    <w:jc w:val="center"/>
                    <w:textAlignment w:val="cente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风险</w:t>
                  </w:r>
                  <w: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t>物质</w:t>
                  </w:r>
                </w:p>
              </w:tc>
              <w:tc>
                <w:tcPr>
                  <w:tcW w:w="1182" w:type="pct"/>
                  <w:tcBorders>
                    <w:tl2br w:val="nil"/>
                    <w:tr2bl w:val="nil"/>
                  </w:tcBorders>
                  <w:noWrap w:val="0"/>
                  <w:vAlign w:val="center"/>
                </w:tcPr>
                <w:p w14:paraId="12E50592">
                  <w:pPr>
                    <w:widowControl/>
                    <w:spacing w:line="240" w:lineRule="auto"/>
                    <w:jc w:val="center"/>
                    <w:textAlignment w:val="cente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t>环境风险类型</w:t>
                  </w:r>
                </w:p>
              </w:tc>
              <w:tc>
                <w:tcPr>
                  <w:tcW w:w="933" w:type="pct"/>
                  <w:tcBorders>
                    <w:tl2br w:val="nil"/>
                    <w:tr2bl w:val="nil"/>
                  </w:tcBorders>
                  <w:noWrap w:val="0"/>
                  <w:vAlign w:val="center"/>
                </w:tcPr>
                <w:p w14:paraId="00532FBA">
                  <w:pPr>
                    <w:widowControl/>
                    <w:spacing w:line="240" w:lineRule="auto"/>
                    <w:jc w:val="center"/>
                    <w:textAlignment w:val="cente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t>环境影响途径</w:t>
                  </w:r>
                </w:p>
              </w:tc>
              <w:tc>
                <w:tcPr>
                  <w:tcW w:w="1108" w:type="pct"/>
                  <w:tcBorders>
                    <w:tl2br w:val="nil"/>
                    <w:tr2bl w:val="nil"/>
                  </w:tcBorders>
                  <w:noWrap w:val="0"/>
                  <w:vAlign w:val="center"/>
                </w:tcPr>
                <w:p w14:paraId="03079E47">
                  <w:pPr>
                    <w:widowControl/>
                    <w:spacing w:line="240" w:lineRule="auto"/>
                    <w:jc w:val="center"/>
                    <w:textAlignment w:val="cente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bidi="ar"/>
                      <w14:textFill>
                        <w14:solidFill>
                          <w14:schemeClr w14:val="tx1"/>
                        </w14:solidFill>
                      </w14:textFill>
                    </w:rPr>
                    <w:t>可能受影响的环境敏感目标</w:t>
                  </w:r>
                </w:p>
              </w:tc>
            </w:tr>
            <w:tr w14:paraId="240D2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520" w:type="pct"/>
                  <w:tcBorders>
                    <w:bottom w:val="single" w:color="auto" w:sz="4" w:space="0"/>
                    <w:tl2br w:val="nil"/>
                    <w:tr2bl w:val="nil"/>
                  </w:tcBorders>
                  <w:noWrap w:val="0"/>
                  <w:vAlign w:val="center"/>
                </w:tcPr>
                <w:p w14:paraId="7627CFF4">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生产装置</w:t>
                  </w:r>
                </w:p>
              </w:tc>
              <w:tc>
                <w:tcPr>
                  <w:tcW w:w="614" w:type="pct"/>
                  <w:tcBorders>
                    <w:bottom w:val="single" w:color="auto" w:sz="4" w:space="0"/>
                    <w:tl2br w:val="nil"/>
                    <w:tr2bl w:val="nil"/>
                  </w:tcBorders>
                  <w:noWrap w:val="0"/>
                  <w:vAlign w:val="center"/>
                </w:tcPr>
                <w:p w14:paraId="5CEFB252">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工件表面预处理</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生产线</w:t>
                  </w:r>
                </w:p>
              </w:tc>
              <w:tc>
                <w:tcPr>
                  <w:tcW w:w="640" w:type="pct"/>
                  <w:tcBorders>
                    <w:tl2br w:val="nil"/>
                    <w:tr2bl w:val="nil"/>
                  </w:tcBorders>
                  <w:noWrap w:val="0"/>
                  <w:vAlign w:val="center"/>
                </w:tcPr>
                <w:p w14:paraId="753831CE">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表面处理废水</w:t>
                  </w:r>
                </w:p>
              </w:tc>
              <w:tc>
                <w:tcPr>
                  <w:tcW w:w="1182" w:type="pct"/>
                  <w:tcBorders>
                    <w:tl2br w:val="nil"/>
                    <w:tr2bl w:val="nil"/>
                  </w:tcBorders>
                  <w:noWrap w:val="0"/>
                  <w:vAlign w:val="center"/>
                </w:tcPr>
                <w:p w14:paraId="3CDB99A5">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泄漏</w:t>
                  </w:r>
                </w:p>
              </w:tc>
              <w:tc>
                <w:tcPr>
                  <w:tcW w:w="933" w:type="pct"/>
                  <w:tcBorders>
                    <w:tl2br w:val="nil"/>
                    <w:tr2bl w:val="nil"/>
                  </w:tcBorders>
                  <w:noWrap w:val="0"/>
                  <w:vAlign w:val="center"/>
                </w:tcPr>
                <w:p w14:paraId="531EFF95">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地表径流、下渗</w:t>
                  </w:r>
                </w:p>
              </w:tc>
              <w:tc>
                <w:tcPr>
                  <w:tcW w:w="1108" w:type="pct"/>
                  <w:tcBorders>
                    <w:tl2br w:val="nil"/>
                    <w:tr2bl w:val="nil"/>
                  </w:tcBorders>
                  <w:noWrap w:val="0"/>
                  <w:vAlign w:val="center"/>
                </w:tcPr>
                <w:p w14:paraId="7A47906E">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地表水、地下水环境</w:t>
                  </w:r>
                </w:p>
              </w:tc>
            </w:tr>
            <w:tr w14:paraId="1EF13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520" w:type="pct"/>
                  <w:tcBorders>
                    <w:top w:val="single" w:color="auto" w:sz="4" w:space="0"/>
                    <w:bottom w:val="single" w:color="auto" w:sz="4" w:space="0"/>
                    <w:tl2br w:val="nil"/>
                    <w:tr2bl w:val="nil"/>
                  </w:tcBorders>
                  <w:noWrap w:val="0"/>
                  <w:vAlign w:val="center"/>
                </w:tcPr>
                <w:p w14:paraId="232E6C88">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辅助生产设施</w:t>
                  </w:r>
                </w:p>
              </w:tc>
              <w:tc>
                <w:tcPr>
                  <w:tcW w:w="614" w:type="pct"/>
                  <w:tcBorders>
                    <w:top w:val="single" w:color="auto" w:sz="4" w:space="0"/>
                    <w:bottom w:val="single" w:color="auto" w:sz="4" w:space="0"/>
                    <w:tl2br w:val="nil"/>
                    <w:tr2bl w:val="nil"/>
                  </w:tcBorders>
                  <w:noWrap w:val="0"/>
                  <w:vAlign w:val="center"/>
                </w:tcPr>
                <w:p w14:paraId="2F8FCBC7">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天然气管道</w:t>
                  </w:r>
                </w:p>
              </w:tc>
              <w:tc>
                <w:tcPr>
                  <w:tcW w:w="640" w:type="pct"/>
                  <w:tcBorders>
                    <w:tl2br w:val="nil"/>
                    <w:tr2bl w:val="nil"/>
                  </w:tcBorders>
                  <w:noWrap w:val="0"/>
                  <w:vAlign w:val="center"/>
                </w:tcPr>
                <w:p w14:paraId="1E8082F2">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甲烷</w:t>
                  </w:r>
                </w:p>
              </w:tc>
              <w:tc>
                <w:tcPr>
                  <w:tcW w:w="1182" w:type="pct"/>
                  <w:tcBorders>
                    <w:tl2br w:val="nil"/>
                    <w:tr2bl w:val="nil"/>
                  </w:tcBorders>
                  <w:noWrap w:val="0"/>
                  <w:vAlign w:val="center"/>
                </w:tcPr>
                <w:p w14:paraId="4BC5A00E">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泄漏、火灾引发的伴生/次生污染</w:t>
                  </w:r>
                </w:p>
              </w:tc>
              <w:tc>
                <w:tcPr>
                  <w:tcW w:w="933" w:type="pct"/>
                  <w:tcBorders>
                    <w:tl2br w:val="nil"/>
                    <w:tr2bl w:val="nil"/>
                  </w:tcBorders>
                  <w:noWrap w:val="0"/>
                  <w:vAlign w:val="center"/>
                </w:tcPr>
                <w:p w14:paraId="30ADC220">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大气扩散</w:t>
                  </w:r>
                </w:p>
              </w:tc>
              <w:tc>
                <w:tcPr>
                  <w:tcW w:w="1108" w:type="pct"/>
                  <w:tcBorders>
                    <w:tl2br w:val="nil"/>
                    <w:tr2bl w:val="nil"/>
                  </w:tcBorders>
                  <w:noWrap w:val="0"/>
                  <w:vAlign w:val="center"/>
                </w:tcPr>
                <w:p w14:paraId="382606D3">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大气环境</w:t>
                  </w:r>
                </w:p>
              </w:tc>
            </w:tr>
            <w:tr w14:paraId="67D0D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520" w:type="pct"/>
                  <w:tcBorders>
                    <w:top w:val="single" w:color="auto" w:sz="4" w:space="0"/>
                    <w:tl2br w:val="nil"/>
                    <w:tr2bl w:val="nil"/>
                  </w:tcBorders>
                  <w:noWrap w:val="0"/>
                  <w:vAlign w:val="center"/>
                </w:tcPr>
                <w:p w14:paraId="035B986E">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储运设施</w:t>
                  </w:r>
                </w:p>
              </w:tc>
              <w:tc>
                <w:tcPr>
                  <w:tcW w:w="614" w:type="pct"/>
                  <w:tcBorders>
                    <w:top w:val="single" w:color="auto" w:sz="4" w:space="0"/>
                    <w:tl2br w:val="nil"/>
                    <w:tr2bl w:val="nil"/>
                  </w:tcBorders>
                  <w:noWrap w:val="0"/>
                  <w:vAlign w:val="center"/>
                </w:tcPr>
                <w:p w14:paraId="20A5237D">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化学品仓库</w:t>
                  </w:r>
                </w:p>
              </w:tc>
              <w:tc>
                <w:tcPr>
                  <w:tcW w:w="640" w:type="pct"/>
                  <w:tcBorders>
                    <w:tl2br w:val="nil"/>
                    <w:tr2bl w:val="nil"/>
                  </w:tcBorders>
                  <w:noWrap w:val="0"/>
                  <w:vAlign w:val="center"/>
                </w:tcPr>
                <w:p w14:paraId="4CEF8C22">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pH调整剂、无铬钝化剂、机油、润滑油</w:t>
                  </w:r>
                  <w:r>
                    <w:rPr>
                      <w:rFonts w:hint="eastAsia" w:cs="Times New Roman"/>
                      <w:color w:val="000000" w:themeColor="text1"/>
                      <w:kern w:val="0"/>
                      <w:sz w:val="21"/>
                      <w:szCs w:val="21"/>
                      <w:highlight w:val="none"/>
                      <w:lang w:val="en-US" w:eastAsia="zh-CN" w:bidi="ar"/>
                      <w14:textFill>
                        <w14:solidFill>
                          <w14:schemeClr w14:val="tx1"/>
                        </w14:solidFill>
                      </w14:textFill>
                    </w:rPr>
                    <w:t>、油漆、稀释剂、清洗剂等</w:t>
                  </w:r>
                </w:p>
              </w:tc>
              <w:tc>
                <w:tcPr>
                  <w:tcW w:w="1182" w:type="pct"/>
                  <w:tcBorders>
                    <w:tl2br w:val="nil"/>
                    <w:tr2bl w:val="nil"/>
                  </w:tcBorders>
                  <w:noWrap w:val="0"/>
                  <w:vAlign w:val="center"/>
                </w:tcPr>
                <w:p w14:paraId="53424573">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泄漏</w:t>
                  </w:r>
                </w:p>
              </w:tc>
              <w:tc>
                <w:tcPr>
                  <w:tcW w:w="933" w:type="pct"/>
                  <w:tcBorders>
                    <w:tl2br w:val="nil"/>
                    <w:tr2bl w:val="nil"/>
                  </w:tcBorders>
                  <w:noWrap w:val="0"/>
                  <w:vAlign w:val="center"/>
                </w:tcPr>
                <w:p w14:paraId="5B0D5179">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地表径流、下渗</w:t>
                  </w:r>
                  <w:r>
                    <w:rPr>
                      <w:rFonts w:hint="default" w:ascii="Times New Roman" w:hAnsi="Times New Roman" w:eastAsia="宋体" w:cs="Times New Roman"/>
                      <w:color w:val="000000" w:themeColor="text1"/>
                      <w:kern w:val="0"/>
                      <w:sz w:val="21"/>
                      <w:szCs w:val="21"/>
                      <w:highlight w:val="none"/>
                      <w:lang w:eastAsia="zh-CN" w:bidi="ar"/>
                      <w14:textFill>
                        <w14:solidFill>
                          <w14:schemeClr w14:val="tx1"/>
                        </w14:solidFill>
                      </w14:textFill>
                    </w:rPr>
                    <w:t>、</w:t>
                  </w:r>
                </w:p>
              </w:tc>
              <w:tc>
                <w:tcPr>
                  <w:tcW w:w="1108" w:type="pct"/>
                  <w:tcBorders>
                    <w:tl2br w:val="nil"/>
                    <w:tr2bl w:val="nil"/>
                  </w:tcBorders>
                  <w:noWrap w:val="0"/>
                  <w:vAlign w:val="center"/>
                </w:tcPr>
                <w:p w14:paraId="5AA744E3">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地表水、地下水环境</w:t>
                  </w:r>
                </w:p>
              </w:tc>
            </w:tr>
            <w:tr w14:paraId="598D4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520" w:type="pct"/>
                  <w:vMerge w:val="restart"/>
                  <w:tcBorders>
                    <w:tl2br w:val="nil"/>
                    <w:tr2bl w:val="nil"/>
                  </w:tcBorders>
                  <w:noWrap w:val="0"/>
                  <w:vAlign w:val="center"/>
                </w:tcPr>
                <w:p w14:paraId="3B6C1F68">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储运设施</w:t>
                  </w:r>
                </w:p>
              </w:tc>
              <w:tc>
                <w:tcPr>
                  <w:tcW w:w="614" w:type="pct"/>
                  <w:vMerge w:val="restart"/>
                  <w:tcBorders>
                    <w:tl2br w:val="nil"/>
                    <w:tr2bl w:val="nil"/>
                  </w:tcBorders>
                  <w:noWrap w:val="0"/>
                  <w:vAlign w:val="center"/>
                </w:tcPr>
                <w:p w14:paraId="0C4B879C">
                  <w:pPr>
                    <w:widowControl/>
                    <w:spacing w:line="240" w:lineRule="auto"/>
                    <w:jc w:val="center"/>
                    <w:textAlignment w:val="cente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eastAsia="zh-CN" w:bidi="ar"/>
                      <w14:textFill>
                        <w14:solidFill>
                          <w14:schemeClr w14:val="tx1"/>
                        </w14:solidFill>
                      </w14:textFill>
                    </w:rPr>
                    <w:t>危险废物贮存间</w:t>
                  </w:r>
                </w:p>
              </w:tc>
              <w:tc>
                <w:tcPr>
                  <w:tcW w:w="640" w:type="pct"/>
                  <w:tcBorders>
                    <w:tl2br w:val="nil"/>
                    <w:tr2bl w:val="nil"/>
                  </w:tcBorders>
                  <w:noWrap w:val="0"/>
                  <w:vAlign w:val="center"/>
                </w:tcPr>
                <w:p w14:paraId="3D2A4457">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废机油</w:t>
                  </w:r>
                </w:p>
              </w:tc>
              <w:tc>
                <w:tcPr>
                  <w:tcW w:w="1182" w:type="pct"/>
                  <w:tcBorders>
                    <w:tl2br w:val="nil"/>
                    <w:tr2bl w:val="nil"/>
                  </w:tcBorders>
                  <w:noWrap w:val="0"/>
                  <w:vAlign w:val="center"/>
                </w:tcPr>
                <w:p w14:paraId="5D108107">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泄漏</w:t>
                  </w:r>
                </w:p>
              </w:tc>
              <w:tc>
                <w:tcPr>
                  <w:tcW w:w="933" w:type="pct"/>
                  <w:tcBorders>
                    <w:tl2br w:val="nil"/>
                    <w:tr2bl w:val="nil"/>
                  </w:tcBorders>
                  <w:noWrap w:val="0"/>
                  <w:vAlign w:val="center"/>
                </w:tcPr>
                <w:p w14:paraId="6D6EB9A3">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地表径流、下渗</w:t>
                  </w:r>
                </w:p>
              </w:tc>
              <w:tc>
                <w:tcPr>
                  <w:tcW w:w="1108" w:type="pct"/>
                  <w:tcBorders>
                    <w:tl2br w:val="nil"/>
                    <w:tr2bl w:val="nil"/>
                  </w:tcBorders>
                  <w:noWrap w:val="0"/>
                  <w:vAlign w:val="center"/>
                </w:tcPr>
                <w:p w14:paraId="14DBB14B">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地表水、地下水环境</w:t>
                  </w:r>
                </w:p>
              </w:tc>
            </w:tr>
            <w:tr w14:paraId="64DDF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520" w:type="pct"/>
                  <w:vMerge w:val="continue"/>
                  <w:tcBorders>
                    <w:tl2br w:val="nil"/>
                    <w:tr2bl w:val="nil"/>
                  </w:tcBorders>
                  <w:noWrap w:val="0"/>
                  <w:vAlign w:val="center"/>
                </w:tcPr>
                <w:p w14:paraId="44A61FEB">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14" w:type="pct"/>
                  <w:vMerge w:val="continue"/>
                  <w:tcBorders>
                    <w:tl2br w:val="nil"/>
                    <w:tr2bl w:val="nil"/>
                  </w:tcBorders>
                  <w:noWrap w:val="0"/>
                  <w:vAlign w:val="center"/>
                </w:tcPr>
                <w:p w14:paraId="16122C22">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640" w:type="pct"/>
                  <w:tcBorders>
                    <w:tl2br w:val="nil"/>
                    <w:tr2bl w:val="nil"/>
                  </w:tcBorders>
                  <w:noWrap w:val="0"/>
                  <w:vAlign w:val="center"/>
                </w:tcPr>
                <w:p w14:paraId="3B8A185F">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废润滑油</w:t>
                  </w:r>
                </w:p>
              </w:tc>
              <w:tc>
                <w:tcPr>
                  <w:tcW w:w="1182" w:type="pct"/>
                  <w:tcBorders>
                    <w:tl2br w:val="nil"/>
                    <w:tr2bl w:val="nil"/>
                  </w:tcBorders>
                  <w:noWrap w:val="0"/>
                  <w:vAlign w:val="center"/>
                </w:tcPr>
                <w:p w14:paraId="0453ACC5">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泄漏</w:t>
                  </w:r>
                </w:p>
              </w:tc>
              <w:tc>
                <w:tcPr>
                  <w:tcW w:w="933" w:type="pct"/>
                  <w:tcBorders>
                    <w:tl2br w:val="nil"/>
                    <w:tr2bl w:val="nil"/>
                  </w:tcBorders>
                  <w:noWrap w:val="0"/>
                  <w:vAlign w:val="center"/>
                </w:tcPr>
                <w:p w14:paraId="761A05F3">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地表径流、下渗</w:t>
                  </w:r>
                </w:p>
              </w:tc>
              <w:tc>
                <w:tcPr>
                  <w:tcW w:w="1108" w:type="pct"/>
                  <w:tcBorders>
                    <w:tl2br w:val="nil"/>
                    <w:tr2bl w:val="nil"/>
                  </w:tcBorders>
                  <w:noWrap w:val="0"/>
                  <w:vAlign w:val="center"/>
                </w:tcPr>
                <w:p w14:paraId="533ED139">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地表水、地下水环境</w:t>
                  </w:r>
                </w:p>
              </w:tc>
            </w:tr>
            <w:tr w14:paraId="5827F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520" w:type="pct"/>
                  <w:vMerge w:val="continue"/>
                  <w:tcBorders>
                    <w:tl2br w:val="nil"/>
                    <w:tr2bl w:val="nil"/>
                  </w:tcBorders>
                  <w:noWrap w:val="0"/>
                  <w:vAlign w:val="center"/>
                </w:tcPr>
                <w:p w14:paraId="76F125FD">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14" w:type="pct"/>
                  <w:vMerge w:val="continue"/>
                  <w:tcBorders>
                    <w:tl2br w:val="nil"/>
                    <w:tr2bl w:val="nil"/>
                  </w:tcBorders>
                  <w:noWrap w:val="0"/>
                  <w:vAlign w:val="center"/>
                </w:tcPr>
                <w:p w14:paraId="6A740D2B">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640" w:type="pct"/>
                  <w:tcBorders>
                    <w:tl2br w:val="nil"/>
                    <w:tr2bl w:val="nil"/>
                  </w:tcBorders>
                  <w:noWrap w:val="0"/>
                  <w:vAlign w:val="center"/>
                </w:tcPr>
                <w:p w14:paraId="088976ED">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无铬钝化池废槽液</w:t>
                  </w:r>
                  <w:r>
                    <w:rPr>
                      <w:rFonts w:hint="eastAsia" w:cs="Times New Roman"/>
                      <w:color w:val="000000" w:themeColor="text1"/>
                      <w:kern w:val="0"/>
                      <w:sz w:val="21"/>
                      <w:szCs w:val="21"/>
                      <w:highlight w:val="none"/>
                      <w:lang w:val="en-US" w:eastAsia="zh-CN" w:bidi="ar"/>
                      <w14:textFill>
                        <w14:solidFill>
                          <w14:schemeClr w14:val="tx1"/>
                        </w14:solidFill>
                      </w14:textFill>
                    </w:rPr>
                    <w:t>等</w:t>
                  </w:r>
                </w:p>
              </w:tc>
              <w:tc>
                <w:tcPr>
                  <w:tcW w:w="1182" w:type="pct"/>
                  <w:tcBorders>
                    <w:tl2br w:val="nil"/>
                    <w:tr2bl w:val="nil"/>
                  </w:tcBorders>
                  <w:noWrap w:val="0"/>
                  <w:vAlign w:val="center"/>
                </w:tcPr>
                <w:p w14:paraId="58FCA471">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泄漏</w:t>
                  </w:r>
                </w:p>
              </w:tc>
              <w:tc>
                <w:tcPr>
                  <w:tcW w:w="933" w:type="pct"/>
                  <w:tcBorders>
                    <w:tl2br w:val="nil"/>
                    <w:tr2bl w:val="nil"/>
                  </w:tcBorders>
                  <w:noWrap w:val="0"/>
                  <w:vAlign w:val="center"/>
                </w:tcPr>
                <w:p w14:paraId="04923F7F">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地表径流、下渗</w:t>
                  </w:r>
                </w:p>
              </w:tc>
              <w:tc>
                <w:tcPr>
                  <w:tcW w:w="1108" w:type="pct"/>
                  <w:tcBorders>
                    <w:tl2br w:val="nil"/>
                    <w:tr2bl w:val="nil"/>
                  </w:tcBorders>
                  <w:noWrap w:val="0"/>
                  <w:vAlign w:val="center"/>
                </w:tcPr>
                <w:p w14:paraId="3DEE4920">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地表水、地下水环境</w:t>
                  </w:r>
                </w:p>
              </w:tc>
            </w:tr>
            <w:tr w14:paraId="04CA2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520" w:type="pct"/>
                  <w:vMerge w:val="restart"/>
                  <w:tcBorders>
                    <w:tl2br w:val="nil"/>
                    <w:tr2bl w:val="nil"/>
                  </w:tcBorders>
                  <w:noWrap w:val="0"/>
                  <w:vAlign w:val="center"/>
                </w:tcPr>
                <w:p w14:paraId="3B207A8A">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环境保护设施</w:t>
                  </w:r>
                </w:p>
              </w:tc>
              <w:tc>
                <w:tcPr>
                  <w:tcW w:w="614" w:type="pct"/>
                  <w:tcBorders>
                    <w:tl2br w:val="nil"/>
                    <w:tr2bl w:val="nil"/>
                  </w:tcBorders>
                  <w:noWrap w:val="0"/>
                  <w:vAlign w:val="center"/>
                </w:tcPr>
                <w:p w14:paraId="35AC7BAC">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污水处理站</w:t>
                  </w:r>
                </w:p>
              </w:tc>
              <w:tc>
                <w:tcPr>
                  <w:tcW w:w="640" w:type="pct"/>
                  <w:tcBorders>
                    <w:tl2br w:val="nil"/>
                    <w:tr2bl w:val="nil"/>
                  </w:tcBorders>
                  <w:noWrap w:val="0"/>
                  <w:vAlign w:val="center"/>
                </w:tcPr>
                <w:p w14:paraId="5C1941CA">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表面处理废水</w:t>
                  </w:r>
                </w:p>
              </w:tc>
              <w:tc>
                <w:tcPr>
                  <w:tcW w:w="1182" w:type="pct"/>
                  <w:tcBorders>
                    <w:tl2br w:val="nil"/>
                    <w:tr2bl w:val="nil"/>
                  </w:tcBorders>
                  <w:noWrap w:val="0"/>
                  <w:vAlign w:val="center"/>
                </w:tcPr>
                <w:p w14:paraId="053B53AE">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泄漏</w:t>
                  </w:r>
                </w:p>
              </w:tc>
              <w:tc>
                <w:tcPr>
                  <w:tcW w:w="933" w:type="pct"/>
                  <w:tcBorders>
                    <w:tl2br w:val="nil"/>
                    <w:tr2bl w:val="nil"/>
                  </w:tcBorders>
                  <w:noWrap w:val="0"/>
                  <w:vAlign w:val="center"/>
                </w:tcPr>
                <w:p w14:paraId="16A9AE0B">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地表径流、下渗</w:t>
                  </w:r>
                  <w:r>
                    <w:rPr>
                      <w:rFonts w:hint="default" w:ascii="Times New Roman" w:hAnsi="Times New Roman" w:eastAsia="宋体" w:cs="Times New Roman"/>
                      <w:color w:val="000000" w:themeColor="text1"/>
                      <w:kern w:val="0"/>
                      <w:sz w:val="21"/>
                      <w:szCs w:val="21"/>
                      <w:highlight w:val="none"/>
                      <w:lang w:eastAsia="zh-CN" w:bidi="ar"/>
                      <w14:textFill>
                        <w14:solidFill>
                          <w14:schemeClr w14:val="tx1"/>
                        </w14:solidFill>
                      </w14:textFill>
                    </w:rPr>
                    <w:t>、</w:t>
                  </w:r>
                </w:p>
              </w:tc>
              <w:tc>
                <w:tcPr>
                  <w:tcW w:w="1108" w:type="pct"/>
                  <w:tcBorders>
                    <w:tl2br w:val="nil"/>
                    <w:tr2bl w:val="nil"/>
                  </w:tcBorders>
                  <w:noWrap w:val="0"/>
                  <w:vAlign w:val="center"/>
                </w:tcPr>
                <w:p w14:paraId="7E7ADA51">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地表水、地下水环境</w:t>
                  </w:r>
                </w:p>
              </w:tc>
            </w:tr>
            <w:tr w14:paraId="3367F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520" w:type="pct"/>
                  <w:vMerge w:val="continue"/>
                  <w:tcBorders>
                    <w:tl2br w:val="nil"/>
                    <w:tr2bl w:val="nil"/>
                  </w:tcBorders>
                  <w:noWrap w:val="0"/>
                  <w:vAlign w:val="center"/>
                </w:tcPr>
                <w:p w14:paraId="73788111">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c>
                <w:tcPr>
                  <w:tcW w:w="614" w:type="pct"/>
                  <w:tcBorders>
                    <w:tl2br w:val="nil"/>
                    <w:tr2bl w:val="nil"/>
                  </w:tcBorders>
                  <w:noWrap w:val="0"/>
                  <w:vAlign w:val="center"/>
                </w:tcPr>
                <w:p w14:paraId="02813EB9">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废气处理</w:t>
                  </w: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系统</w:t>
                  </w:r>
                </w:p>
              </w:tc>
              <w:tc>
                <w:tcPr>
                  <w:tcW w:w="640" w:type="pct"/>
                  <w:tcBorders>
                    <w:tl2br w:val="nil"/>
                    <w:tr2bl w:val="nil"/>
                  </w:tcBorders>
                  <w:noWrap w:val="0"/>
                  <w:vAlign w:val="center"/>
                </w:tcPr>
                <w:p w14:paraId="41DB7C4F">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p>
              </w:tc>
              <w:tc>
                <w:tcPr>
                  <w:tcW w:w="1182" w:type="pct"/>
                  <w:tcBorders>
                    <w:tl2br w:val="nil"/>
                    <w:tr2bl w:val="nil"/>
                  </w:tcBorders>
                  <w:noWrap w:val="0"/>
                  <w:vAlign w:val="center"/>
                </w:tcPr>
                <w:p w14:paraId="0983CE1D">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系统故障导致废气超标排放</w:t>
                  </w:r>
                </w:p>
              </w:tc>
              <w:tc>
                <w:tcPr>
                  <w:tcW w:w="933" w:type="pct"/>
                  <w:tcBorders>
                    <w:tl2br w:val="nil"/>
                    <w:tr2bl w:val="nil"/>
                  </w:tcBorders>
                  <w:noWrap w:val="0"/>
                  <w:vAlign w:val="center"/>
                </w:tcPr>
                <w:p w14:paraId="0101E8BC">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大气扩散</w:t>
                  </w:r>
                </w:p>
              </w:tc>
              <w:tc>
                <w:tcPr>
                  <w:tcW w:w="1108" w:type="pct"/>
                  <w:tcBorders>
                    <w:tl2br w:val="nil"/>
                    <w:tr2bl w:val="nil"/>
                  </w:tcBorders>
                  <w:noWrap w:val="0"/>
                  <w:vAlign w:val="center"/>
                </w:tcPr>
                <w:p w14:paraId="075A69AE">
                  <w:pPr>
                    <w:widowControl/>
                    <w:spacing w:line="240" w:lineRule="auto"/>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大气环境</w:t>
                  </w:r>
                </w:p>
              </w:tc>
            </w:tr>
          </w:tbl>
          <w:p w14:paraId="01B55E8D">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Times New Roman" w:hAnsi="Times New Roman" w:cs="Times New Roman"/>
                <w:color w:val="000000" w:themeColor="text1"/>
                <w:highlight w:val="none"/>
                <w14:textFill>
                  <w14:solidFill>
                    <w14:schemeClr w14:val="tx1"/>
                  </w14:solidFill>
                </w14:textFill>
              </w:rPr>
            </w:pPr>
          </w:p>
          <w:p w14:paraId="4610E157">
            <w:pPr>
              <w:pStyle w:val="39"/>
              <w:spacing w:after="0" w:line="360" w:lineRule="auto"/>
              <w:ind w:firstLine="482"/>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pacing w:val="-1"/>
                <w:sz w:val="24"/>
                <w:szCs w:val="24"/>
                <w:highlight w:val="none"/>
                <w14:textFill>
                  <w14:solidFill>
                    <w14:schemeClr w14:val="tx1"/>
                  </w14:solidFill>
                </w14:textFill>
              </w:rPr>
              <w:t>地表水环境风险：可能发生泄漏的环节主要在</w:t>
            </w:r>
            <w:r>
              <w:rPr>
                <w:rFonts w:hint="eastAsia" w:cs="Times New Roman"/>
                <w:color w:val="000000" w:themeColor="text1"/>
                <w:spacing w:val="-1"/>
                <w:sz w:val="24"/>
                <w:szCs w:val="24"/>
                <w:highlight w:val="none"/>
                <w:lang w:val="en-US" w:eastAsia="zh-CN"/>
                <w14:textFill>
                  <w14:solidFill>
                    <w14:schemeClr w14:val="tx1"/>
                  </w14:solidFill>
                </w14:textFill>
              </w:rPr>
              <w:t>工件表面预处理</w:t>
            </w:r>
            <w:r>
              <w:rPr>
                <w:rFonts w:hint="default" w:ascii="Times New Roman" w:hAnsi="Times New Roman" w:cs="Times New Roman"/>
                <w:color w:val="000000" w:themeColor="text1"/>
                <w:spacing w:val="-1"/>
                <w:sz w:val="24"/>
                <w:szCs w:val="24"/>
                <w:highlight w:val="none"/>
                <w:lang w:val="en-US" w:eastAsia="zh-CN"/>
                <w14:textFill>
                  <w14:solidFill>
                    <w14:schemeClr w14:val="tx1"/>
                  </w14:solidFill>
                </w14:textFill>
              </w:rPr>
              <w:t>生产线、化学品</w:t>
            </w:r>
            <w:r>
              <w:rPr>
                <w:rFonts w:hint="default" w:ascii="Times New Roman" w:hAnsi="Times New Roman" w:cs="Times New Roman"/>
                <w:color w:val="000000" w:themeColor="text1"/>
                <w:spacing w:val="-1"/>
                <w:sz w:val="24"/>
                <w:szCs w:val="24"/>
                <w:highlight w:val="none"/>
                <w14:textFill>
                  <w14:solidFill>
                    <w14:schemeClr w14:val="tx1"/>
                  </w14:solidFill>
                </w14:textFill>
              </w:rPr>
              <w:t>仓库、</w:t>
            </w:r>
            <w:r>
              <w:rPr>
                <w:rFonts w:hint="eastAsia" w:cs="Times New Roman"/>
                <w:color w:val="000000" w:themeColor="text1"/>
                <w:spacing w:val="-1"/>
                <w:sz w:val="24"/>
                <w:szCs w:val="24"/>
                <w:highlight w:val="none"/>
                <w:lang w:eastAsia="zh-CN"/>
                <w14:textFill>
                  <w14:solidFill>
                    <w14:schemeClr w14:val="tx1"/>
                  </w14:solidFill>
                </w14:textFill>
              </w:rPr>
              <w:t>危险废物贮存间</w:t>
            </w:r>
            <w:r>
              <w:rPr>
                <w:rFonts w:hint="default" w:ascii="Times New Roman" w:hAnsi="Times New Roman" w:cs="Times New Roman"/>
                <w:color w:val="000000" w:themeColor="text1"/>
                <w:spacing w:val="-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pacing w:val="-1"/>
                <w:sz w:val="24"/>
                <w:szCs w:val="24"/>
                <w:highlight w:val="none"/>
                <w:lang w:val="en-US" w:eastAsia="zh-CN"/>
                <w14:textFill>
                  <w14:solidFill>
                    <w14:schemeClr w14:val="tx1"/>
                  </w14:solidFill>
                </w14:textFill>
              </w:rPr>
              <w:t>污水处理站</w:t>
            </w:r>
            <w:r>
              <w:rPr>
                <w:rFonts w:hint="default" w:ascii="Times New Roman" w:hAnsi="Times New Roman" w:cs="Times New Roman"/>
                <w:color w:val="000000" w:themeColor="text1"/>
                <w:spacing w:val="-1"/>
                <w:sz w:val="24"/>
                <w:szCs w:val="24"/>
                <w:highlight w:val="none"/>
                <w14:textFill>
                  <w14:solidFill>
                    <w14:schemeClr w14:val="tx1"/>
                  </w14:solidFill>
                </w14:textFill>
              </w:rPr>
              <w:t>等，根据前文分析可知，厂区按照规范和要求对</w:t>
            </w:r>
            <w:r>
              <w:rPr>
                <w:rFonts w:hint="default" w:ascii="Times New Roman" w:hAnsi="Times New Roman" w:cs="Times New Roman"/>
                <w:color w:val="000000" w:themeColor="text1"/>
                <w:spacing w:val="-1"/>
                <w:sz w:val="24"/>
                <w:szCs w:val="24"/>
                <w:highlight w:val="none"/>
                <w:lang w:val="en-US" w:eastAsia="zh-CN"/>
                <w14:textFill>
                  <w14:solidFill>
                    <w14:schemeClr w14:val="tx1"/>
                  </w14:solidFill>
                </w14:textFill>
              </w:rPr>
              <w:t>生产厂房、化学品</w:t>
            </w:r>
            <w:r>
              <w:rPr>
                <w:rFonts w:hint="default" w:ascii="Times New Roman" w:hAnsi="Times New Roman" w:cs="Times New Roman"/>
                <w:color w:val="000000" w:themeColor="text1"/>
                <w:spacing w:val="-1"/>
                <w:sz w:val="24"/>
                <w:szCs w:val="24"/>
                <w:highlight w:val="none"/>
                <w14:textFill>
                  <w14:solidFill>
                    <w14:schemeClr w14:val="tx1"/>
                  </w14:solidFill>
                </w14:textFill>
              </w:rPr>
              <w:t>仓库、</w:t>
            </w:r>
            <w:r>
              <w:rPr>
                <w:rFonts w:hint="eastAsia" w:cs="Times New Roman"/>
                <w:color w:val="000000" w:themeColor="text1"/>
                <w:spacing w:val="-1"/>
                <w:sz w:val="24"/>
                <w:szCs w:val="24"/>
                <w:highlight w:val="none"/>
                <w:lang w:eastAsia="zh-CN"/>
                <w14:textFill>
                  <w14:solidFill>
                    <w14:schemeClr w14:val="tx1"/>
                  </w14:solidFill>
                </w14:textFill>
              </w:rPr>
              <w:t>危险废物贮存间</w:t>
            </w:r>
            <w:r>
              <w:rPr>
                <w:rFonts w:hint="default" w:ascii="Times New Roman" w:hAnsi="Times New Roman" w:cs="Times New Roman"/>
                <w:color w:val="000000" w:themeColor="text1"/>
                <w:spacing w:val="-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pacing w:val="-1"/>
                <w:sz w:val="24"/>
                <w:szCs w:val="24"/>
                <w:highlight w:val="none"/>
                <w:lang w:val="en-US" w:eastAsia="zh-CN"/>
                <w14:textFill>
                  <w14:solidFill>
                    <w14:schemeClr w14:val="tx1"/>
                  </w14:solidFill>
                </w14:textFill>
              </w:rPr>
              <w:t>污水处理站</w:t>
            </w:r>
            <w:r>
              <w:rPr>
                <w:rFonts w:hint="default" w:ascii="Times New Roman" w:hAnsi="Times New Roman" w:cs="Times New Roman"/>
                <w:color w:val="000000" w:themeColor="text1"/>
                <w:spacing w:val="-1"/>
                <w:sz w:val="24"/>
                <w:szCs w:val="24"/>
                <w:highlight w:val="none"/>
                <w14:textFill>
                  <w14:solidFill>
                    <w14:schemeClr w14:val="tx1"/>
                  </w14:solidFill>
                </w14:textFill>
              </w:rPr>
              <w:t>等采取有效的防雨、防渗漏、防溢流等措施；厂区地面均已进行场地硬化，因操作不当发生少量泄漏后，可</w:t>
            </w:r>
            <w:r>
              <w:rPr>
                <w:rFonts w:hint="default" w:ascii="Times New Roman" w:hAnsi="Times New Roman" w:cs="Times New Roman"/>
                <w:color w:val="000000" w:themeColor="text1"/>
                <w:spacing w:val="-1"/>
                <w:sz w:val="24"/>
                <w:szCs w:val="24"/>
                <w:highlight w:val="none"/>
                <w:lang w:eastAsia="zh-CN"/>
                <w14:textFill>
                  <w14:solidFill>
                    <w14:schemeClr w14:val="tx1"/>
                  </w14:solidFill>
                </w14:textFill>
              </w:rPr>
              <w:t>截止</w:t>
            </w:r>
            <w:r>
              <w:rPr>
                <w:rFonts w:hint="default" w:ascii="Times New Roman" w:hAnsi="Times New Roman" w:cs="Times New Roman"/>
                <w:color w:val="000000" w:themeColor="text1"/>
                <w:spacing w:val="-1"/>
                <w:sz w:val="24"/>
                <w:szCs w:val="24"/>
                <w:highlight w:val="none"/>
                <w14:textFill>
                  <w14:solidFill>
                    <w14:schemeClr w14:val="tx1"/>
                  </w14:solidFill>
                </w14:textFill>
              </w:rPr>
              <w:t>在厂区内，且厂区内危险物质的总储存量不大，危险单元中的物质存放量较少，局部泄漏量较少。</w:t>
            </w:r>
          </w:p>
          <w:p w14:paraId="67F87E35">
            <w:pPr>
              <w:pStyle w:val="39"/>
              <w:spacing w:after="0" w:line="360" w:lineRule="auto"/>
              <w:ind w:firstLine="482"/>
              <w:rPr>
                <w:rFonts w:hint="default" w:ascii="Times New Roman" w:hAnsi="Times New Roman" w:eastAsia="宋体" w:cs="Times New Roman"/>
                <w:color w:val="000000" w:themeColor="text1"/>
                <w:spacing w:val="-1"/>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地下水环境风险：各种泄漏事件，导致通过地表下渗污染地下水水质，比如，项目有毒有害物质在运输、装卸、储存和使用过程中发生渗漏，仓库防渗层损坏等。</w:t>
            </w:r>
          </w:p>
          <w:p w14:paraId="5759ED51">
            <w:pPr>
              <w:pStyle w:val="39"/>
              <w:spacing w:after="0" w:line="360" w:lineRule="auto"/>
              <w:ind w:firstLine="482"/>
              <w:rPr>
                <w:rFonts w:hint="default"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大气环境风险：</w:t>
            </w:r>
            <w:r>
              <w:rPr>
                <w:rFonts w:hint="default"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天然气</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管道破裂而泄漏</w:t>
            </w:r>
            <w:r>
              <w:rPr>
                <w:rFonts w:hint="default" w:ascii="Times New Roman" w:hAnsi="Times New Roman" w:eastAsia="宋体" w:cs="Times New Roman"/>
                <w:color w:val="000000" w:themeColor="text1"/>
                <w:spacing w:val="-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遇明火发生火灾或爆炸，产生大量燃烧废气</w:t>
            </w:r>
            <w:r>
              <w:rPr>
                <w:rFonts w:hint="default" w:ascii="Times New Roman" w:hAnsi="Times New Roman" w:eastAsia="宋体" w:cs="Times New Roman"/>
                <w:color w:val="000000" w:themeColor="text1"/>
                <w:spacing w:val="-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一旦发生火灾事故，硫酸铵燃烧过程中产生的有毒有害气体、燃烧烟尘、颗粒物对区域的大气环境会造成不利影响，导致区域环境空气质量下降，且短时间内不易恢复。</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项目废气处理设施正常运行时，可保证废气达标排放，当废气处理设施发生故障时，会造成未处理的废气直接排入空气中，对环境空气造成一定的影响。</w:t>
            </w:r>
          </w:p>
          <w:p w14:paraId="714BB506">
            <w:pPr>
              <w:pStyle w:val="39"/>
              <w:spacing w:after="0" w:line="360" w:lineRule="auto"/>
              <w:ind w:firstLine="482"/>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7.3环境风险防范措施</w:t>
            </w:r>
          </w:p>
          <w:p w14:paraId="1ED71A24">
            <w:pPr>
              <w:pStyle w:val="39"/>
              <w:spacing w:after="0" w:line="360" w:lineRule="auto"/>
              <w:ind w:firstLine="482"/>
              <w:rPr>
                <w:rFonts w:hint="default" w:ascii="Times New Roman" w:hAnsi="Times New Roman" w:eastAsia="宋体" w:cs="Times New Roman"/>
                <w:color w:val="000000" w:themeColor="text1"/>
                <w:spacing w:val="-1"/>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①严格执行应急管理、消防等相关规范，从总图布置和建筑安全方面进行风险防范，预留疏散通道或安置场所。</w:t>
            </w:r>
          </w:p>
          <w:p w14:paraId="66569C1E">
            <w:pPr>
              <w:pStyle w:val="39"/>
              <w:spacing w:after="0" w:line="360" w:lineRule="auto"/>
              <w:ind w:firstLine="482"/>
              <w:rPr>
                <w:rFonts w:hint="default" w:ascii="Times New Roman" w:hAnsi="Times New Roman" w:eastAsia="宋体" w:cs="Times New Roman"/>
                <w:color w:val="000000" w:themeColor="text1"/>
                <w:spacing w:val="-1"/>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②从优化改进生产工艺、减少储存量、改善储存条件等方面降低风险程度。</w:t>
            </w:r>
          </w:p>
          <w:p w14:paraId="2F7E3842">
            <w:pPr>
              <w:pStyle w:val="39"/>
              <w:spacing w:after="0" w:line="360" w:lineRule="auto"/>
              <w:ind w:firstLine="482"/>
              <w:rPr>
                <w:rFonts w:hint="default" w:ascii="Times New Roman" w:hAnsi="Times New Roman" w:eastAsia="宋体" w:cs="Times New Roman"/>
                <w:color w:val="000000" w:themeColor="text1"/>
                <w:spacing w:val="-1"/>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③加强日常管理，降低管理失误而出现的风险事故，提高员工规范性操作水平，减少误操作引发的风险事故。</w:t>
            </w:r>
          </w:p>
          <w:p w14:paraId="3706C220">
            <w:pPr>
              <w:pStyle w:val="39"/>
              <w:spacing w:after="0" w:line="360" w:lineRule="auto"/>
              <w:ind w:firstLine="482"/>
              <w:rPr>
                <w:rFonts w:hint="default" w:ascii="Times New Roman" w:hAnsi="Times New Roman" w:eastAsia="宋体" w:cs="Times New Roman"/>
                <w:color w:val="000000" w:themeColor="text1"/>
                <w:spacing w:val="-1"/>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④根据贮存的相关要求进行贮存、使用，设置满足要求的围堰区。遵循“源头控制，分区防渗”的原则，做好仓库、车间、</w:t>
            </w:r>
            <w:r>
              <w:rPr>
                <w:rFonts w:hint="eastAsia" w:cs="Times New Roman"/>
                <w:color w:val="000000" w:themeColor="text1"/>
                <w:spacing w:val="-1"/>
                <w:sz w:val="24"/>
                <w:szCs w:val="24"/>
                <w:highlight w:val="none"/>
                <w:lang w:eastAsia="zh-CN"/>
                <w14:textFill>
                  <w14:solidFill>
                    <w14:schemeClr w14:val="tx1"/>
                  </w14:solidFill>
                </w14:textFill>
              </w:rPr>
              <w:t>危险废物贮存间</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的防渗措施，满足相应标准要求。危废间在建筑物内部，达到防风防雨防晒要求，地面硬化并刷环氧树脂漆防渗，四周设置围堰，满足四防要求。</w:t>
            </w:r>
          </w:p>
          <w:p w14:paraId="3DDA48D6">
            <w:pPr>
              <w:pStyle w:val="39"/>
              <w:spacing w:after="0" w:line="360" w:lineRule="auto"/>
              <w:ind w:firstLine="482"/>
              <w:rPr>
                <w:rFonts w:hint="default" w:ascii="Times New Roman" w:hAnsi="Times New Roman" w:eastAsia="宋体" w:cs="Times New Roman"/>
                <w:color w:val="000000" w:themeColor="text1"/>
                <w:spacing w:val="-1"/>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项目风险防范措施详见下表：</w:t>
            </w:r>
          </w:p>
          <w:p w14:paraId="3AFD058E">
            <w:pPr>
              <w:keepNext/>
              <w:keepLines/>
              <w:numPr>
                <w:ilvl w:val="0"/>
                <w:numId w:val="0"/>
              </w:numPr>
              <w:suppressLineNumbers w:val="0"/>
              <w:tabs>
                <w:tab w:val="left" w:pos="0"/>
              </w:tabs>
              <w:spacing w:before="0" w:beforeAutospacing="0" w:after="0" w:afterAutospacing="0"/>
              <w:ind w:left="0" w:leftChars="0" w:right="0" w:rightChars="0" w:firstLine="40" w:firstLineChars="0"/>
              <w:jc w:val="center"/>
              <w:outlineLvl w:val="3"/>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表4-4</w:t>
            </w:r>
            <w:r>
              <w:rPr>
                <w:rFonts w:hint="eastAsia" w:cs="Times New Roman"/>
                <w:b/>
                <w:bCs/>
                <w:color w:val="000000" w:themeColor="text1"/>
                <w:kern w:val="2"/>
                <w:sz w:val="21"/>
                <w:szCs w:val="21"/>
                <w:lang w:val="en-US" w:eastAsia="zh-CN" w:bidi="ar-SA"/>
                <w14:textFill>
                  <w14:solidFill>
                    <w14:schemeClr w14:val="tx1"/>
                  </w14:solidFill>
                </w14:textFill>
              </w:rPr>
              <w:t>2</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项目风险防范措施一览表</w:t>
            </w:r>
          </w:p>
          <w:tbl>
            <w:tblPr>
              <w:tblStyle w:val="4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917"/>
              <w:gridCol w:w="3437"/>
              <w:gridCol w:w="3379"/>
            </w:tblGrid>
            <w:tr w14:paraId="1F98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02" w:type="pct"/>
                  <w:gridSpan w:val="2"/>
                  <w:noWrap w:val="0"/>
                  <w:vAlign w:val="center"/>
                </w:tcPr>
                <w:p w14:paraId="5F1291AD">
                  <w:pPr>
                    <w:pStyle w:val="4"/>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环境风险因素</w:t>
                  </w:r>
                </w:p>
              </w:tc>
              <w:tc>
                <w:tcPr>
                  <w:tcW w:w="2066" w:type="pct"/>
                  <w:noWrap w:val="0"/>
                  <w:vAlign w:val="center"/>
                </w:tcPr>
                <w:p w14:paraId="68DC2428">
                  <w:pPr>
                    <w:pStyle w:val="4"/>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环境风险影响</w:t>
                  </w:r>
                </w:p>
              </w:tc>
              <w:tc>
                <w:tcPr>
                  <w:tcW w:w="2031" w:type="pct"/>
                  <w:noWrap w:val="0"/>
                  <w:vAlign w:val="center"/>
                </w:tcPr>
                <w:p w14:paraId="3311A824">
                  <w:pPr>
                    <w:pStyle w:val="4"/>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风险防范措施</w:t>
                  </w:r>
                </w:p>
              </w:tc>
            </w:tr>
            <w:tr w14:paraId="4624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02" w:type="pct"/>
                  <w:gridSpan w:val="2"/>
                  <w:noWrap w:val="0"/>
                  <w:vAlign w:val="center"/>
                </w:tcPr>
                <w:p w14:paraId="0B78B478">
                  <w:pPr>
                    <w:pStyle w:val="4"/>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天然气管道</w:t>
                  </w:r>
                </w:p>
              </w:tc>
              <w:tc>
                <w:tcPr>
                  <w:tcW w:w="2066" w:type="pct"/>
                  <w:noWrap w:val="0"/>
                  <w:vAlign w:val="center"/>
                </w:tcPr>
                <w:p w14:paraId="0C4AB191">
                  <w:pPr>
                    <w:pStyle w:val="4"/>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火灾爆炸事故次生环境事件</w:t>
                  </w:r>
                </w:p>
              </w:tc>
              <w:tc>
                <w:tcPr>
                  <w:tcW w:w="2031" w:type="pct"/>
                  <w:noWrap w:val="0"/>
                  <w:vAlign w:val="center"/>
                </w:tcPr>
                <w:p w14:paraId="7212BC0A">
                  <w:pPr>
                    <w:pStyle w:val="4"/>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定期维护检修，安排专人巡检，配备一定的消防、环境应急物资</w:t>
                  </w:r>
                </w:p>
              </w:tc>
            </w:tr>
            <w:tr w14:paraId="2477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02" w:type="pct"/>
                  <w:gridSpan w:val="2"/>
                  <w:noWrap w:val="0"/>
                  <w:vAlign w:val="center"/>
                </w:tcPr>
                <w:p w14:paraId="7EEC0D57">
                  <w:pPr>
                    <w:pStyle w:val="4"/>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表面处理区域</w:t>
                  </w:r>
                </w:p>
              </w:tc>
              <w:tc>
                <w:tcPr>
                  <w:tcW w:w="2066" w:type="pct"/>
                  <w:noWrap w:val="0"/>
                  <w:vAlign w:val="center"/>
                </w:tcPr>
                <w:p w14:paraId="26330080">
                  <w:pPr>
                    <w:pStyle w:val="4"/>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预处理槽槽液存储、使用过程发生泄漏</w:t>
                  </w:r>
                </w:p>
              </w:tc>
              <w:tc>
                <w:tcPr>
                  <w:tcW w:w="2031" w:type="pct"/>
                  <w:noWrap w:val="0"/>
                  <w:vAlign w:val="center"/>
                </w:tcPr>
                <w:p w14:paraId="130874E9">
                  <w:pPr>
                    <w:pStyle w:val="4"/>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表面处理区域</w:t>
                  </w: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化学品仓</w:t>
                  </w:r>
                  <w:r>
                    <w:rPr>
                      <w:rFonts w:hint="default" w:ascii="Times New Roman" w:hAnsi="Times New Roman" w:cs="Times New Roman"/>
                      <w:b w:val="0"/>
                      <w:bCs w:val="0"/>
                      <w:color w:val="000000" w:themeColor="text1"/>
                      <w:sz w:val="21"/>
                      <w:szCs w:val="21"/>
                      <w:highlight w:val="none"/>
                      <w14:textFill>
                        <w14:solidFill>
                          <w14:schemeClr w14:val="tx1"/>
                        </w14:solidFill>
                      </w14:textFill>
                    </w:rPr>
                    <w:t>设置围堰并对其地面设置防渗层，防止</w:t>
                  </w: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泄漏</w:t>
                  </w:r>
                  <w:r>
                    <w:rPr>
                      <w:rFonts w:hint="default" w:ascii="Times New Roman" w:hAnsi="Times New Roman" w:cs="Times New Roman"/>
                      <w:b w:val="0"/>
                      <w:bCs w:val="0"/>
                      <w:color w:val="000000" w:themeColor="text1"/>
                      <w:sz w:val="21"/>
                      <w:szCs w:val="21"/>
                      <w:highlight w:val="none"/>
                      <w14:textFill>
                        <w14:solidFill>
                          <w14:schemeClr w14:val="tx1"/>
                        </w14:solidFill>
                      </w14:textFill>
                    </w:rPr>
                    <w:t>液体渗透至土壤。</w:t>
                  </w:r>
                </w:p>
              </w:tc>
            </w:tr>
            <w:tr w14:paraId="1EAB8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51" w:type="pct"/>
                  <w:vMerge w:val="restart"/>
                  <w:noWrap w:val="0"/>
                  <w:vAlign w:val="center"/>
                </w:tcPr>
                <w:p w14:paraId="17A27DCC">
                  <w:pPr>
                    <w:pStyle w:val="4"/>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储运工程</w:t>
                  </w:r>
                </w:p>
              </w:tc>
              <w:tc>
                <w:tcPr>
                  <w:tcW w:w="550" w:type="pct"/>
                  <w:noWrap w:val="0"/>
                  <w:vAlign w:val="center"/>
                </w:tcPr>
                <w:p w14:paraId="2BD5F523">
                  <w:pPr>
                    <w:pStyle w:val="4"/>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原辅材料</w:t>
                  </w: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泄漏</w:t>
                  </w:r>
                </w:p>
              </w:tc>
              <w:tc>
                <w:tcPr>
                  <w:tcW w:w="2066" w:type="pct"/>
                  <w:noWrap w:val="0"/>
                  <w:vAlign w:val="center"/>
                </w:tcPr>
                <w:p w14:paraId="095E1352">
                  <w:pPr>
                    <w:pStyle w:val="4"/>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表面处理添加剂等物质在存储、使用、转运过程中</w:t>
                  </w:r>
                </w:p>
              </w:tc>
              <w:tc>
                <w:tcPr>
                  <w:tcW w:w="2031" w:type="pct"/>
                  <w:noWrap w:val="0"/>
                  <w:vAlign w:val="center"/>
                </w:tcPr>
                <w:p w14:paraId="2BBE0BC5">
                  <w:pPr>
                    <w:pStyle w:val="4"/>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原料区</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中用于储存危险化学品的化学品仓</w:t>
                  </w:r>
                  <w:r>
                    <w:rPr>
                      <w:rFonts w:hint="default" w:ascii="Times New Roman" w:hAnsi="Times New Roman" w:cs="Times New Roman"/>
                      <w:b w:val="0"/>
                      <w:bCs w:val="0"/>
                      <w:color w:val="000000" w:themeColor="text1"/>
                      <w:sz w:val="21"/>
                      <w:szCs w:val="21"/>
                      <w:highlight w:val="none"/>
                      <w14:textFill>
                        <w14:solidFill>
                          <w14:schemeClr w14:val="tx1"/>
                        </w14:solidFill>
                      </w14:textFill>
                    </w:rPr>
                    <w:t>进行</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重点防渗，并设置围堰，其余区域作</w:t>
                  </w:r>
                  <w:r>
                    <w:rPr>
                      <w:rFonts w:hint="default" w:ascii="Times New Roman" w:hAnsi="Times New Roman" w:cs="Times New Roman"/>
                      <w:b w:val="0"/>
                      <w:bCs w:val="0"/>
                      <w:color w:val="000000" w:themeColor="text1"/>
                      <w:sz w:val="21"/>
                      <w:szCs w:val="21"/>
                      <w:highlight w:val="none"/>
                      <w14:textFill>
                        <w14:solidFill>
                          <w14:schemeClr w14:val="tx1"/>
                        </w14:solidFill>
                      </w14:textFill>
                    </w:rPr>
                    <w:t>一般防渗，安全操作；配备一定的环境应急物资</w:t>
                  </w:r>
                </w:p>
              </w:tc>
            </w:tr>
            <w:tr w14:paraId="5BB9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51" w:type="pct"/>
                  <w:vMerge w:val="continue"/>
                  <w:noWrap w:val="0"/>
                  <w:vAlign w:val="center"/>
                </w:tcPr>
                <w:p w14:paraId="39E9AAC2">
                  <w:pPr>
                    <w:pStyle w:val="4"/>
                    <w:keepNext w:val="0"/>
                    <w:keepLines w:val="0"/>
                    <w:suppressLineNumbers w:val="0"/>
                    <w:spacing w:before="0" w:beforeAutospacing="0" w:after="0" w:afterAutospacing="0" w:line="240" w:lineRule="auto"/>
                    <w:ind w:right="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550" w:type="pct"/>
                  <w:noWrap w:val="0"/>
                  <w:vAlign w:val="center"/>
                </w:tcPr>
                <w:p w14:paraId="53312067">
                  <w:pPr>
                    <w:pStyle w:val="4"/>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危险废物</w:t>
                  </w: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泄漏</w:t>
                  </w:r>
                </w:p>
              </w:tc>
              <w:tc>
                <w:tcPr>
                  <w:tcW w:w="2066" w:type="pct"/>
                  <w:noWrap w:val="0"/>
                  <w:vAlign w:val="center"/>
                </w:tcPr>
                <w:p w14:paraId="39124C3B">
                  <w:pPr>
                    <w:pStyle w:val="4"/>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无铬钝化废槽液</w:t>
                  </w:r>
                  <w:r>
                    <w:rPr>
                      <w:rFonts w:hint="default" w:ascii="Times New Roman" w:hAnsi="Times New Roman" w:cs="Times New Roman"/>
                      <w:b w:val="0"/>
                      <w:bCs w:val="0"/>
                      <w:color w:val="000000" w:themeColor="text1"/>
                      <w:sz w:val="21"/>
                      <w:szCs w:val="21"/>
                      <w:highlight w:val="none"/>
                      <w14:textFill>
                        <w14:solidFill>
                          <w14:schemeClr w14:val="tx1"/>
                        </w14:solidFill>
                      </w14:textFill>
                    </w:rPr>
                    <w:t>、废活性炭等危险废物在存储、转运过程中发生</w:t>
                  </w: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泄漏</w:t>
                  </w:r>
                  <w:r>
                    <w:rPr>
                      <w:rFonts w:hint="default" w:ascii="Times New Roman" w:hAnsi="Times New Roman" w:cs="Times New Roman"/>
                      <w:b w:val="0"/>
                      <w:bCs w:val="0"/>
                      <w:color w:val="000000" w:themeColor="text1"/>
                      <w:sz w:val="21"/>
                      <w:szCs w:val="21"/>
                      <w:highlight w:val="none"/>
                      <w14:textFill>
                        <w14:solidFill>
                          <w14:schemeClr w14:val="tx1"/>
                        </w14:solidFill>
                      </w14:textFill>
                    </w:rPr>
                    <w:t>事件，导致项目有毒有害物质经地表径流或雨水管道进入周边水体或通过地表下渗污染地下水水质</w:t>
                  </w:r>
                </w:p>
              </w:tc>
              <w:tc>
                <w:tcPr>
                  <w:tcW w:w="2031" w:type="pct"/>
                  <w:noWrap w:val="0"/>
                  <w:vAlign w:val="center"/>
                </w:tcPr>
                <w:p w14:paraId="37E1927C">
                  <w:pPr>
                    <w:pStyle w:val="4"/>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危废间进行重点防渗，安全操作配备一定的环境应急物资</w:t>
                  </w:r>
                </w:p>
              </w:tc>
            </w:tr>
            <w:tr w14:paraId="7DDC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51" w:type="pct"/>
                  <w:vMerge w:val="restart"/>
                  <w:noWrap w:val="0"/>
                  <w:vAlign w:val="center"/>
                </w:tcPr>
                <w:p w14:paraId="7CC87884">
                  <w:pPr>
                    <w:pStyle w:val="4"/>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环保工程</w:t>
                  </w:r>
                </w:p>
              </w:tc>
              <w:tc>
                <w:tcPr>
                  <w:tcW w:w="550" w:type="pct"/>
                  <w:noWrap w:val="0"/>
                  <w:vAlign w:val="center"/>
                </w:tcPr>
                <w:p w14:paraId="721FE66C">
                  <w:pPr>
                    <w:pStyle w:val="4"/>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废气处理措施故障</w:t>
                  </w:r>
                </w:p>
              </w:tc>
              <w:tc>
                <w:tcPr>
                  <w:tcW w:w="2066" w:type="pct"/>
                  <w:noWrap w:val="0"/>
                  <w:vAlign w:val="center"/>
                </w:tcPr>
                <w:p w14:paraId="39C99F63">
                  <w:pPr>
                    <w:pStyle w:val="4"/>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废气超标排放，影响区域大气环境</w:t>
                  </w:r>
                </w:p>
              </w:tc>
              <w:tc>
                <w:tcPr>
                  <w:tcW w:w="2031" w:type="pct"/>
                  <w:noWrap w:val="0"/>
                  <w:vAlign w:val="center"/>
                </w:tcPr>
                <w:p w14:paraId="37D9B7F9">
                  <w:pPr>
                    <w:pStyle w:val="4"/>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定期进行检修，及时排除故障，废气处理设施故障时及时停产检修</w:t>
                  </w:r>
                </w:p>
              </w:tc>
            </w:tr>
            <w:tr w14:paraId="70C7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51" w:type="pct"/>
                  <w:vMerge w:val="continue"/>
                  <w:noWrap w:val="0"/>
                  <w:vAlign w:val="center"/>
                </w:tcPr>
                <w:p w14:paraId="56580420">
                  <w:pPr>
                    <w:pStyle w:val="4"/>
                    <w:keepNext w:val="0"/>
                    <w:keepLines w:val="0"/>
                    <w:suppressLineNumbers w:val="0"/>
                    <w:spacing w:before="0" w:beforeAutospacing="0" w:after="0" w:afterAutospacing="0" w:line="240" w:lineRule="auto"/>
                    <w:ind w:right="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550" w:type="pct"/>
                  <w:noWrap w:val="0"/>
                  <w:vAlign w:val="center"/>
                </w:tcPr>
                <w:p w14:paraId="1241B7B0">
                  <w:pPr>
                    <w:pStyle w:val="4"/>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废水处理措施故障</w:t>
                  </w:r>
                </w:p>
              </w:tc>
              <w:tc>
                <w:tcPr>
                  <w:tcW w:w="2066" w:type="pct"/>
                  <w:noWrap w:val="0"/>
                  <w:vAlign w:val="center"/>
                </w:tcPr>
                <w:p w14:paraId="25CC4216">
                  <w:pPr>
                    <w:pStyle w:val="4"/>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废水超标排放，影响地表水环境；发生</w:t>
                  </w: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泄漏</w:t>
                  </w:r>
                  <w:r>
                    <w:rPr>
                      <w:rFonts w:hint="default" w:ascii="Times New Roman" w:hAnsi="Times New Roman" w:cs="Times New Roman"/>
                      <w:b w:val="0"/>
                      <w:bCs w:val="0"/>
                      <w:color w:val="000000" w:themeColor="text1"/>
                      <w:sz w:val="21"/>
                      <w:szCs w:val="21"/>
                      <w:highlight w:val="none"/>
                      <w14:textFill>
                        <w14:solidFill>
                          <w14:schemeClr w14:val="tx1"/>
                        </w14:solidFill>
                      </w14:textFill>
                    </w:rPr>
                    <w:t>事故，导致废水经地表径流或雨水管道进入周边水体或通过地表下渗污染地下水水质</w:t>
                  </w:r>
                </w:p>
              </w:tc>
              <w:tc>
                <w:tcPr>
                  <w:tcW w:w="2031" w:type="pct"/>
                  <w:noWrap w:val="0"/>
                  <w:vAlign w:val="center"/>
                </w:tcPr>
                <w:p w14:paraId="00C6E4AB">
                  <w:pPr>
                    <w:pStyle w:val="4"/>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废水收集管网均采用加厚 PVC材质制成，减少发生破损的情况;污水泵一用一备，确保废水处理系统稳定运行，生产废水排放口设切断控制阀，防止事故生产废水外排</w:t>
                  </w: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cs="Times New Roman"/>
                      <w:b w:val="0"/>
                      <w:bCs w:val="0"/>
                      <w:color w:val="000000" w:themeColor="text1"/>
                      <w:sz w:val="21"/>
                      <w:szCs w:val="21"/>
                      <w:highlight w:val="none"/>
                      <w14:textFill>
                        <w14:solidFill>
                          <w14:schemeClr w14:val="tx1"/>
                        </w14:solidFill>
                      </w14:textFill>
                    </w:rPr>
                    <w:t>定期进行检修，及时排除故障，废水处理设施故障时及时停产检修。</w:t>
                  </w:r>
                </w:p>
              </w:tc>
            </w:tr>
          </w:tbl>
          <w:p w14:paraId="4D88E455">
            <w:pPr>
              <w:pStyle w:val="39"/>
              <w:spacing w:after="0" w:line="360" w:lineRule="auto"/>
              <w:ind w:firstLine="482"/>
              <w:rPr>
                <w:rFonts w:hint="default" w:ascii="Times New Roman" w:hAnsi="Times New Roman" w:eastAsia="宋体" w:cs="Times New Roman"/>
                <w:color w:val="000000" w:themeColor="text1"/>
                <w:spacing w:val="-1"/>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⑤事故应急池：</w:t>
            </w:r>
          </w:p>
          <w:p w14:paraId="1E0F1F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事故应急池容积计算参考《事故状态下水体污染的预防与控制技术要求》（Q/SY 1190-2013）的规定进行核算。</w:t>
            </w:r>
          </w:p>
          <w:p w14:paraId="00CCDB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V</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总</w:t>
            </w:r>
            <w:r>
              <w:rPr>
                <w:rFonts w:hint="default" w:ascii="Times New Roman" w:hAnsi="Times New Roman" w:eastAsia="宋体" w:cs="Times New Roman"/>
                <w:color w:val="000000" w:themeColor="text1"/>
                <w:sz w:val="24"/>
                <w:szCs w:val="24"/>
                <w:highlight w:val="none"/>
                <w14:textFill>
                  <w14:solidFill>
                    <w14:schemeClr w14:val="tx1"/>
                  </w14:solidFill>
                </w14:textFill>
              </w:rPr>
              <w:t>=（V</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1</w:t>
            </w:r>
            <w:r>
              <w:rPr>
                <w:rFonts w:hint="default" w:ascii="Times New Roman" w:hAnsi="Times New Roman" w:eastAsia="宋体" w:cs="Times New Roman"/>
                <w:color w:val="000000" w:themeColor="text1"/>
                <w:sz w:val="24"/>
                <w:szCs w:val="24"/>
                <w:highlight w:val="none"/>
                <w14:textFill>
                  <w14:solidFill>
                    <w14:schemeClr w14:val="tx1"/>
                  </w14:solidFill>
                </w14:textFill>
              </w:rPr>
              <w:t>+V</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-V</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max</w:t>
            </w:r>
            <w:r>
              <w:rPr>
                <w:rFonts w:hint="default" w:ascii="Times New Roman" w:hAnsi="Times New Roman" w:eastAsia="宋体" w:cs="Times New Roman"/>
                <w:color w:val="000000" w:themeColor="text1"/>
                <w:sz w:val="24"/>
                <w:szCs w:val="24"/>
                <w:highlight w:val="none"/>
                <w14:textFill>
                  <w14:solidFill>
                    <w14:schemeClr w14:val="tx1"/>
                  </w14:solidFill>
                </w14:textFill>
              </w:rPr>
              <w:t>+V</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4</w:t>
            </w:r>
            <w:r>
              <w:rPr>
                <w:rFonts w:hint="default" w:ascii="Times New Roman" w:hAnsi="Times New Roman" w:eastAsia="宋体" w:cs="Times New Roman"/>
                <w:color w:val="000000" w:themeColor="text1"/>
                <w:sz w:val="24"/>
                <w:szCs w:val="24"/>
                <w:highlight w:val="none"/>
                <w14:textFill>
                  <w14:solidFill>
                    <w14:schemeClr w14:val="tx1"/>
                  </w14:solidFill>
                </w14:textFill>
              </w:rPr>
              <w:t>+V</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5</w:t>
            </w:r>
          </w:p>
          <w:p w14:paraId="0DE5121F">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式中：V</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1</w:t>
            </w:r>
            <w:r>
              <w:rPr>
                <w:rFonts w:hint="default" w:ascii="Times New Roman" w:hAnsi="Times New Roman" w:eastAsia="宋体" w:cs="Times New Roman"/>
                <w:color w:val="000000" w:themeColor="text1"/>
                <w:sz w:val="24"/>
                <w:szCs w:val="24"/>
                <w:highlight w:val="none"/>
                <w14:textFill>
                  <w14:solidFill>
                    <w14:schemeClr w14:val="tx1"/>
                  </w14:solidFill>
                </w14:textFill>
              </w:rPr>
              <w:t>—收集系统范围内发生事故的一个罐组或一套装置的物料量。</w:t>
            </w:r>
          </w:p>
          <w:p w14:paraId="579D1CFE">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highlight w:val="none"/>
                <w:lang w:eastAsia="zh-CN"/>
                <w14:textFill>
                  <w14:solidFill>
                    <w14:schemeClr w14:val="tx1"/>
                  </w14:solidFill>
                </w14:textFill>
              </w:rPr>
            </w:pPr>
            <w:r>
              <w:rPr>
                <w:rFonts w:hint="default" w:ascii="Times New Roman" w:hAnsi="Times New Roman" w:cs="Times New Roman"/>
                <w:color w:val="000000" w:themeColor="text1"/>
                <w:sz w:val="24"/>
                <w:szCs w:val="24"/>
                <w:highlight w:val="none"/>
                <w:lang w:eastAsia="zh-CN"/>
                <w14:textFill>
                  <w14:solidFill>
                    <w14:schemeClr w14:val="tx1"/>
                  </w14:solidFill>
                </w14:textFill>
              </w:rPr>
              <w:t>项目所用化学品、原辅材料等不使用时封闭储存于化学品仓或原料仓中，化学品仓和危废间已做好防渗措施，</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取各构筑物内最大一个液态物料储存容器的容积，本项目取11.2m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（预脱脂/脱脂池），即</w:t>
            </w:r>
            <w:r>
              <w:rPr>
                <w:rFonts w:hint="default" w:ascii="Times New Roman" w:hAnsi="Times New Roman" w:cs="Times New Roman"/>
                <w:color w:val="000000" w:themeColor="text1"/>
                <w:sz w:val="24"/>
                <w:szCs w:val="24"/>
                <w:highlight w:val="none"/>
                <w:lang w:eastAsia="zh-CN"/>
                <w14:textFill>
                  <w14:solidFill>
                    <w14:schemeClr w14:val="tx1"/>
                  </w14:solidFill>
                </w14:textFill>
              </w:rPr>
              <w:t>V</w:t>
            </w:r>
            <w:r>
              <w:rPr>
                <w:rFonts w:hint="default" w:ascii="Times New Roman" w:hAnsi="Times New Roman" w:cs="Times New Roman"/>
                <w:color w:val="000000" w:themeColor="text1"/>
                <w:sz w:val="24"/>
                <w:szCs w:val="24"/>
                <w:highlight w:val="none"/>
                <w:vertAlign w:val="subscript"/>
                <w:lang w:val="en-US" w:eastAsia="zh-CN"/>
                <w14:textFill>
                  <w14:solidFill>
                    <w14:schemeClr w14:val="tx1"/>
                  </w14:solidFill>
                </w14:textFill>
              </w:rPr>
              <w:t>1</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11.2</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p>
          <w:p w14:paraId="5D151C69">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V</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—发生事故的储罐或装置的消防水量</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15D78F82">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根据《消防给水及消火栓系统技术规范》（GB50974-2014），“1 工厂、堆场和储罐区等，当占地面积小于等于 100hm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，且附有居住区人数小于等于 1.5 万人时，同一时间内的火灾起数应按 1 起确定”，因此，确定项目同一时间内的火灾起数为 1，按最不利原则，建筑面积最大的生产楼火灾事故计。 </w:t>
            </w:r>
          </w:p>
          <w:p w14:paraId="4C4326F2">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本项目生产楼总高度约为</w:t>
            </w:r>
            <w:r>
              <w:rPr>
                <w:rFonts w:hint="eastAsia" w:ascii="Times New Roman" w:eastAsia="宋体" w:cs="Times New Roman"/>
                <w:color w:val="000000" w:themeColor="text1"/>
                <w:sz w:val="24"/>
                <w:szCs w:val="24"/>
                <w:highlight w:val="none"/>
                <w:lang w:val="en-US" w:eastAsia="zh-CN"/>
                <w14:textFill>
                  <w14:solidFill>
                    <w14:schemeClr w14:val="tx1"/>
                  </w14:solidFill>
                </w14:textFill>
              </w:rPr>
              <w:t>12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m，占地面积为</w:t>
            </w:r>
            <w:r>
              <w:rPr>
                <w:rFonts w:hint="eastAsia" w:ascii="Times New Roman" w:eastAsia="宋体" w:cs="Times New Roman"/>
                <w:color w:val="000000" w:themeColor="text1"/>
                <w:sz w:val="24"/>
                <w:szCs w:val="24"/>
                <w:highlight w:val="none"/>
                <w:lang w:val="en-US" w:eastAsia="zh-CN"/>
                <w14:textFill>
                  <w14:solidFill>
                    <w14:schemeClr w14:val="tx1"/>
                  </w14:solidFill>
                </w14:textFill>
              </w:rPr>
              <w:t>6780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，建筑体积为</w:t>
            </w:r>
            <w:r>
              <w:rPr>
                <w:rFonts w:hint="eastAsia" w:ascii="Times New Roman" w:eastAsia="宋体" w:cs="Times New Roman"/>
                <w:color w:val="000000" w:themeColor="text1"/>
                <w:sz w:val="24"/>
                <w:szCs w:val="24"/>
                <w:highlight w:val="none"/>
                <w:lang w:val="en-US" w:eastAsia="zh-CN"/>
                <w14:textFill>
                  <w14:solidFill>
                    <w14:schemeClr w14:val="tx1"/>
                  </w14:solidFill>
                </w14:textFill>
              </w:rPr>
              <w:t>81360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。根据《消防给水及消防栓系统技术规范》（GB50974-2014）表 3.6.2，本项目厂房为丁类厂房的火灾延续时间按 </w:t>
            </w:r>
            <w:r>
              <w:rPr>
                <w:rFonts w:hint="eastAsia" w:ascii="Times New Roman" w:eastAsia="宋体"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h 计，根据消防用水量计算值，室外消防栓设计流量为 20L/s，火灾延续时间为 </w:t>
            </w:r>
            <w:r>
              <w:rPr>
                <w:rFonts w:hint="eastAsia" w:ascii="Times New Roman" w:eastAsia="宋体"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 小时；室内消防栓设计流量为25L/s，火灾延续时间为 3 小时，V</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（室外）=20/1000*</w:t>
            </w:r>
            <w:r>
              <w:rPr>
                <w:rFonts w:hint="eastAsia" w:ascii="Times New Roman" w:eastAsia="宋体"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*3600=</w:t>
            </w:r>
            <w:r>
              <w:rPr>
                <w:rFonts w:hint="eastAsia" w:ascii="Times New Roman" w:eastAsia="宋体" w:cs="Times New Roman"/>
                <w:color w:val="000000" w:themeColor="text1"/>
                <w:sz w:val="24"/>
                <w:szCs w:val="24"/>
                <w:highlight w:val="none"/>
                <w:lang w:val="en-US" w:eastAsia="zh-CN"/>
                <w14:textFill>
                  <w14:solidFill>
                    <w14:schemeClr w14:val="tx1"/>
                  </w14:solidFill>
                </w14:textFill>
              </w:rPr>
              <w:t>216</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，V</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（室内）25/1000*3600*</w:t>
            </w:r>
            <w:r>
              <w:rPr>
                <w:rFonts w:hint="eastAsia" w:ascii="Times New Roman" w:eastAsia="宋体"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eastAsia="宋体" w:cs="Times New Roman"/>
                <w:color w:val="000000" w:themeColor="text1"/>
                <w:sz w:val="24"/>
                <w:szCs w:val="24"/>
                <w:highlight w:val="none"/>
                <w:lang w:val="en-US" w:eastAsia="zh-CN"/>
                <w14:textFill>
                  <w14:solidFill>
                    <w14:schemeClr w14:val="tx1"/>
                  </w14:solidFill>
                </w14:textFill>
              </w:rPr>
              <w:t>27</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0m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即</w:t>
            </w:r>
            <w:r>
              <w:rPr>
                <w:rFonts w:hint="default" w:ascii="Times New Roman" w:hAnsi="Times New Roman" w:eastAsia="宋体" w:cs="Times New Roman"/>
                <w:color w:val="000000" w:themeColor="text1"/>
                <w:sz w:val="24"/>
                <w:szCs w:val="24"/>
                <w:highlight w:val="none"/>
                <w14:textFill>
                  <w14:solidFill>
                    <w14:schemeClr w14:val="tx1"/>
                  </w14:solidFill>
                </w14:textFill>
              </w:rPr>
              <w:t>V</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eastAsia" w:ascii="Times New Roman" w:cs="Times New Roman"/>
                <w:color w:val="000000" w:themeColor="text1"/>
                <w:sz w:val="24"/>
                <w:szCs w:val="24"/>
                <w:highlight w:val="none"/>
                <w:lang w:val="en-US" w:eastAsia="zh-CN"/>
                <w14:textFill>
                  <w14:solidFill>
                    <w14:schemeClr w14:val="tx1"/>
                  </w14:solidFill>
                </w14:textFill>
              </w:rPr>
              <w:t>216+270=486</w:t>
            </w:r>
            <w:r>
              <w:rPr>
                <w:rFonts w:hint="default" w:ascii="Times New Roman" w:hAnsi="Times New Roman" w:cs="Times New Roman"/>
                <w:color w:val="000000" w:themeColor="text1"/>
                <w:sz w:val="24"/>
                <w:szCs w:val="24"/>
                <w:highlight w:val="none"/>
                <w:lang w:eastAsia="zh-CN"/>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lang w:eastAsia="zh-CN"/>
                <w14:textFill>
                  <w14:solidFill>
                    <w14:schemeClr w14:val="tx1"/>
                  </w14:solidFill>
                </w14:textFill>
              </w:rPr>
              <w:t>3</w:t>
            </w:r>
            <w:r>
              <w:rPr>
                <w:rFonts w:hint="eastAsia" w:ascii="Times New Roman" w:cs="Times New Roman"/>
                <w:color w:val="000000" w:themeColor="text1"/>
                <w:sz w:val="24"/>
                <w:szCs w:val="24"/>
                <w:highlight w:val="none"/>
                <w:lang w:val="en-US" w:eastAsia="zh-CN"/>
                <w14:textFill>
                  <w14:solidFill>
                    <w14:schemeClr w14:val="tx1"/>
                  </w14:solidFill>
                </w14:textFill>
              </w:rPr>
              <w:t>。</w:t>
            </w:r>
          </w:p>
          <w:p w14:paraId="7B0361D7">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V</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—发生事故时可以转输到其他储存或处理设施的物料量，m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 xml:space="preserve">；①本项目生产车间设缓坡的方式对消防废水进行暂存，合计面积约 </w:t>
            </w:r>
            <w:r>
              <w:rPr>
                <w:rFonts w:hint="eastAsia" w:ascii="Times New Roman" w:eastAsia="宋体" w:cs="Times New Roman"/>
                <w:color w:val="000000" w:themeColor="text1"/>
                <w:sz w:val="24"/>
                <w:szCs w:val="24"/>
                <w:highlight w:val="none"/>
                <w:lang w:val="en-US" w:eastAsia="zh-CN"/>
                <w14:textFill>
                  <w14:solidFill>
                    <w14:schemeClr w14:val="tx1"/>
                  </w14:solidFill>
                </w14:textFill>
              </w:rPr>
              <w:t>6780</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，取 80%为有效暂存面积（即</w:t>
            </w:r>
            <w:r>
              <w:rPr>
                <w:rFonts w:hint="eastAsia" w:ascii="Times New Roman" w:eastAsia="宋体" w:cs="Times New Roman"/>
                <w:color w:val="000000" w:themeColor="text1"/>
                <w:sz w:val="24"/>
                <w:szCs w:val="24"/>
                <w:highlight w:val="none"/>
                <w:lang w:val="en-US" w:eastAsia="zh-CN"/>
                <w14:textFill>
                  <w14:solidFill>
                    <w14:schemeClr w14:val="tx1"/>
                  </w14:solidFill>
                </w14:textFill>
              </w:rPr>
              <w:t>5424</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），缓坡高度为 10cm，则可容纳废水量约为</w:t>
            </w:r>
            <w:r>
              <w:rPr>
                <w:rFonts w:hint="eastAsia" w:ascii="Times New Roman" w:eastAsia="宋体" w:cs="Times New Roman"/>
                <w:color w:val="000000" w:themeColor="text1"/>
                <w:sz w:val="24"/>
                <w:szCs w:val="24"/>
                <w:highlight w:val="none"/>
                <w:lang w:val="en-US" w:eastAsia="zh-CN"/>
                <w14:textFill>
                  <w14:solidFill>
                    <w14:schemeClr w14:val="tx1"/>
                  </w14:solidFill>
                </w14:textFill>
              </w:rPr>
              <w:t>542.4</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cs="Times New Roman"/>
                <w:color w:val="000000" w:themeColor="text1"/>
                <w:kern w:val="0"/>
                <w:sz w:val="24"/>
                <w:szCs w:val="24"/>
                <w:highlight w:val="none"/>
                <w:lang w:val="en-US" w:eastAsia="zh-CN"/>
                <w14:textFill>
                  <w14:solidFill>
                    <w14:schemeClr w14:val="tx1"/>
                  </w14:solidFill>
                </w14:textFill>
              </w:rPr>
              <w:t>本项目V</w:t>
            </w:r>
            <w:r>
              <w:rPr>
                <w:rFonts w:hint="default" w:ascii="Times New Roman" w:hAnsi="Times New Roman" w:cs="Times New Roman"/>
                <w:color w:val="000000" w:themeColor="text1"/>
                <w:kern w:val="0"/>
                <w:sz w:val="24"/>
                <w:szCs w:val="24"/>
                <w:highlight w:val="none"/>
                <w:vertAlign w:val="subscript"/>
                <w:lang w:val="en-US" w:eastAsia="zh-CN"/>
                <w14:textFill>
                  <w14:solidFill>
                    <w14:schemeClr w14:val="tx1"/>
                  </w14:solidFill>
                </w14:textFill>
              </w:rPr>
              <w:t>3</w:t>
            </w:r>
            <w:r>
              <w:rPr>
                <w:rFonts w:hint="default" w:ascii="Times New Roman" w:hAnsi="Times New Roman" w:cs="Times New Roman"/>
                <w:color w:val="000000" w:themeColor="text1"/>
                <w:kern w:val="0"/>
                <w:sz w:val="24"/>
                <w:szCs w:val="24"/>
                <w:highlight w:val="none"/>
                <w:lang w:val="en-US" w:eastAsia="zh-CN"/>
                <w14:textFill>
                  <w14:solidFill>
                    <w14:schemeClr w14:val="tx1"/>
                  </w14:solidFill>
                </w14:textFill>
              </w:rPr>
              <w:t>=</w:t>
            </w:r>
            <w:r>
              <w:rPr>
                <w:rFonts w:hint="eastAsia" w:ascii="Times New Roman" w:cs="Times New Roman"/>
                <w:color w:val="000000" w:themeColor="text1"/>
                <w:kern w:val="0"/>
                <w:sz w:val="24"/>
                <w:szCs w:val="24"/>
                <w:highlight w:val="none"/>
                <w:lang w:val="en-US" w:eastAsia="zh-CN"/>
                <w14:textFill>
                  <w14:solidFill>
                    <w14:schemeClr w14:val="tx1"/>
                  </w14:solidFill>
                </w14:textFill>
              </w:rPr>
              <w:t>542.4</w:t>
            </w:r>
            <w:r>
              <w:rPr>
                <w:rFonts w:hint="default" w:ascii="Times New Roman" w:hAnsi="Times New Roman" w:cs="Times New Roman"/>
                <w:color w:val="000000" w:themeColor="text1"/>
                <w:kern w:val="0"/>
                <w:sz w:val="24"/>
                <w:szCs w:val="24"/>
                <w:highlight w:val="none"/>
                <w:lang w:val="en-US" w:eastAsia="zh-CN"/>
                <w14:textFill>
                  <w14:solidFill>
                    <w14:schemeClr w14:val="tx1"/>
                  </w14:solidFill>
                </w14:textFill>
              </w:rPr>
              <w:t>m</w:t>
            </w:r>
            <w:r>
              <w:rPr>
                <w:rFonts w:hint="default" w:ascii="Times New Roman" w:hAnsi="Times New Roman" w:cs="Times New Roman"/>
                <w:color w:val="000000" w:themeColor="text1"/>
                <w:kern w:val="0"/>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kern w:val="0"/>
                <w:sz w:val="24"/>
                <w:szCs w:val="24"/>
                <w:highlight w:val="none"/>
                <w:vertAlign w:val="baseline"/>
                <w:lang w:val="en-US" w:eastAsia="zh-CN"/>
                <w14:textFill>
                  <w14:solidFill>
                    <w14:schemeClr w14:val="tx1"/>
                  </w14:solidFill>
                </w14:textFill>
              </w:rPr>
              <w:t>。</w:t>
            </w:r>
          </w:p>
          <w:p w14:paraId="3C2C31B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V</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4</w:t>
            </w:r>
            <w:r>
              <w:rPr>
                <w:rFonts w:hint="default" w:ascii="Times New Roman" w:hAnsi="Times New Roman" w:eastAsia="宋体" w:cs="Times New Roman"/>
                <w:color w:val="000000" w:themeColor="text1"/>
                <w:sz w:val="24"/>
                <w:szCs w:val="24"/>
                <w:highlight w:val="none"/>
                <w14:textFill>
                  <w14:solidFill>
                    <w14:schemeClr w14:val="tx1"/>
                  </w14:solidFill>
                </w14:textFill>
              </w:rPr>
              <w:t>—发生事故时仍必须进入该收集系统的生产废水量，m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cs="Times New Roman"/>
                <w:color w:val="000000" w:themeColor="text1"/>
                <w:sz w:val="24"/>
                <w:szCs w:val="24"/>
                <w:highlight w:val="none"/>
                <w:lang w:eastAsia="zh-CN"/>
                <w14:textFill>
                  <w14:solidFill>
                    <w14:schemeClr w14:val="tx1"/>
                  </w14:solidFill>
                </w14:textFill>
              </w:rPr>
              <w:t>事故发生时即停止生产，不会持续产生生产废水，</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且本项目</w:t>
            </w:r>
            <w:r>
              <w:rPr>
                <w:rFonts w:hint="eastAsia" w:cs="Times New Roman"/>
                <w:color w:val="000000" w:themeColor="text1"/>
                <w:sz w:val="24"/>
                <w:szCs w:val="24"/>
                <w:highlight w:val="none"/>
                <w:lang w:val="en-US" w:eastAsia="zh-CN"/>
                <w14:textFill>
                  <w14:solidFill>
                    <w14:schemeClr w14:val="tx1"/>
                  </w14:solidFill>
                </w14:textFill>
              </w:rPr>
              <w:t>工件表面预处理</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生产线中各水池均设置有截流阀门，可在发生事故时关闭生产废水排放管道，</w:t>
            </w:r>
            <w:r>
              <w:rPr>
                <w:rFonts w:hint="default" w:ascii="Times New Roman" w:hAnsi="Times New Roman" w:cs="Times New Roman"/>
                <w:color w:val="000000" w:themeColor="text1"/>
                <w:sz w:val="24"/>
                <w:szCs w:val="24"/>
                <w:highlight w:val="none"/>
                <w:lang w:eastAsia="zh-CN"/>
                <w14:textFill>
                  <w14:solidFill>
                    <w14:schemeClr w14:val="tx1"/>
                  </w14:solidFill>
                </w14:textFill>
              </w:rPr>
              <w:t>故</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V</w:t>
            </w:r>
            <w:r>
              <w:rPr>
                <w:rFonts w:hint="default" w:ascii="Times New Roman" w:hAnsi="Times New Roman" w:cs="Times New Roman"/>
                <w:color w:val="000000" w:themeColor="text1"/>
                <w:sz w:val="24"/>
                <w:szCs w:val="24"/>
                <w:highlight w:val="none"/>
                <w:vertAlign w:val="subscript"/>
                <w:lang w:val="en-US" w:eastAsia="zh-CN"/>
                <w14:textFill>
                  <w14:solidFill>
                    <w14:schemeClr w14:val="tx1"/>
                  </w14:solidFill>
                </w14:textFill>
              </w:rPr>
              <w:t>4</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=0</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p>
          <w:p w14:paraId="21DD1C9E">
            <w:pPr>
              <w:keepNext w:val="0"/>
              <w:keepLines w:val="0"/>
              <w:suppressLineNumbers w:val="0"/>
              <w:spacing w:before="0" w:beforeAutospacing="0" w:after="0" w:afterAutospacing="0" w:line="360" w:lineRule="auto"/>
              <w:ind w:left="0" w:right="0" w:firstLine="560"/>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V</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5</w:t>
            </w:r>
            <w:r>
              <w:rPr>
                <w:rFonts w:hint="default" w:ascii="Times New Roman" w:hAnsi="Times New Roman" w:eastAsia="宋体" w:cs="Times New Roman"/>
                <w:color w:val="000000" w:themeColor="text1"/>
                <w:sz w:val="24"/>
                <w:szCs w:val="24"/>
                <w:highlight w:val="none"/>
                <w14:textFill>
                  <w14:solidFill>
                    <w14:schemeClr w14:val="tx1"/>
                  </w14:solidFill>
                </w14:textFill>
              </w:rPr>
              <w:t>—发生事故时可能进入该收集系统的降雨量，m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p>
          <w:p w14:paraId="759D3C0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center"/>
              <w:textAlignment w:val="auto"/>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V</w:t>
            </w:r>
            <w:r>
              <w:rPr>
                <w:rFonts w:hint="default" w:ascii="Times New Roman" w:hAnsi="Times New Roman" w:eastAsia="宋体" w:cs="Times New Roman"/>
                <w:color w:val="000000" w:themeColor="text1"/>
                <w:kern w:val="0"/>
                <w:sz w:val="24"/>
                <w:szCs w:val="24"/>
                <w:highlight w:val="none"/>
                <w:vertAlign w:val="subscript"/>
                <w14:textFill>
                  <w14:solidFill>
                    <w14:schemeClr w14:val="tx1"/>
                  </w14:solidFill>
                </w14:textFill>
              </w:rPr>
              <w:t>5</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=10qF</w:t>
            </w:r>
            <w:r>
              <w:rPr>
                <w:rFonts w:hint="default" w:ascii="Times New Roman" w:hAnsi="Times New Roman" w:cs="Times New Roman"/>
                <w:color w:val="000000" w:themeColor="text1"/>
                <w:kern w:val="0"/>
                <w:sz w:val="24"/>
                <w:szCs w:val="24"/>
                <w:highlight w:val="none"/>
                <w:lang w:val="en-US" w:eastAsia="zh-CN"/>
                <w14:textFill>
                  <w14:solidFill>
                    <w14:schemeClr w14:val="tx1"/>
                  </w14:solidFill>
                </w14:textFill>
              </w:rPr>
              <w:t>a</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w:t>
            </w:r>
          </w:p>
          <w:p w14:paraId="3380FAA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q——降雨强度，按平均日降雨量</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，mm；</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根据</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《水体污染防控紧急措施设计导则》，降雨强度按一年内降雨天数内的平均日降雨强度计</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q=q</w:t>
            </w:r>
            <w:r>
              <w:rPr>
                <w:rFonts w:hint="default" w:ascii="Times New Roman" w:hAnsi="Times New Roman" w:eastAsia="宋体" w:cs="Times New Roman"/>
                <w:color w:val="000000" w:themeColor="text1"/>
                <w:kern w:val="0"/>
                <w:sz w:val="24"/>
                <w:szCs w:val="24"/>
                <w:highlight w:val="none"/>
                <w:vertAlign w:val="subscript"/>
                <w:lang w:val="en-US" w:eastAsia="zh-CN"/>
                <w14:textFill>
                  <w14:solidFill>
                    <w14:schemeClr w14:val="tx1"/>
                  </w14:solidFill>
                </w14:textFill>
              </w:rPr>
              <w:t>a</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/n；</w:t>
            </w:r>
          </w:p>
          <w:p w14:paraId="4526E22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qa</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年平均降雨量，mm；</w:t>
            </w:r>
          </w:p>
          <w:p w14:paraId="211FCE6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n</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年平均降雨天数；</w:t>
            </w:r>
          </w:p>
          <w:p w14:paraId="3B52CE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F——必须进入事故废水收集系统的雨水汇水面积，ha；</w:t>
            </w:r>
          </w:p>
          <w:p w14:paraId="51078A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szCs w:val="24"/>
                <w:highlight w:val="none"/>
                <w:lang w:val="en-US" w:eastAsia="zh-CN"/>
                <w14:textFill>
                  <w14:solidFill>
                    <w14:schemeClr w14:val="tx1"/>
                  </w14:solidFill>
                </w14:textFill>
              </w:rPr>
              <w:t>a</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径流系数，取0.9。</w:t>
            </w:r>
          </w:p>
          <w:p w14:paraId="24BC76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根据</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可查询乐昌市生态环境状况公开数据</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乐昌市全市多年平均降雨量在1300</w:t>
            </w:r>
            <w:r>
              <w:rPr>
                <w:rFonts w:hint="default" w:ascii="Times New Roman" w:hAnsi="Times New Roman" w:cs="Times New Roman"/>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1550毫米之间，雨水多集中在4~6月。2023年全市一般年平均降雨量1531.9毫米，降雨天数为145天，本项目以此作为计算依据，</w:t>
            </w:r>
            <w:r>
              <w:rPr>
                <w:rFonts w:hint="eastAsia" w:cs="Times New Roman"/>
                <w:color w:val="000000" w:themeColor="text1"/>
                <w:kern w:val="0"/>
                <w:sz w:val="24"/>
                <w:szCs w:val="24"/>
                <w:highlight w:val="none"/>
                <w:lang w:val="en-US" w:eastAsia="zh-CN"/>
                <w14:textFill>
                  <w14:solidFill>
                    <w14:schemeClr w14:val="tx1"/>
                  </w14:solidFill>
                </w14:textFill>
              </w:rPr>
              <w:t>项目已实施雨污分流，项目所有原辅材料和物料均存放在车间内，厂区外不设置物料暂存堆放区。本项目汇水面积按照厂区外空地面积约 13668.34m</w:t>
            </w:r>
            <w:r>
              <w:rPr>
                <w:rFonts w:hint="eastAsia" w:cs="Times New Roman"/>
                <w:color w:val="000000" w:themeColor="text1"/>
                <w:kern w:val="0"/>
                <w:sz w:val="24"/>
                <w:szCs w:val="24"/>
                <w:highlight w:val="none"/>
                <w:vertAlign w:val="superscript"/>
                <w:lang w:val="en-US" w:eastAsia="zh-CN"/>
                <w14:textFill>
                  <w14:solidFill>
                    <w14:schemeClr w14:val="tx1"/>
                  </w14:solidFill>
                </w14:textFill>
              </w:rPr>
              <w:t>2</w:t>
            </w:r>
            <w:r>
              <w:rPr>
                <w:rFonts w:hint="eastAsia" w:cs="Times New Roman"/>
                <w:color w:val="000000" w:themeColor="text1"/>
                <w:kern w:val="0"/>
                <w:sz w:val="24"/>
                <w:szCs w:val="24"/>
                <w:highlight w:val="none"/>
                <w:lang w:val="en-US" w:eastAsia="zh-CN"/>
                <w14:textFill>
                  <w14:solidFill>
                    <w14:schemeClr w14:val="tx1"/>
                  </w14:solidFill>
                </w14:textFill>
              </w:rPr>
              <w:t>计算（项目有屋面的雨水通过单独的管道进入雨水管网，事故时通过屋面的雨水未被污染，因此本次不计屋面面积），则项目雨水汇水面积为 13668.34m</w:t>
            </w:r>
            <w:r>
              <w:rPr>
                <w:rFonts w:hint="eastAsia" w:cs="Times New Roman"/>
                <w:color w:val="000000" w:themeColor="text1"/>
                <w:kern w:val="0"/>
                <w:sz w:val="24"/>
                <w:szCs w:val="24"/>
                <w:highlight w:val="none"/>
                <w:vertAlign w:val="superscript"/>
                <w:lang w:val="en-US" w:eastAsia="zh-CN"/>
                <w14:textFill>
                  <w14:solidFill>
                    <w14:schemeClr w14:val="tx1"/>
                  </w14:solidFill>
                </w14:textFill>
              </w:rPr>
              <w:t>2</w:t>
            </w:r>
            <w:r>
              <w:rPr>
                <w:rFonts w:hint="eastAsia" w:cs="Times New Roman"/>
                <w:color w:val="000000" w:themeColor="text1"/>
                <w:kern w:val="0"/>
                <w:sz w:val="24"/>
                <w:szCs w:val="24"/>
                <w:highlight w:val="none"/>
                <w:lang w:val="en-US" w:eastAsia="zh-CN"/>
                <w14:textFill>
                  <w14:solidFill>
                    <w14:schemeClr w14:val="tx1"/>
                  </w14:solidFill>
                </w14:textFill>
              </w:rPr>
              <w:t>，V</w:t>
            </w:r>
            <w:r>
              <w:rPr>
                <w:rFonts w:hint="eastAsia" w:cs="Times New Roman"/>
                <w:color w:val="000000" w:themeColor="text1"/>
                <w:kern w:val="0"/>
                <w:sz w:val="24"/>
                <w:szCs w:val="24"/>
                <w:highlight w:val="none"/>
                <w:vertAlign w:val="subscript"/>
                <w:lang w:val="en-US" w:eastAsia="zh-CN"/>
                <w14:textFill>
                  <w14:solidFill>
                    <w14:schemeClr w14:val="tx1"/>
                  </w14:solidFill>
                </w14:textFill>
              </w:rPr>
              <w:t>5</w:t>
            </w:r>
            <w:r>
              <w:rPr>
                <w:rFonts w:hint="eastAsia" w:cs="Times New Roman"/>
                <w:color w:val="000000" w:themeColor="text1"/>
                <w:kern w:val="0"/>
                <w:sz w:val="24"/>
                <w:szCs w:val="24"/>
                <w:highlight w:val="none"/>
                <w:lang w:val="en-US" w:eastAsia="zh-CN"/>
                <w14:textFill>
                  <w14:solidFill>
                    <w14:schemeClr w14:val="tx1"/>
                  </w14:solidFill>
                </w14:textFill>
              </w:rPr>
              <w:t>≈129.6m</w:t>
            </w:r>
            <w:r>
              <w:rPr>
                <w:rFonts w:hint="eastAsia" w:cs="Times New Roman"/>
                <w:color w:val="000000" w:themeColor="text1"/>
                <w:kern w:val="0"/>
                <w:sz w:val="24"/>
                <w:szCs w:val="24"/>
                <w:highlight w:val="none"/>
                <w:vertAlign w:val="superscript"/>
                <w:lang w:val="en-US" w:eastAsia="zh-CN"/>
                <w14:textFill>
                  <w14:solidFill>
                    <w14:schemeClr w14:val="tx1"/>
                  </w14:solidFill>
                </w14:textFill>
              </w:rPr>
              <w:t>3</w:t>
            </w:r>
            <w:r>
              <w:rPr>
                <w:rFonts w:hint="eastAsia" w:cs="Times New Roman"/>
                <w:color w:val="000000" w:themeColor="text1"/>
                <w:kern w:val="0"/>
                <w:sz w:val="24"/>
                <w:szCs w:val="24"/>
                <w:highlight w:val="none"/>
                <w:lang w:val="en-US" w:eastAsia="zh-CN"/>
                <w14:textFill>
                  <w14:solidFill>
                    <w14:schemeClr w14:val="tx1"/>
                  </w14:solidFill>
                </w14:textFill>
              </w:rPr>
              <w:t>（10*1531.9/145*13668.34/10000*0.9=129.6）。</w:t>
            </w:r>
          </w:p>
          <w:p w14:paraId="5774312A">
            <w:pPr>
              <w:keepNext w:val="0"/>
              <w:keepLines w:val="0"/>
              <w:suppressLineNumbers w:val="0"/>
              <w:spacing w:before="0" w:beforeAutospacing="0" w:after="0" w:afterAutospacing="0" w:line="360" w:lineRule="auto"/>
              <w:ind w:left="0" w:right="0" w:firstLine="56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综上，</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11.2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486</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542.4</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max=0。</w:t>
            </w:r>
            <w:r>
              <w:rPr>
                <w:rFonts w:hint="default" w:ascii="Times New Roman" w:hAnsi="Times New Roman" w:eastAsia="宋体" w:cs="Times New Roman"/>
                <w:color w:val="000000" w:themeColor="text1"/>
                <w:sz w:val="24"/>
                <w:szCs w:val="24"/>
                <w:highlight w:val="none"/>
                <w14:textFill>
                  <w14:solidFill>
                    <w14:schemeClr w14:val="tx1"/>
                  </w14:solidFill>
                </w14:textFill>
              </w:rPr>
              <w:t>为满足消防或其他事故时废水收集需要，</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w:t>
            </w:r>
            <w:r>
              <w:rPr>
                <w:rFonts w:hint="default" w:ascii="Times New Roman" w:hAnsi="Times New Roman" w:eastAsia="宋体" w:cs="Times New Roman"/>
                <w:color w:val="000000" w:themeColor="text1"/>
                <w:sz w:val="24"/>
                <w:szCs w:val="24"/>
                <w:highlight w:val="none"/>
                <w14:textFill>
                  <w14:solidFill>
                    <w14:schemeClr w14:val="tx1"/>
                  </w14:solidFill>
                </w14:textFill>
              </w:rPr>
              <w:t>所需的事故储存设施总有效容积V</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总</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0+</w:t>
            </w:r>
            <w:r>
              <w:rPr>
                <w:rFonts w:hint="eastAsia" w:cs="Times New Roman"/>
                <w:color w:val="000000" w:themeColor="text1"/>
                <w:sz w:val="24"/>
                <w:szCs w:val="24"/>
                <w:highlight w:val="none"/>
                <w:lang w:val="en-US" w:eastAsia="zh-CN"/>
                <w14:textFill>
                  <w14:solidFill>
                    <w14:schemeClr w14:val="tx1"/>
                  </w14:solidFill>
                </w14:textFill>
              </w:rPr>
              <w:t>129.6</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129.6</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m</w:t>
            </w:r>
            <w:r>
              <w:rPr>
                <w:rFonts w:hint="default" w:ascii="Times New Roman" w:hAnsi="Times New Roman" w:eastAsia="宋体" w:cs="Times New Roman"/>
                <w:color w:val="000000" w:themeColor="text1"/>
                <w:kern w:val="2"/>
                <w:sz w:val="24"/>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7C095B7E">
            <w:pPr>
              <w:pStyle w:val="29"/>
              <w:spacing w:line="360" w:lineRule="auto"/>
              <w:ind w:firstLine="480" w:firstLineChars="200"/>
              <w:rPr>
                <w:rFonts w:hint="default" w:ascii="Times New Roman" w:hAnsi="Times New Roman" w:eastAsia="宋体"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本项目事故废水依托自建事故应急池，厂区设有1个有效容积为</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15</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0</w:t>
            </w:r>
            <w:r>
              <w:rPr>
                <w:rFonts w:hint="default" w:ascii="Times New Roman" w:hAnsi="Times New Roman" w:cs="Times New Roman"/>
                <w:b w:val="0"/>
                <w:bCs w:val="0"/>
                <w:color w:val="000000" w:themeColor="text1"/>
                <w:sz w:val="24"/>
                <w:szCs w:val="24"/>
                <w:highlight w:val="none"/>
                <w14:textFill>
                  <w14:solidFill>
                    <w14:schemeClr w14:val="tx1"/>
                  </w14:solidFill>
                </w14:textFill>
              </w:rPr>
              <w:t>m</w:t>
            </w:r>
            <w:r>
              <w:rPr>
                <w:rFonts w:hint="default" w:ascii="Times New Roman" w:hAnsi="Times New Roman" w:cs="Times New Roman"/>
                <w:b w:val="0"/>
                <w:bCs w:val="0"/>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b w:val="0"/>
                <w:bCs w:val="0"/>
                <w:color w:val="000000" w:themeColor="text1"/>
                <w:sz w:val="24"/>
                <w:szCs w:val="24"/>
                <w:highlight w:val="none"/>
                <w14:textFill>
                  <w14:solidFill>
                    <w14:schemeClr w14:val="tx1"/>
                  </w14:solidFill>
                </w14:textFill>
              </w:rPr>
              <w:t>的事故应急池</w:t>
            </w:r>
            <w:r>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t>，</w:t>
            </w:r>
            <w:r>
              <w:rPr>
                <w:rFonts w:hint="default" w:ascii="Times New Roman" w:hAnsi="Times New Roman" w:cs="Times New Roman"/>
                <w:b w:val="0"/>
                <w:bCs w:val="0"/>
                <w:color w:val="000000" w:themeColor="text1"/>
                <w:sz w:val="24"/>
                <w:szCs w:val="24"/>
                <w:highlight w:val="none"/>
                <w14:textFill>
                  <w14:solidFill>
                    <w14:schemeClr w14:val="tx1"/>
                  </w14:solidFill>
                </w14:textFill>
              </w:rPr>
              <w:t>且本项目厂房设有围堰及沙包等应急措施及物资。当发生事故时，泄漏物料、消防废水等事故废水均能截留在厂区内。园区定期对事故应急系统进行排查，发现存在问题，马上进行检修，确保事故时能有效运行</w:t>
            </w:r>
            <w:r>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t>。</w:t>
            </w:r>
          </w:p>
          <w:p w14:paraId="56287403">
            <w:pPr>
              <w:pStyle w:val="39"/>
              <w:spacing w:after="0" w:line="360" w:lineRule="auto"/>
              <w:ind w:firstLine="482"/>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7.4</w:t>
            </w:r>
            <w:r>
              <w:rPr>
                <w:rFonts w:hint="default" w:ascii="Times New Roman" w:hAnsi="Times New Roman" w:eastAsia="宋体" w:cs="Times New Roman"/>
                <w:b/>
                <w:bCs/>
                <w:color w:val="000000" w:themeColor="text1"/>
                <w:sz w:val="24"/>
                <w:highlight w:val="none"/>
                <w14:textFill>
                  <w14:solidFill>
                    <w14:schemeClr w14:val="tx1"/>
                  </w14:solidFill>
                </w14:textFill>
              </w:rPr>
              <w:t>企业环境风险应急体系</w:t>
            </w:r>
          </w:p>
          <w:p w14:paraId="48E9EB1F">
            <w:pPr>
              <w:pStyle w:val="39"/>
              <w:spacing w:after="0" w:line="360" w:lineRule="auto"/>
              <w:ind w:firstLine="482"/>
              <w:rPr>
                <w:rFonts w:hint="default" w:ascii="Times New Roman" w:hAnsi="Times New Roman" w:eastAsia="宋体" w:cs="Times New Roman"/>
                <w:b w:val="0"/>
                <w:bCs w:val="0"/>
                <w:color w:val="000000" w:themeColor="text1"/>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highlight w:val="none"/>
                <w14:textFill>
                  <w14:solidFill>
                    <w14:schemeClr w14:val="tx1"/>
                  </w14:solidFill>
                </w14:textFill>
              </w:rPr>
              <w:t>项目投入运行后，运营单位应及时组织编制突发环境应急预案，建立</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单元-厂区-园区三级环境</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风险防控体系。建设单位应按照《建设项目环境风险评价技术导则》（HJ169-2018）</w:t>
            </w:r>
            <w:r>
              <w:rPr>
                <w:rFonts w:hint="default" w:ascii="Times New Roman" w:hAnsi="Times New Roman" w:eastAsia="宋体" w:cs="Times New Roman"/>
                <w:b w:val="0"/>
                <w:bCs w:val="0"/>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《广东省企事业单位突发环境事件应急预案编制指南（试行）》(2020年8月施行）</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编制突发环境事件应急预案，做好监控和预警、应急响应、应急保障、善后处置、预案演练等，减小事故排放对周边</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环境敏感点</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的影响。</w:t>
            </w:r>
          </w:p>
          <w:p w14:paraId="1C891670">
            <w:pPr>
              <w:pStyle w:val="39"/>
              <w:spacing w:after="0" w:line="360" w:lineRule="auto"/>
              <w:ind w:firstLine="482"/>
              <w:rPr>
                <w:rFonts w:hint="default" w:ascii="Times New Roman" w:hAnsi="Times New Roman" w:eastAsia="宋体" w:cs="Times New Roman"/>
                <w:b w:val="0"/>
                <w:bCs w:val="0"/>
                <w:color w:val="000000" w:themeColor="text1"/>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highlight w:val="none"/>
                <w14:textFill>
                  <w14:solidFill>
                    <w14:schemeClr w14:val="tx1"/>
                  </w14:solidFill>
                </w14:textFill>
              </w:rPr>
              <w:t>综上，建设单位须做好应急措施，采取有针对性的环境风险防范措施及应急预案后，可降低项目未经处理排放的风险概率。本次工程项目从环境风险角度可行。</w:t>
            </w:r>
          </w:p>
          <w:p w14:paraId="6CB3A6CF">
            <w:pPr>
              <w:pStyle w:val="39"/>
              <w:spacing w:after="0" w:line="360" w:lineRule="auto"/>
              <w:ind w:firstLine="482"/>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8、电磁辐射</w:t>
            </w:r>
          </w:p>
          <w:p w14:paraId="012B003B">
            <w:pPr>
              <w:pStyle w:val="76"/>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无。</w:t>
            </w:r>
          </w:p>
          <w:p w14:paraId="1D8740E4">
            <w:pPr>
              <w:pStyle w:val="76"/>
              <w:rPr>
                <w:rFonts w:hint="default" w:ascii="Times New Roman" w:hAnsi="Times New Roman" w:eastAsia="宋体" w:cs="Times New Roman"/>
                <w:color w:val="000000" w:themeColor="text1"/>
                <w:sz w:val="24"/>
                <w:highlight w:val="none"/>
                <w14:textFill>
                  <w14:solidFill>
                    <w14:schemeClr w14:val="tx1"/>
                  </w14:solidFill>
                </w14:textFill>
              </w:rPr>
            </w:pPr>
          </w:p>
          <w:p w14:paraId="10706D82">
            <w:pPr>
              <w:pStyle w:val="39"/>
              <w:spacing w:after="0" w:line="360" w:lineRule="auto"/>
              <w:ind w:firstLine="482"/>
              <w:rPr>
                <w:rFonts w:hint="default" w:ascii="Times New Roman" w:hAnsi="Times New Roman" w:eastAsia="宋体" w:cs="Times New Roman"/>
                <w:b/>
                <w:bCs/>
                <w:color w:val="000000" w:themeColor="text1"/>
                <w:sz w:val="24"/>
                <w:highlight w:val="none"/>
                <w:lang w:eastAsia="zh-CN"/>
                <w14:textFill>
                  <w14:solidFill>
                    <w14:schemeClr w14:val="tx1"/>
                  </w14:solidFill>
                </w14:textFill>
              </w:rPr>
            </w:pPr>
            <w:r>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t>9、</w:t>
            </w:r>
            <w:r>
              <w:rPr>
                <w:rFonts w:hint="default" w:ascii="Times New Roman" w:hAnsi="Times New Roman" w:eastAsia="宋体" w:cs="Times New Roman"/>
                <w:b/>
                <w:bCs/>
                <w:color w:val="000000" w:themeColor="text1"/>
                <w:sz w:val="24"/>
                <w:highlight w:val="none"/>
                <w:lang w:eastAsia="zh-CN"/>
                <w14:textFill>
                  <w14:solidFill>
                    <w14:schemeClr w14:val="tx1"/>
                  </w14:solidFill>
                </w14:textFill>
              </w:rPr>
              <w:t>建设项目竣工环保验收“三同时”一览表</w:t>
            </w:r>
          </w:p>
          <w:p w14:paraId="163DA09A">
            <w:pPr>
              <w:widowControl w:val="0"/>
              <w:kinsoku/>
              <w:autoSpaceDE/>
              <w:autoSpaceDN/>
              <w:adjustRightInd/>
              <w:snapToGrid/>
              <w:spacing w:line="360" w:lineRule="auto"/>
              <w:ind w:firstLine="420" w:firstLineChars="200"/>
              <w:jc w:val="both"/>
              <w:textAlignment w:val="auto"/>
              <w:rPr>
                <w:rFonts w:ascii="Times New Roman" w:hAnsi="Times New Roman" w:eastAsia="宋体" w:cs="Times New Roman"/>
                <w:b w:val="0"/>
                <w:bCs w:val="0"/>
                <w:color w:val="000000" w:themeColor="text1"/>
                <w:highlight w:val="none"/>
                <w14:textFill>
                  <w14:solidFill>
                    <w14:schemeClr w14:val="tx1"/>
                  </w14:solidFill>
                </w14:textFill>
              </w:rPr>
            </w:pPr>
            <w:r>
              <w:rPr>
                <w:rFonts w:ascii="Times New Roman" w:hAnsi="Times New Roman" w:eastAsia="宋体" w:cs="Times New Roman"/>
                <w:b w:val="0"/>
                <w:bCs w:val="0"/>
                <w:color w:val="000000" w:themeColor="text1"/>
                <w:highlight w:val="none"/>
                <w14:textFill>
                  <w14:solidFill>
                    <w14:schemeClr w14:val="tx1"/>
                  </w14:solidFill>
                </w14:textFill>
              </w:rPr>
              <w:t>竣工环境保护验收“三同时”一览表如下所示：</w:t>
            </w:r>
          </w:p>
          <w:p w14:paraId="407D0F00">
            <w:pPr>
              <w:keepNext/>
              <w:keepLines/>
              <w:numPr>
                <w:ilvl w:val="0"/>
                <w:numId w:val="0"/>
              </w:numPr>
              <w:suppressLineNumbers w:val="0"/>
              <w:tabs>
                <w:tab w:val="left" w:pos="0"/>
              </w:tabs>
              <w:spacing w:before="0" w:beforeAutospacing="0" w:after="0" w:afterAutospacing="0"/>
              <w:ind w:left="0" w:leftChars="0" w:right="0" w:rightChars="0" w:firstLine="40" w:firstLineChars="0"/>
              <w:jc w:val="center"/>
              <w:outlineLvl w:val="3"/>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表4-</w:t>
            </w:r>
            <w:r>
              <w:rPr>
                <w:rFonts w:hint="eastAsia" w:cs="Times New Roman"/>
                <w:b/>
                <w:bCs/>
                <w:color w:val="000000" w:themeColor="text1"/>
                <w:kern w:val="2"/>
                <w:sz w:val="21"/>
                <w:szCs w:val="21"/>
                <w:lang w:val="en-US" w:eastAsia="zh-CN" w:bidi="ar-SA"/>
                <w14:textFill>
                  <w14:solidFill>
                    <w14:schemeClr w14:val="tx1"/>
                  </w14:solidFill>
                </w14:textFill>
              </w:rPr>
              <w:t xml:space="preserve">43 </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项目环保“三同时”竣工验收一览表</w:t>
            </w:r>
          </w:p>
          <w:tbl>
            <w:tblPr>
              <w:tblStyle w:val="44"/>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1519"/>
              <w:gridCol w:w="1461"/>
              <w:gridCol w:w="2262"/>
              <w:gridCol w:w="2557"/>
            </w:tblGrid>
            <w:tr w14:paraId="5FC4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noWrap w:val="0"/>
                  <w:vAlign w:val="center"/>
                </w:tcPr>
                <w:p w14:paraId="07BC2C1B">
                  <w:pPr>
                    <w:widowControl w:val="0"/>
                    <w:spacing w:line="240" w:lineRule="auto"/>
                    <w:ind w:firstLine="0" w:firstLineChars="0"/>
                    <w:jc w:val="cente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项目</w:t>
                  </w:r>
                </w:p>
              </w:tc>
              <w:tc>
                <w:tcPr>
                  <w:tcW w:w="914" w:type="pct"/>
                  <w:noWrap w:val="0"/>
                  <w:vAlign w:val="center"/>
                </w:tcPr>
                <w:p w14:paraId="0B9D6C8D">
                  <w:pPr>
                    <w:widowControl w:val="0"/>
                    <w:spacing w:line="240" w:lineRule="auto"/>
                    <w:ind w:firstLine="0" w:firstLineChars="0"/>
                    <w:jc w:val="cente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污染源</w:t>
                  </w:r>
                </w:p>
              </w:tc>
              <w:tc>
                <w:tcPr>
                  <w:tcW w:w="879" w:type="pct"/>
                  <w:noWrap w:val="0"/>
                  <w:vAlign w:val="center"/>
                </w:tcPr>
                <w:p w14:paraId="1AAB2B7A">
                  <w:pPr>
                    <w:widowControl w:val="0"/>
                    <w:spacing w:line="240" w:lineRule="auto"/>
                    <w:ind w:firstLine="0" w:firstLineChars="0"/>
                    <w:jc w:val="cente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污染物</w:t>
                  </w:r>
                </w:p>
              </w:tc>
              <w:tc>
                <w:tcPr>
                  <w:tcW w:w="1361" w:type="pct"/>
                  <w:noWrap w:val="0"/>
                  <w:vAlign w:val="center"/>
                </w:tcPr>
                <w:p w14:paraId="493483BC">
                  <w:pPr>
                    <w:widowControl w:val="0"/>
                    <w:spacing w:line="240" w:lineRule="auto"/>
                    <w:ind w:firstLine="0" w:firstLineChars="0"/>
                    <w:jc w:val="cente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防治措施</w:t>
                  </w:r>
                </w:p>
              </w:tc>
              <w:tc>
                <w:tcPr>
                  <w:tcW w:w="1538" w:type="pct"/>
                  <w:noWrap w:val="0"/>
                  <w:vAlign w:val="center"/>
                </w:tcPr>
                <w:p w14:paraId="230F5A3F">
                  <w:pPr>
                    <w:widowControl w:val="0"/>
                    <w:spacing w:line="240" w:lineRule="auto"/>
                    <w:ind w:firstLine="0" w:firstLineChars="0"/>
                    <w:jc w:val="cente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验收标准</w:t>
                  </w:r>
                </w:p>
              </w:tc>
            </w:tr>
            <w:tr w14:paraId="2E1D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restart"/>
                  <w:noWrap w:val="0"/>
                  <w:vAlign w:val="center"/>
                </w:tcPr>
                <w:p w14:paraId="138F29CF">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废水</w:t>
                  </w:r>
                </w:p>
              </w:tc>
              <w:tc>
                <w:tcPr>
                  <w:tcW w:w="914" w:type="pct"/>
                  <w:noWrap w:val="0"/>
                  <w:vAlign w:val="center"/>
                </w:tcPr>
                <w:p w14:paraId="44F531EC">
                  <w:pPr>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DW001</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生活污水</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排放口</w:t>
                  </w:r>
                </w:p>
              </w:tc>
              <w:tc>
                <w:tcPr>
                  <w:tcW w:w="879" w:type="pct"/>
                  <w:noWrap w:val="0"/>
                  <w:vAlign w:val="center"/>
                </w:tcPr>
                <w:p w14:paraId="494D2973">
                  <w:pPr>
                    <w:keepNext w:val="0"/>
                    <w:keepLines w:val="0"/>
                    <w:pageBreakBefore w:val="0"/>
                    <w:widowControl/>
                    <w:suppressLineNumbers w:val="0"/>
                    <w:tabs>
                      <w:tab w:val="left" w:pos="-2848"/>
                    </w:tabs>
                    <w:kinsoku/>
                    <w:overflowPunct/>
                    <w:topLinePunct w:val="0"/>
                    <w:bidi w:val="0"/>
                    <w:adjustRightInd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pH、CODCr、BOD</w:t>
                  </w:r>
                  <w:r>
                    <w:rPr>
                      <w:rFonts w:hint="default" w:ascii="Times New Roman" w:hAnsi="Times New Roman" w:eastAsia="宋体" w:cs="Times New Roman"/>
                      <w:color w:val="000000" w:themeColor="text1"/>
                      <w:kern w:val="2"/>
                      <w:sz w:val="21"/>
                      <w:szCs w:val="21"/>
                      <w:highlight w:val="none"/>
                      <w:vertAlign w:val="subscript"/>
                      <w:lang w:val="en-US" w:eastAsia="zh-CN" w:bidi="ar-SA"/>
                      <w14:textFill>
                        <w14:solidFill>
                          <w14:schemeClr w14:val="tx1"/>
                        </w14:solidFill>
                      </w14:textFill>
                    </w:rPr>
                    <w:t>5</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、SS、氨氮、总磷、动植物油</w:t>
                  </w:r>
                </w:p>
              </w:tc>
              <w:tc>
                <w:tcPr>
                  <w:tcW w:w="1361" w:type="pct"/>
                  <w:noWrap w:val="0"/>
                  <w:vAlign w:val="center"/>
                </w:tcPr>
                <w:p w14:paraId="3066EC99">
                  <w:pPr>
                    <w:keepNext w:val="0"/>
                    <w:keepLines w:val="0"/>
                    <w:pageBreakBefore w:val="0"/>
                    <w:widowControl/>
                    <w:suppressLineNumbers w:val="0"/>
                    <w:tabs>
                      <w:tab w:val="left" w:pos="-2848"/>
                    </w:tabs>
                    <w:kinsoku/>
                    <w:overflowPunct/>
                    <w:topLinePunct w:val="0"/>
                    <w:bidi w:val="0"/>
                    <w:adjustRightInd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生活污水经三级化粪池+隔油隔渣池处理</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经园区污水管网排入园区污水处理厂进一步处理后，排入武江</w:t>
                  </w:r>
                </w:p>
              </w:tc>
              <w:tc>
                <w:tcPr>
                  <w:tcW w:w="1538" w:type="pct"/>
                  <w:noWrap w:val="0"/>
                  <w:vAlign w:val="center"/>
                </w:tcPr>
                <w:p w14:paraId="1CCFD1AA">
                  <w:pPr>
                    <w:pStyle w:val="20"/>
                    <w:keepNext w:val="0"/>
                    <w:keepLines w:val="0"/>
                    <w:pageBreakBefore w:val="0"/>
                    <w:suppressLineNumbers w:val="0"/>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广东省《水污染物排放限值》（DB44/26-2001）第二时段三级标准</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及</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园区污水处理厂接管水质要求</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两</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者较严值要求</w:t>
                  </w:r>
                </w:p>
              </w:tc>
            </w:tr>
            <w:tr w14:paraId="2DA93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6D973994">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noWrap w:val="0"/>
                  <w:vAlign w:val="center"/>
                </w:tcPr>
                <w:p w14:paraId="597125E4">
                  <w:pPr>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DW00</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2生产废水</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排放口</w:t>
                  </w:r>
                </w:p>
              </w:tc>
              <w:tc>
                <w:tcPr>
                  <w:tcW w:w="879" w:type="pct"/>
                  <w:noWrap w:val="0"/>
                  <w:vAlign w:val="center"/>
                </w:tcPr>
                <w:p w14:paraId="56D0CB4B">
                  <w:pPr>
                    <w:keepNext w:val="0"/>
                    <w:keepLines w:val="0"/>
                    <w:pageBreakBefore w:val="0"/>
                    <w:widowControl/>
                    <w:suppressLineNumbers w:val="0"/>
                    <w:tabs>
                      <w:tab w:val="left" w:pos="-2848"/>
                    </w:tabs>
                    <w:kinsoku/>
                    <w:overflowPunct/>
                    <w:topLinePunct w:val="0"/>
                    <w:bidi w:val="0"/>
                    <w:adjustRightInd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pH、COD</w:t>
                  </w:r>
                  <w:r>
                    <w:rPr>
                      <w:rFonts w:hint="default" w:ascii="Times New Roman" w:hAnsi="Times New Roman" w:eastAsia="宋体" w:cs="Times New Roman"/>
                      <w:color w:val="000000" w:themeColor="text1"/>
                      <w:kern w:val="2"/>
                      <w:sz w:val="21"/>
                      <w:szCs w:val="21"/>
                      <w:highlight w:val="none"/>
                      <w:vertAlign w:val="subscript"/>
                      <w:lang w:val="en-US" w:eastAsia="zh-CN" w:bidi="ar-SA"/>
                      <w14:textFill>
                        <w14:solidFill>
                          <w14:schemeClr w14:val="tx1"/>
                        </w14:solidFill>
                      </w14:textFill>
                    </w:rPr>
                    <w:t>Cr</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BOD</w:t>
                  </w:r>
                  <w:r>
                    <w:rPr>
                      <w:rFonts w:hint="eastAsia" w:ascii="Times New Roman" w:hAnsi="Times New Roman" w:eastAsia="宋体" w:cs="Times New Roman"/>
                      <w:color w:val="000000" w:themeColor="text1"/>
                      <w:kern w:val="2"/>
                      <w:sz w:val="21"/>
                      <w:szCs w:val="21"/>
                      <w:highlight w:val="none"/>
                      <w:vertAlign w:val="subscript"/>
                      <w:lang w:val="en-US" w:eastAsia="zh-CN" w:bidi="ar-SA"/>
                      <w14:textFill>
                        <w14:solidFill>
                          <w14:schemeClr w14:val="tx1"/>
                        </w14:solidFill>
                      </w14:textFill>
                    </w:rPr>
                    <w:t>5</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、NH</w:t>
                  </w:r>
                  <w:r>
                    <w:rPr>
                      <w:rFonts w:hint="eastAsia" w:ascii="Times New Roman" w:hAnsi="Times New Roman" w:eastAsia="宋体" w:cs="Times New Roman"/>
                      <w:color w:val="000000" w:themeColor="text1"/>
                      <w:kern w:val="2"/>
                      <w:sz w:val="21"/>
                      <w:szCs w:val="21"/>
                      <w:highlight w:val="none"/>
                      <w:vertAlign w:val="subscript"/>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-N、</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SS、石油类、阴离子表面活性剂、氟化物</w:t>
                  </w:r>
                  <w:r>
                    <w:rPr>
                      <w:rFonts w:hint="eastAsia" w:cs="Times New Roman"/>
                      <w:color w:val="000000" w:themeColor="text1"/>
                      <w:kern w:val="2"/>
                      <w:sz w:val="21"/>
                      <w:szCs w:val="21"/>
                      <w:highlight w:val="none"/>
                      <w:lang w:val="en-US" w:eastAsia="zh-CN" w:bidi="ar-SA"/>
                      <w14:textFill>
                        <w14:solidFill>
                          <w14:schemeClr w14:val="tx1"/>
                        </w14:solidFill>
                      </w14:textFill>
                    </w:rPr>
                    <w:t>、TP、TN、总铝</w:t>
                  </w:r>
                </w:p>
              </w:tc>
              <w:tc>
                <w:tcPr>
                  <w:tcW w:w="1361" w:type="pct"/>
                  <w:noWrap w:val="0"/>
                  <w:vAlign w:val="center"/>
                </w:tcPr>
                <w:p w14:paraId="5327F48F">
                  <w:pPr>
                    <w:keepNext w:val="0"/>
                    <w:keepLines w:val="0"/>
                    <w:pageBreakBefore w:val="0"/>
                    <w:widowControl/>
                    <w:suppressLineNumbers w:val="0"/>
                    <w:tabs>
                      <w:tab w:val="left" w:pos="-2848"/>
                    </w:tabs>
                    <w:kinsoku/>
                    <w:overflowPunct/>
                    <w:topLinePunct w:val="0"/>
                    <w:bidi w:val="0"/>
                    <w:adjustRightInd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前处理</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废水经企业自建污水处理站（工艺为“</w:t>
                  </w:r>
                  <w:r>
                    <w:rPr>
                      <w:rFonts w:hint="eastAsia" w:cs="Times New Roman"/>
                      <w:color w:val="000000" w:themeColor="text1"/>
                      <w:kern w:val="2"/>
                      <w:sz w:val="21"/>
                      <w:szCs w:val="21"/>
                      <w:highlight w:val="none"/>
                      <w:lang w:val="en-US" w:eastAsia="zh-CN" w:bidi="ar-SA"/>
                      <w14:textFill>
                        <w14:solidFill>
                          <w14:schemeClr w14:val="tx1"/>
                        </w14:solidFill>
                      </w14:textFill>
                    </w:rPr>
                    <w:t>中和调节+混凝沉淀+气浮+化学除氟</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”）处理后，经园区污水管网排入园区污水处理厂进一步处理后，排入武江</w:t>
                  </w:r>
                </w:p>
              </w:tc>
              <w:tc>
                <w:tcPr>
                  <w:tcW w:w="1538" w:type="pct"/>
                  <w:noWrap w:val="0"/>
                  <w:vAlign w:val="center"/>
                </w:tcPr>
                <w:p w14:paraId="69F915FD">
                  <w:pPr>
                    <w:pStyle w:val="20"/>
                    <w:keepNext w:val="0"/>
                    <w:keepLines w:val="0"/>
                    <w:pageBreakBefore w:val="0"/>
                    <w:suppressLineNumbers w:val="0"/>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园区污水处理厂接管水质要求、广东省《水污染物排放限值》（</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DB44/26-2001</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）第二时段三级标准以及《电镀水污染物排放标准》（</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DB44/1597-2015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表1现有项目水污染物非珠三角排放限值200%（其中总铝按表2新建项目水污染物排放限值-非珠三角地区执行）</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三者较严值要求</w:t>
                  </w:r>
                </w:p>
              </w:tc>
            </w:tr>
            <w:tr w14:paraId="25A7E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restart"/>
                  <w:noWrap w:val="0"/>
                  <w:vAlign w:val="center"/>
                </w:tcPr>
                <w:p w14:paraId="452767CE">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废气</w:t>
                  </w:r>
                </w:p>
              </w:tc>
              <w:tc>
                <w:tcPr>
                  <w:tcW w:w="914" w:type="pct"/>
                  <w:vMerge w:val="restart"/>
                  <w:shd w:val="clear" w:color="auto" w:fill="auto"/>
                  <w:noWrap w:val="0"/>
                  <w:vAlign w:val="center"/>
                </w:tcPr>
                <w:p w14:paraId="32FF590A">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喷漆废气（</w:t>
                  </w:r>
                  <w:r>
                    <w:rPr>
                      <w:rFonts w:hint="eastAsia" w:cs="Times New Roman"/>
                      <w:color w:val="000000" w:themeColor="text1"/>
                      <w:sz w:val="21"/>
                      <w:szCs w:val="21"/>
                      <w:highlight w:val="none"/>
                      <w:lang w:val="en-US" w:eastAsia="zh-CN"/>
                      <w14:textFill>
                        <w14:solidFill>
                          <w14:schemeClr w14:val="tx1"/>
                        </w14:solidFill>
                      </w14:textFill>
                    </w:rPr>
                    <w:t>DA001</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879" w:type="pct"/>
                  <w:shd w:val="clear" w:color="auto" w:fill="auto"/>
                  <w:noWrap w:val="0"/>
                  <w:vAlign w:val="center"/>
                </w:tcPr>
                <w:p w14:paraId="4E346C84">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颗粒物</w:t>
                  </w:r>
                </w:p>
              </w:tc>
              <w:tc>
                <w:tcPr>
                  <w:tcW w:w="1361" w:type="pct"/>
                  <w:vMerge w:val="restart"/>
                  <w:shd w:val="clear" w:color="auto" w:fill="auto"/>
                  <w:noWrap w:val="0"/>
                  <w:vAlign w:val="center"/>
                </w:tcPr>
                <w:p w14:paraId="17F36994">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经</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喷淋</w:t>
                  </w:r>
                  <w:r>
                    <w:rPr>
                      <w:rFonts w:hint="default" w:ascii="Times New Roman" w:hAnsi="Times New Roman" w:eastAsia="宋体" w:cs="Times New Roman"/>
                      <w:color w:val="000000" w:themeColor="text1"/>
                      <w:sz w:val="21"/>
                      <w:szCs w:val="21"/>
                      <w:highlight w:val="none"/>
                      <w14:textFill>
                        <w14:solidFill>
                          <w14:schemeClr w14:val="tx1"/>
                        </w14:solidFill>
                      </w14:textFill>
                    </w:rPr>
                    <w:t>+干式过滤器+</w:t>
                  </w:r>
                  <w:r>
                    <w:rPr>
                      <w:rFonts w:hint="eastAsia" w:cs="Times New Roman"/>
                      <w:color w:val="000000" w:themeColor="text1"/>
                      <w:sz w:val="21"/>
                      <w:szCs w:val="21"/>
                      <w:highlight w:val="none"/>
                      <w:lang w:eastAsia="zh-CN"/>
                      <w14:textFill>
                        <w14:solidFill>
                          <w14:schemeClr w14:val="tx1"/>
                        </w14:solidFill>
                      </w14:textFill>
                    </w:rPr>
                    <w:t>活性炭吸脱附+催化燃烧+活性炭吸附</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处理后，</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引至15</w:t>
                  </w:r>
                  <w:r>
                    <w:rPr>
                      <w:rFonts w:hint="default" w:ascii="Times New Roman" w:hAnsi="Times New Roman" w:eastAsia="宋体" w:cs="Times New Roman"/>
                      <w:color w:val="000000" w:themeColor="text1"/>
                      <w:sz w:val="21"/>
                      <w:szCs w:val="21"/>
                      <w:highlight w:val="none"/>
                      <w14:textFill>
                        <w14:solidFill>
                          <w14:schemeClr w14:val="tx1"/>
                        </w14:solidFill>
                      </w14:textFill>
                    </w:rPr>
                    <w:t>m高</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的</w:t>
                  </w:r>
                  <w:r>
                    <w:rPr>
                      <w:rFonts w:hint="default" w:ascii="Times New Roman" w:hAnsi="Times New Roman" w:eastAsia="宋体" w:cs="Times New Roman"/>
                      <w:color w:val="000000" w:themeColor="text1"/>
                      <w:sz w:val="21"/>
                      <w:szCs w:val="21"/>
                      <w:highlight w:val="none"/>
                      <w14:textFill>
                        <w14:solidFill>
                          <w14:schemeClr w14:val="tx1"/>
                        </w14:solidFill>
                      </w14:textFill>
                    </w:rPr>
                    <w:t>排气筒（</w:t>
                  </w:r>
                  <w:r>
                    <w:rPr>
                      <w:rFonts w:hint="eastAsia" w:cs="Times New Roman"/>
                      <w:color w:val="000000" w:themeColor="text1"/>
                      <w:sz w:val="21"/>
                      <w:szCs w:val="21"/>
                      <w:highlight w:val="none"/>
                      <w:lang w:eastAsia="zh-CN"/>
                      <w14:textFill>
                        <w14:solidFill>
                          <w14:schemeClr w14:val="tx1"/>
                        </w14:solidFill>
                      </w14:textFill>
                    </w:rPr>
                    <w:t>DA00</w:t>
                  </w:r>
                  <w:r>
                    <w:rPr>
                      <w:rFonts w:hint="eastAsia"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highlight w:val="none"/>
                      <w14:textFill>
                        <w14:solidFill>
                          <w14:schemeClr w14:val="tx1"/>
                        </w14:solidFill>
                      </w14:textFill>
                    </w:rPr>
                    <w:t>）排放</w:t>
                  </w:r>
                </w:p>
              </w:tc>
              <w:tc>
                <w:tcPr>
                  <w:tcW w:w="1538" w:type="pct"/>
                  <w:shd w:val="clear" w:color="auto" w:fill="auto"/>
                  <w:noWrap w:val="0"/>
                  <w:vAlign w:val="center"/>
                </w:tcPr>
                <w:p w14:paraId="05660124">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广东省《大气污染物排放限值》（DB44/27-2001）第二时段</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排放限值</w:t>
                  </w:r>
                </w:p>
              </w:tc>
            </w:tr>
            <w:tr w14:paraId="58D3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7897353A">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continue"/>
                  <w:noWrap w:val="0"/>
                  <w:vAlign w:val="center"/>
                </w:tcPr>
                <w:p w14:paraId="6FE6E1E8">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79" w:type="pct"/>
                  <w:shd w:val="clear" w:color="auto" w:fill="auto"/>
                  <w:noWrap w:val="0"/>
                  <w:vAlign w:val="center"/>
                </w:tcPr>
                <w:p w14:paraId="6AA0507E">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非甲烷总烃</w:t>
                  </w:r>
                </w:p>
              </w:tc>
              <w:tc>
                <w:tcPr>
                  <w:tcW w:w="1361" w:type="pct"/>
                  <w:vMerge w:val="continue"/>
                  <w:noWrap w:val="0"/>
                  <w:vAlign w:val="center"/>
                </w:tcPr>
                <w:p w14:paraId="5E5497DD">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8" w:type="pct"/>
                  <w:shd w:val="clear" w:color="auto" w:fill="auto"/>
                  <w:noWrap w:val="0"/>
                  <w:vAlign w:val="center"/>
                </w:tcPr>
                <w:p w14:paraId="25CDD751">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广东省《固定污染源挥发性有机物综合排放标准》（DB44/2367-2022）表1挥发性有机物排放限值</w:t>
                  </w:r>
                </w:p>
              </w:tc>
            </w:tr>
            <w:tr w14:paraId="0923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0DBDCA82">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continue"/>
                  <w:noWrap w:val="0"/>
                  <w:vAlign w:val="center"/>
                </w:tcPr>
                <w:p w14:paraId="7B003A9D">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79" w:type="pct"/>
                  <w:shd w:val="clear" w:color="auto" w:fill="auto"/>
                  <w:noWrap w:val="0"/>
                  <w:vAlign w:val="center"/>
                </w:tcPr>
                <w:p w14:paraId="649F448E">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苯系物</w:t>
                  </w:r>
                </w:p>
              </w:tc>
              <w:tc>
                <w:tcPr>
                  <w:tcW w:w="1361" w:type="pct"/>
                  <w:vMerge w:val="continue"/>
                  <w:noWrap w:val="0"/>
                  <w:vAlign w:val="center"/>
                </w:tcPr>
                <w:p w14:paraId="58DBE636">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8" w:type="pct"/>
                  <w:vMerge w:val="restart"/>
                  <w:noWrap w:val="0"/>
                  <w:vAlign w:val="center"/>
                </w:tcPr>
                <w:p w14:paraId="5B008B69">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《恶臭污染物排放标准》（</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GB 14554-1993</w:t>
                  </w:r>
                  <w:r>
                    <w:rPr>
                      <w:rFonts w:hint="default" w:ascii="Times New Roman" w:hAnsi="Times New Roman" w:eastAsia="宋体" w:cs="Times New Roman"/>
                      <w:color w:val="000000" w:themeColor="text1"/>
                      <w:sz w:val="21"/>
                      <w:szCs w:val="21"/>
                      <w:highlight w:val="none"/>
                      <w14:textFill>
                        <w14:solidFill>
                          <w14:schemeClr w14:val="tx1"/>
                        </w14:solidFill>
                      </w14:textFill>
                    </w:rPr>
                    <w:t>）表2恶臭污染物排放标准及表1新扩改建二级厂界标准值</w:t>
                  </w:r>
                </w:p>
              </w:tc>
            </w:tr>
            <w:tr w14:paraId="7F28D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70734745">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continue"/>
                  <w:noWrap w:val="0"/>
                  <w:vAlign w:val="center"/>
                </w:tcPr>
                <w:p w14:paraId="7C91BBB6">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79" w:type="pct"/>
                  <w:shd w:val="clear" w:color="auto" w:fill="auto"/>
                  <w:noWrap w:val="0"/>
                  <w:vAlign w:val="center"/>
                </w:tcPr>
                <w:p w14:paraId="5438DEC3">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臭气浓度</w:t>
                  </w:r>
                </w:p>
              </w:tc>
              <w:tc>
                <w:tcPr>
                  <w:tcW w:w="1361" w:type="pct"/>
                  <w:vMerge w:val="continue"/>
                  <w:noWrap w:val="0"/>
                  <w:vAlign w:val="center"/>
                </w:tcPr>
                <w:p w14:paraId="6E729FC3">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8" w:type="pct"/>
                  <w:vMerge w:val="continue"/>
                  <w:shd w:val="clear" w:color="auto" w:fill="auto"/>
                  <w:noWrap w:val="0"/>
                  <w:vAlign w:val="center"/>
                </w:tcPr>
                <w:p w14:paraId="5D819CFD">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r>
            <w:tr w14:paraId="5ED9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55E0E1E4">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restart"/>
                  <w:noWrap w:val="0"/>
                  <w:vAlign w:val="center"/>
                </w:tcPr>
                <w:p w14:paraId="25AAEF96">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固化废气（</w:t>
                  </w:r>
                  <w:r>
                    <w:rPr>
                      <w:rFonts w:hint="eastAsia" w:cs="Times New Roman"/>
                      <w:color w:val="000000" w:themeColor="text1"/>
                      <w:sz w:val="21"/>
                      <w:szCs w:val="21"/>
                      <w:highlight w:val="none"/>
                      <w:lang w:val="en-US" w:eastAsia="zh-CN"/>
                      <w14:textFill>
                        <w14:solidFill>
                          <w14:schemeClr w14:val="tx1"/>
                        </w14:solidFill>
                      </w14:textFill>
                    </w:rPr>
                    <w:t>DA002</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879" w:type="pct"/>
                  <w:noWrap w:val="0"/>
                  <w:vAlign w:val="center"/>
                </w:tcPr>
                <w:p w14:paraId="15A8CB84">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非甲烷总烃</w:t>
                  </w:r>
                </w:p>
              </w:tc>
              <w:tc>
                <w:tcPr>
                  <w:tcW w:w="1361" w:type="pct"/>
                  <w:vMerge w:val="restart"/>
                  <w:noWrap w:val="0"/>
                  <w:vAlign w:val="center"/>
                </w:tcPr>
                <w:p w14:paraId="0B893AF7">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经</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喷淋</w:t>
                  </w:r>
                  <w:r>
                    <w:rPr>
                      <w:rFonts w:hint="default" w:ascii="Times New Roman" w:hAnsi="Times New Roman" w:eastAsia="宋体" w:cs="Times New Roman"/>
                      <w:color w:val="000000" w:themeColor="text1"/>
                      <w:sz w:val="21"/>
                      <w:szCs w:val="21"/>
                      <w:highlight w:val="none"/>
                      <w14:textFill>
                        <w14:solidFill>
                          <w14:schemeClr w14:val="tx1"/>
                        </w14:solidFill>
                      </w14:textFill>
                    </w:rPr>
                    <w:t>+干式过滤器+</w:t>
                  </w:r>
                  <w:r>
                    <w:rPr>
                      <w:rFonts w:hint="eastAsia"/>
                      <w:color w:val="000000" w:themeColor="text1"/>
                      <w:lang w:val="en-US" w:eastAsia="zh-CN"/>
                      <w14:textFill>
                        <w14:solidFill>
                          <w14:schemeClr w14:val="tx1"/>
                        </w14:solidFill>
                      </w14:textFill>
                    </w:rPr>
                    <w:t>二级活性炭吸附</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处理后，</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引至15</w:t>
                  </w:r>
                  <w:r>
                    <w:rPr>
                      <w:rFonts w:hint="default" w:ascii="Times New Roman" w:hAnsi="Times New Roman" w:eastAsia="宋体" w:cs="Times New Roman"/>
                      <w:color w:val="000000" w:themeColor="text1"/>
                      <w:sz w:val="21"/>
                      <w:szCs w:val="21"/>
                      <w:highlight w:val="none"/>
                      <w14:textFill>
                        <w14:solidFill>
                          <w14:schemeClr w14:val="tx1"/>
                        </w14:solidFill>
                      </w14:textFill>
                    </w:rPr>
                    <w:t>m高</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的</w:t>
                  </w:r>
                  <w:r>
                    <w:rPr>
                      <w:rFonts w:hint="default" w:ascii="Times New Roman" w:hAnsi="Times New Roman" w:eastAsia="宋体" w:cs="Times New Roman"/>
                      <w:color w:val="000000" w:themeColor="text1"/>
                      <w:sz w:val="21"/>
                      <w:szCs w:val="21"/>
                      <w:highlight w:val="none"/>
                      <w14:textFill>
                        <w14:solidFill>
                          <w14:schemeClr w14:val="tx1"/>
                        </w14:solidFill>
                      </w14:textFill>
                    </w:rPr>
                    <w:t>排气筒（</w:t>
                  </w:r>
                  <w:r>
                    <w:rPr>
                      <w:rFonts w:hint="eastAsia" w:cs="Times New Roman"/>
                      <w:color w:val="000000" w:themeColor="text1"/>
                      <w:sz w:val="21"/>
                      <w:szCs w:val="21"/>
                      <w:highlight w:val="none"/>
                      <w:lang w:eastAsia="zh-CN"/>
                      <w14:textFill>
                        <w14:solidFill>
                          <w14:schemeClr w14:val="tx1"/>
                        </w14:solidFill>
                      </w14:textFill>
                    </w:rPr>
                    <w:t>DA00</w:t>
                  </w:r>
                  <w:r>
                    <w:rPr>
                      <w:rFonts w:hint="eastAsia"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）排放</w:t>
                  </w:r>
                </w:p>
              </w:tc>
              <w:tc>
                <w:tcPr>
                  <w:tcW w:w="1538" w:type="pct"/>
                  <w:noWrap w:val="0"/>
                  <w:vAlign w:val="center"/>
                </w:tcPr>
                <w:p w14:paraId="7D2A2E4B">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广东省《固定污染源挥发性有机物综合排放标准》（DB44/2367-2022）表1挥发性有机物排放限值</w:t>
                  </w:r>
                </w:p>
              </w:tc>
            </w:tr>
            <w:tr w14:paraId="2653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582B12A0">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continue"/>
                  <w:noWrap w:val="0"/>
                  <w:vAlign w:val="center"/>
                </w:tcPr>
                <w:p w14:paraId="5B1C5896">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79" w:type="pct"/>
                  <w:noWrap w:val="0"/>
                  <w:vAlign w:val="center"/>
                </w:tcPr>
                <w:p w14:paraId="7A67B5C0">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臭气浓度</w:t>
                  </w:r>
                </w:p>
              </w:tc>
              <w:tc>
                <w:tcPr>
                  <w:tcW w:w="1361" w:type="pct"/>
                  <w:vMerge w:val="continue"/>
                  <w:noWrap w:val="0"/>
                  <w:vAlign w:val="center"/>
                </w:tcPr>
                <w:p w14:paraId="074007D9">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8" w:type="pct"/>
                  <w:noWrap w:val="0"/>
                  <w:vAlign w:val="center"/>
                </w:tcPr>
                <w:p w14:paraId="2E1D3089">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《恶臭污染物排放标准》（</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GB 14554-1993</w:t>
                  </w:r>
                  <w:r>
                    <w:rPr>
                      <w:rFonts w:hint="default" w:ascii="Times New Roman" w:hAnsi="Times New Roman" w:eastAsia="宋体" w:cs="Times New Roman"/>
                      <w:color w:val="000000" w:themeColor="text1"/>
                      <w:sz w:val="21"/>
                      <w:szCs w:val="21"/>
                      <w:highlight w:val="none"/>
                      <w14:textFill>
                        <w14:solidFill>
                          <w14:schemeClr w14:val="tx1"/>
                        </w14:solidFill>
                      </w14:textFill>
                    </w:rPr>
                    <w:t>）表2恶臭污染物排放标准及表1新扩改建二级厂界标准值</w:t>
                  </w:r>
                </w:p>
              </w:tc>
            </w:tr>
            <w:tr w14:paraId="006E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526B9B9E">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continue"/>
                  <w:noWrap w:val="0"/>
                  <w:vAlign w:val="center"/>
                </w:tcPr>
                <w:p w14:paraId="04DEFD47">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79" w:type="pct"/>
                  <w:noWrap w:val="0"/>
                  <w:vAlign w:val="center"/>
                </w:tcPr>
                <w:p w14:paraId="2EA8D972">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颗粒物、</w:t>
                  </w:r>
                  <w:r>
                    <w:rPr>
                      <w:rFonts w:hint="default" w:ascii="Times New Roman" w:hAnsi="Times New Roman" w:eastAsia="宋体" w:cs="Times New Roman"/>
                      <w:color w:val="000000" w:themeColor="text1"/>
                      <w:sz w:val="21"/>
                      <w:szCs w:val="21"/>
                      <w:highlight w:val="none"/>
                      <w14:textFill>
                        <w14:solidFill>
                          <w14:schemeClr w14:val="tx1"/>
                        </w14:solidFill>
                      </w14:textFill>
                    </w:rPr>
                    <w:t>氮氧化物、二氧化硫</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烟气黑度</w:t>
                  </w:r>
                </w:p>
              </w:tc>
              <w:tc>
                <w:tcPr>
                  <w:tcW w:w="1361" w:type="pct"/>
                  <w:vMerge w:val="continue"/>
                  <w:noWrap w:val="0"/>
                  <w:vAlign w:val="center"/>
                </w:tcPr>
                <w:p w14:paraId="347C7D6B">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8" w:type="pct"/>
                  <w:noWrap w:val="0"/>
                  <w:vAlign w:val="center"/>
                </w:tcPr>
                <w:p w14:paraId="417AC024">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根据《关于印发</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工业炉窑大气污染综合治理方案</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〉的通知》</w:t>
                  </w:r>
                  <w:r>
                    <w:rPr>
                      <w:rFonts w:hint="default" w:ascii="Times New Roman" w:hAnsi="Times New Roman" w:eastAsia="宋体" w:cs="Times New Roman"/>
                      <w:color w:val="000000" w:themeColor="text1"/>
                      <w:sz w:val="21"/>
                      <w:szCs w:val="21"/>
                      <w:highlight w:val="none"/>
                      <w14:textFill>
                        <w14:solidFill>
                          <w14:schemeClr w14:val="tx1"/>
                        </w14:solidFill>
                      </w14:textFill>
                    </w:rPr>
                    <w:t>（环大气〔2019〕56号）和《关于贯彻落实</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工业炉窑大气污染物综合治理方案</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的实施意见》（粤环函〔2019〕1112号），废气按照颗粒物、二氧化硫、氮氧化物排放限值分别不高于30、200、300毫克/立方米控制</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烟气黑度执行《工业炉窑大气污染物排放标准》（GB 9078-1996）</w:t>
                  </w:r>
                </w:p>
              </w:tc>
            </w:tr>
            <w:tr w14:paraId="3D32B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45D8FF69">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noWrap w:val="0"/>
                  <w:vAlign w:val="center"/>
                </w:tcPr>
                <w:p w14:paraId="538C3F78">
                  <w:pPr>
                    <w:adjustRightInd w:val="0"/>
                    <w:snapToGrid w:val="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职工生活</w:t>
                  </w:r>
                </w:p>
              </w:tc>
              <w:tc>
                <w:tcPr>
                  <w:tcW w:w="879" w:type="pct"/>
                  <w:noWrap w:val="0"/>
                  <w:vAlign w:val="center"/>
                </w:tcPr>
                <w:p w14:paraId="65607A85">
                  <w:pPr>
                    <w:adjustRightInd w:val="0"/>
                    <w:snapToGrid w:val="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食堂油烟</w:t>
                  </w:r>
                </w:p>
              </w:tc>
              <w:tc>
                <w:tcPr>
                  <w:tcW w:w="1361" w:type="pct"/>
                  <w:noWrap w:val="0"/>
                  <w:vAlign w:val="center"/>
                </w:tcPr>
                <w:p w14:paraId="7A414EEF">
                  <w:pPr>
                    <w:adjustRightInd w:val="0"/>
                    <w:snapToGrid w:val="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经收集后引至高效静电油烟净化器处理，处理达标后尾气引至</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宿舍楼一层楼顶</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排放（</w:t>
                  </w:r>
                  <w:r>
                    <w:rPr>
                      <w:rFonts w:hint="eastAsia" w:cs="Times New Roman"/>
                      <w:color w:val="000000" w:themeColor="text1"/>
                      <w:sz w:val="21"/>
                      <w:szCs w:val="21"/>
                      <w:highlight w:val="none"/>
                      <w:lang w:eastAsia="zh-CN"/>
                      <w14:textFill>
                        <w14:solidFill>
                          <w14:schemeClr w14:val="tx1"/>
                        </w14:solidFill>
                      </w14:textFill>
                    </w:rPr>
                    <w:t>DA00</w:t>
                  </w:r>
                  <w:r>
                    <w:rPr>
                      <w:rFonts w:hint="eastAsia"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p>
              </w:tc>
              <w:tc>
                <w:tcPr>
                  <w:tcW w:w="1538" w:type="pct"/>
                  <w:noWrap w:val="0"/>
                  <w:vAlign w:val="center"/>
                </w:tcPr>
                <w:p w14:paraId="538EE394">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达到《饮食业油烟排放标准</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（试行）》</w:t>
                  </w:r>
                  <w:r>
                    <w:rPr>
                      <w:rFonts w:hint="default" w:ascii="Times New Roman" w:hAnsi="Times New Roman" w:eastAsia="宋体" w:cs="Times New Roman"/>
                      <w:color w:val="000000" w:themeColor="text1"/>
                      <w:sz w:val="21"/>
                      <w:szCs w:val="21"/>
                      <w:highlight w:val="none"/>
                      <w14:textFill>
                        <w14:solidFill>
                          <w14:schemeClr w14:val="tx1"/>
                        </w14:solidFill>
                      </w14:textFill>
                    </w:rPr>
                    <w:t>（GB18483-2001）</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中型</w:t>
                  </w:r>
                  <w:r>
                    <w:rPr>
                      <w:rFonts w:hint="default" w:ascii="Times New Roman" w:hAnsi="Times New Roman" w:eastAsia="宋体" w:cs="Times New Roman"/>
                      <w:color w:val="000000" w:themeColor="text1"/>
                      <w:sz w:val="21"/>
                      <w:szCs w:val="21"/>
                      <w:highlight w:val="none"/>
                      <w14:textFill>
                        <w14:solidFill>
                          <w14:schemeClr w14:val="tx1"/>
                        </w14:solidFill>
                      </w14:textFill>
                    </w:rPr>
                    <w:t>规模标准</w:t>
                  </w:r>
                </w:p>
              </w:tc>
            </w:tr>
            <w:tr w14:paraId="7E99A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24ACC1FC">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restart"/>
                  <w:noWrap w:val="0"/>
                  <w:vAlign w:val="center"/>
                </w:tcPr>
                <w:p w14:paraId="6494AC1A">
                  <w:pPr>
                    <w:adjustRightInd w:val="0"/>
                    <w:snapToGrid w:val="0"/>
                    <w:jc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无组织</w:t>
                  </w:r>
                </w:p>
              </w:tc>
              <w:tc>
                <w:tcPr>
                  <w:tcW w:w="879" w:type="pct"/>
                  <w:noWrap w:val="0"/>
                  <w:vAlign w:val="center"/>
                </w:tcPr>
                <w:p w14:paraId="4F73D20B">
                  <w:pPr>
                    <w:keepNext w:val="0"/>
                    <w:keepLines w:val="0"/>
                    <w:pageBreakBefore w:val="0"/>
                    <w:widowControl/>
                    <w:suppressLineNumbers w:val="0"/>
                    <w:tabs>
                      <w:tab w:val="left" w:pos="-2848"/>
                    </w:tabs>
                    <w:kinsoku/>
                    <w:overflowPunct/>
                    <w:topLinePunct w:val="0"/>
                    <w:bidi w:val="0"/>
                    <w:adjustRightInd w:val="0"/>
                    <w:snapToGrid/>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颗粒物</w:t>
                  </w:r>
                </w:p>
              </w:tc>
              <w:tc>
                <w:tcPr>
                  <w:tcW w:w="1361" w:type="pct"/>
                  <w:noWrap w:val="0"/>
                  <w:vAlign w:val="center"/>
                </w:tcPr>
                <w:p w14:paraId="1959E00E">
                  <w:pPr>
                    <w:keepNext w:val="0"/>
                    <w:keepLines w:val="0"/>
                    <w:pageBreakBefore w:val="0"/>
                    <w:widowControl/>
                    <w:suppressLineNumbers w:val="0"/>
                    <w:tabs>
                      <w:tab w:val="left" w:pos="-2848"/>
                    </w:tabs>
                    <w:kinsoku/>
                    <w:overflowPunct/>
                    <w:topLinePunct w:val="0"/>
                    <w:bidi w:val="0"/>
                    <w:adjustRightInd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未被收集的切割粉尘、焊接烟尘、抛光打磨粉尘于车间内无组织排放，并加强厂内通风</w:t>
                  </w:r>
                </w:p>
              </w:tc>
              <w:tc>
                <w:tcPr>
                  <w:tcW w:w="1538" w:type="pct"/>
                  <w:noWrap w:val="0"/>
                  <w:vAlign w:val="center"/>
                </w:tcPr>
                <w:p w14:paraId="3300F580">
                  <w:pPr>
                    <w:keepNext w:val="0"/>
                    <w:keepLines w:val="0"/>
                    <w:pageBreakBefore w:val="0"/>
                    <w:widowControl/>
                    <w:suppressLineNumbers w:val="0"/>
                    <w:tabs>
                      <w:tab w:val="left" w:pos="-2848"/>
                    </w:tabs>
                    <w:kinsoku/>
                    <w:overflowPunct/>
                    <w:topLinePunct w:val="0"/>
                    <w:bidi w:val="0"/>
                    <w:adjustRightInd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广东省《大气污染物排放限值》（DB44/27-2001）第二时段无组织排放监控浓度限值</w:t>
                  </w:r>
                </w:p>
              </w:tc>
            </w:tr>
            <w:tr w14:paraId="2B912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2D09DECD">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continue"/>
                  <w:noWrap w:val="0"/>
                  <w:vAlign w:val="center"/>
                </w:tcPr>
                <w:p w14:paraId="3233C44C">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79" w:type="pct"/>
                  <w:noWrap w:val="0"/>
                  <w:vAlign w:val="center"/>
                </w:tcPr>
                <w:p w14:paraId="3993637B">
                  <w:pPr>
                    <w:keepNext w:val="0"/>
                    <w:keepLines w:val="0"/>
                    <w:pageBreakBefore w:val="0"/>
                    <w:widowControl/>
                    <w:suppressLineNumbers w:val="0"/>
                    <w:tabs>
                      <w:tab w:val="left" w:pos="-2848"/>
                    </w:tabs>
                    <w:kinsoku/>
                    <w:overflowPunct/>
                    <w:topLinePunct w:val="0"/>
                    <w:bidi w:val="0"/>
                    <w:adjustRightInd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非甲烷总烃</w:t>
                  </w:r>
                </w:p>
              </w:tc>
              <w:tc>
                <w:tcPr>
                  <w:tcW w:w="1361" w:type="pct"/>
                  <w:noWrap w:val="0"/>
                  <w:vAlign w:val="center"/>
                </w:tcPr>
                <w:p w14:paraId="272F3E19">
                  <w:pPr>
                    <w:keepNext w:val="0"/>
                    <w:keepLines w:val="0"/>
                    <w:pageBreakBefore w:val="0"/>
                    <w:widowControl/>
                    <w:suppressLineNumbers w:val="0"/>
                    <w:tabs>
                      <w:tab w:val="left" w:pos="-2848"/>
                    </w:tabs>
                    <w:kinsoku/>
                    <w:overflowPunct/>
                    <w:topLinePunct w:val="0"/>
                    <w:bidi w:val="0"/>
                    <w:adjustRightInd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加强收集</w:t>
                  </w:r>
                  <w:r>
                    <w:rPr>
                      <w:rFonts w:hint="eastAsia" w:cs="Times New Roman"/>
                      <w:color w:val="000000" w:themeColor="text1"/>
                      <w:kern w:val="2"/>
                      <w:sz w:val="21"/>
                      <w:szCs w:val="21"/>
                      <w:highlight w:val="none"/>
                      <w:lang w:val="en-US" w:eastAsia="zh-CN" w:bidi="ar-SA"/>
                      <w14:textFill>
                        <w14:solidFill>
                          <w14:schemeClr w14:val="tx1"/>
                        </w14:solidFill>
                      </w14:textFill>
                    </w:rPr>
                    <w:t>，或</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加强厂内通风</w:t>
                  </w:r>
                </w:p>
              </w:tc>
              <w:tc>
                <w:tcPr>
                  <w:tcW w:w="1538" w:type="pct"/>
                  <w:noWrap w:val="0"/>
                  <w:vAlign w:val="center"/>
                </w:tcPr>
                <w:p w14:paraId="70C63B94">
                  <w:pPr>
                    <w:keepNext w:val="0"/>
                    <w:keepLines w:val="0"/>
                    <w:pageBreakBefore w:val="0"/>
                    <w:widowControl/>
                    <w:suppressLineNumbers w:val="0"/>
                    <w:tabs>
                      <w:tab w:val="left" w:pos="-2848"/>
                    </w:tabs>
                    <w:kinsoku/>
                    <w:overflowPunct/>
                    <w:topLinePunct w:val="0"/>
                    <w:bidi w:val="0"/>
                    <w:adjustRightInd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color w:val="000000" w:themeColor="text1"/>
                      <w:sz w:val="21"/>
                      <w:szCs w:val="21"/>
                      <w14:textFill>
                        <w14:solidFill>
                          <w14:schemeClr w14:val="tx1"/>
                        </w14:solidFill>
                      </w14:textFill>
                    </w:rPr>
                    <w:t>广东省《固定污染源挥发性有机物综合排放标准》（DB44/2367-2022）中表3VOCs无组织排放限值</w:t>
                  </w:r>
                </w:p>
              </w:tc>
            </w:tr>
            <w:tr w14:paraId="64095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5D817773">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continue"/>
                  <w:noWrap w:val="0"/>
                  <w:vAlign w:val="center"/>
                </w:tcPr>
                <w:p w14:paraId="28A892B7">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79" w:type="pct"/>
                  <w:noWrap w:val="0"/>
                  <w:vAlign w:val="center"/>
                </w:tcPr>
                <w:p w14:paraId="061F6C62">
                  <w:pPr>
                    <w:keepNext w:val="0"/>
                    <w:keepLines w:val="0"/>
                    <w:pageBreakBefore w:val="0"/>
                    <w:widowControl/>
                    <w:suppressLineNumbers w:val="0"/>
                    <w:tabs>
                      <w:tab w:val="left" w:pos="-2848"/>
                    </w:tabs>
                    <w:kinsoku/>
                    <w:overflowPunct/>
                    <w:topLinePunct w:val="0"/>
                    <w:bidi w:val="0"/>
                    <w:adjustRightInd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苯系物</w:t>
                  </w:r>
                  <w:r>
                    <w:rPr>
                      <w:rFonts w:hint="eastAsia" w:cs="Times New Roman"/>
                      <w:color w:val="000000" w:themeColor="text1"/>
                      <w:kern w:val="2"/>
                      <w:sz w:val="21"/>
                      <w:szCs w:val="21"/>
                      <w:highlight w:val="none"/>
                      <w:lang w:val="en-US" w:eastAsia="zh-CN" w:bidi="ar-SA"/>
                      <w14:textFill>
                        <w14:solidFill>
                          <w14:schemeClr w14:val="tx1"/>
                        </w14:solidFill>
                      </w14:textFill>
                    </w:rPr>
                    <w:t>、氟化物</w:t>
                  </w:r>
                </w:p>
              </w:tc>
              <w:tc>
                <w:tcPr>
                  <w:tcW w:w="1361" w:type="pct"/>
                  <w:noWrap w:val="0"/>
                  <w:vAlign w:val="center"/>
                </w:tcPr>
                <w:p w14:paraId="7B6BAE67">
                  <w:pPr>
                    <w:keepNext w:val="0"/>
                    <w:keepLines w:val="0"/>
                    <w:pageBreakBefore w:val="0"/>
                    <w:widowControl/>
                    <w:suppressLineNumbers w:val="0"/>
                    <w:tabs>
                      <w:tab w:val="left" w:pos="-2848"/>
                    </w:tabs>
                    <w:kinsoku/>
                    <w:overflowPunct/>
                    <w:topLinePunct w:val="0"/>
                    <w:bidi w:val="0"/>
                    <w:adjustRightInd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加强收集</w:t>
                  </w:r>
                  <w:r>
                    <w:rPr>
                      <w:rFonts w:hint="eastAsia" w:cs="Times New Roman"/>
                      <w:color w:val="000000" w:themeColor="text1"/>
                      <w:kern w:val="2"/>
                      <w:sz w:val="21"/>
                      <w:szCs w:val="21"/>
                      <w:highlight w:val="none"/>
                      <w:lang w:val="en-US" w:eastAsia="zh-CN" w:bidi="ar-SA"/>
                      <w14:textFill>
                        <w14:solidFill>
                          <w14:schemeClr w14:val="tx1"/>
                        </w14:solidFill>
                      </w14:textFill>
                    </w:rPr>
                    <w:t>，或</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加强厂内通风</w:t>
                  </w:r>
                </w:p>
              </w:tc>
              <w:tc>
                <w:tcPr>
                  <w:tcW w:w="1538" w:type="pct"/>
                  <w:noWrap w:val="0"/>
                  <w:vAlign w:val="center"/>
                </w:tcPr>
                <w:p w14:paraId="408D9242">
                  <w:pPr>
                    <w:keepNext w:val="0"/>
                    <w:keepLines w:val="0"/>
                    <w:pageBreakBefore w:val="0"/>
                    <w:widowControl/>
                    <w:suppressLineNumbers w:val="0"/>
                    <w:tabs>
                      <w:tab w:val="left" w:pos="-2848"/>
                    </w:tabs>
                    <w:kinsoku/>
                    <w:overflowPunct/>
                    <w:topLinePunct w:val="0"/>
                    <w:bidi w:val="0"/>
                    <w:adjustRightInd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广东省《大气污染物排放限值》（DB44/27-2001）第二时段无组织排放监控浓度限值</w:t>
                  </w:r>
                </w:p>
              </w:tc>
            </w:tr>
            <w:tr w14:paraId="67CF3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79C16873">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continue"/>
                  <w:noWrap w:val="0"/>
                  <w:vAlign w:val="center"/>
                </w:tcPr>
                <w:p w14:paraId="5FD4E6B7">
                  <w:pPr>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79" w:type="pct"/>
                  <w:noWrap w:val="0"/>
                  <w:vAlign w:val="center"/>
                </w:tcPr>
                <w:p w14:paraId="2CA8729C">
                  <w:pPr>
                    <w:keepNext w:val="0"/>
                    <w:keepLines w:val="0"/>
                    <w:pageBreakBefore w:val="0"/>
                    <w:widowControl/>
                    <w:suppressLineNumbers w:val="0"/>
                    <w:tabs>
                      <w:tab w:val="left" w:pos="-2848"/>
                    </w:tabs>
                    <w:kinsoku/>
                    <w:overflowPunct/>
                    <w:topLinePunct w:val="0"/>
                    <w:bidi w:val="0"/>
                    <w:adjustRightInd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0"/>
                      <w:sz w:val="21"/>
                      <w:szCs w:val="21"/>
                      <w:highlight w:val="none"/>
                      <w:lang w:val="en-US" w:eastAsia="zh-CN" w:bidi="en-US"/>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臭气浓度、硫化氢、氨气</w:t>
                  </w:r>
                </w:p>
              </w:tc>
              <w:tc>
                <w:tcPr>
                  <w:tcW w:w="1361" w:type="pct"/>
                  <w:noWrap w:val="0"/>
                  <w:vAlign w:val="center"/>
                </w:tcPr>
                <w:p w14:paraId="783E5031">
                  <w:pPr>
                    <w:keepNext w:val="0"/>
                    <w:keepLines w:val="0"/>
                    <w:pageBreakBefore w:val="0"/>
                    <w:widowControl/>
                    <w:suppressLineNumbers w:val="0"/>
                    <w:tabs>
                      <w:tab w:val="left" w:pos="-2848"/>
                    </w:tabs>
                    <w:kinsoku/>
                    <w:overflowPunct/>
                    <w:topLinePunct w:val="0"/>
                    <w:bidi w:val="0"/>
                    <w:adjustRightInd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采取加盖密闭、加强通风</w:t>
                  </w:r>
                </w:p>
              </w:tc>
              <w:tc>
                <w:tcPr>
                  <w:tcW w:w="1538" w:type="pct"/>
                  <w:noWrap w:val="0"/>
                  <w:vAlign w:val="center"/>
                </w:tcPr>
                <w:p w14:paraId="0E0BFC53">
                  <w:pPr>
                    <w:keepNext w:val="0"/>
                    <w:keepLines w:val="0"/>
                    <w:pageBreakBefore w:val="0"/>
                    <w:widowControl/>
                    <w:suppressLineNumbers w:val="0"/>
                    <w:tabs>
                      <w:tab w:val="left" w:pos="-2848"/>
                    </w:tabs>
                    <w:kinsoku/>
                    <w:overflowPunct/>
                    <w:topLinePunct w:val="0"/>
                    <w:bidi w:val="0"/>
                    <w:adjustRightInd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《恶臭污染物排放标准》(GB14554-93)表1二级标准中“新改扩建”限值要求</w:t>
                  </w:r>
                </w:p>
              </w:tc>
            </w:tr>
            <w:tr w14:paraId="1509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restart"/>
                  <w:noWrap w:val="0"/>
                  <w:vAlign w:val="center"/>
                </w:tcPr>
                <w:p w14:paraId="557B1019">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固废</w:t>
                  </w:r>
                </w:p>
              </w:tc>
              <w:tc>
                <w:tcPr>
                  <w:tcW w:w="914" w:type="pct"/>
                  <w:vMerge w:val="restart"/>
                  <w:noWrap w:val="0"/>
                  <w:vAlign w:val="center"/>
                </w:tcPr>
                <w:p w14:paraId="7603C4AB">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员工生活办公</w:t>
                  </w:r>
                </w:p>
              </w:tc>
              <w:tc>
                <w:tcPr>
                  <w:tcW w:w="879" w:type="pct"/>
                  <w:tcBorders>
                    <w:bottom w:val="single" w:color="000000" w:sz="4" w:space="0"/>
                  </w:tcBorders>
                  <w:noWrap w:val="0"/>
                  <w:vAlign w:val="center"/>
                </w:tcPr>
                <w:p w14:paraId="0953914E">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生活垃圾</w:t>
                  </w:r>
                </w:p>
              </w:tc>
              <w:tc>
                <w:tcPr>
                  <w:tcW w:w="1361" w:type="pct"/>
                  <w:tcBorders>
                    <w:bottom w:val="single" w:color="000000" w:sz="4" w:space="0"/>
                  </w:tcBorders>
                  <w:noWrap w:val="0"/>
                  <w:vAlign w:val="center"/>
                </w:tcPr>
                <w:p w14:paraId="606AE9BC">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环卫部门清运</w:t>
                  </w:r>
                </w:p>
              </w:tc>
              <w:tc>
                <w:tcPr>
                  <w:tcW w:w="1538" w:type="pct"/>
                  <w:vMerge w:val="restart"/>
                  <w:noWrap w:val="0"/>
                  <w:vAlign w:val="center"/>
                </w:tcPr>
                <w:p w14:paraId="23BB2BF8">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一般工业固体废物在厂内采用库房或包装工具贮存，贮存过程应满足相应防渗漏、防雨淋、防扬尘等环境保护要求；危险废物污染控制标准执行《危险废物贮存污染控制标准》（GB18597-2023）</w:t>
                  </w:r>
                </w:p>
              </w:tc>
            </w:tr>
            <w:tr w14:paraId="2142B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0D468F11">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continue"/>
                  <w:noWrap w:val="0"/>
                  <w:vAlign w:val="center"/>
                </w:tcPr>
                <w:p w14:paraId="14A5CB58">
                  <w:pPr>
                    <w:widowControl/>
                    <w:spacing w:line="240" w:lineRule="auto"/>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p>
              </w:tc>
              <w:tc>
                <w:tcPr>
                  <w:tcW w:w="879" w:type="pct"/>
                  <w:tcBorders>
                    <w:bottom w:val="single" w:color="000000" w:sz="4" w:space="0"/>
                  </w:tcBorders>
                  <w:noWrap w:val="0"/>
                  <w:vAlign w:val="center"/>
                </w:tcPr>
                <w:p w14:paraId="7F455540">
                  <w:pPr>
                    <w:widowControl/>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废油脂</w:t>
                  </w:r>
                </w:p>
              </w:tc>
              <w:tc>
                <w:tcPr>
                  <w:tcW w:w="1361" w:type="pct"/>
                  <w:tcBorders>
                    <w:bottom w:val="single" w:color="000000" w:sz="4" w:space="0"/>
                  </w:tcBorders>
                  <w:noWrap w:val="0"/>
                  <w:vAlign w:val="center"/>
                </w:tcPr>
                <w:p w14:paraId="31F5B563">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专业单位进行回收处置</w:t>
                  </w:r>
                </w:p>
              </w:tc>
              <w:tc>
                <w:tcPr>
                  <w:tcW w:w="1538" w:type="pct"/>
                  <w:vMerge w:val="continue"/>
                  <w:noWrap w:val="0"/>
                  <w:vAlign w:val="center"/>
                </w:tcPr>
                <w:p w14:paraId="32468338">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058C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60287C4E">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noWrap w:val="0"/>
                  <w:vAlign w:val="center"/>
                </w:tcPr>
                <w:p w14:paraId="7DE4FFF0">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钣金加工</w:t>
                  </w:r>
                </w:p>
              </w:tc>
              <w:tc>
                <w:tcPr>
                  <w:tcW w:w="879" w:type="pct"/>
                  <w:noWrap w:val="0"/>
                  <w:vAlign w:val="center"/>
                </w:tcPr>
                <w:p w14:paraId="0A48CF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边角料</w:t>
                  </w:r>
                </w:p>
              </w:tc>
              <w:tc>
                <w:tcPr>
                  <w:tcW w:w="1361" w:type="pct"/>
                  <w:vMerge w:val="restart"/>
                  <w:noWrap w:val="0"/>
                  <w:vAlign w:val="center"/>
                </w:tcPr>
                <w:p w14:paraId="5C91CE78">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交由资源回收利用单位</w:t>
                  </w:r>
                </w:p>
              </w:tc>
              <w:tc>
                <w:tcPr>
                  <w:tcW w:w="1538" w:type="pct"/>
                  <w:vMerge w:val="continue"/>
                  <w:noWrap w:val="0"/>
                  <w:vAlign w:val="center"/>
                </w:tcPr>
                <w:p w14:paraId="1E6116DA">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13DC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178CD056">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noWrap w:val="0"/>
                  <w:vAlign w:val="center"/>
                </w:tcPr>
                <w:p w14:paraId="53A918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辅料拆包/成品包装</w:t>
                  </w:r>
                </w:p>
              </w:tc>
              <w:tc>
                <w:tcPr>
                  <w:tcW w:w="879" w:type="pct"/>
                  <w:noWrap w:val="0"/>
                  <w:vAlign w:val="center"/>
                </w:tcPr>
                <w:p w14:paraId="7961FE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包装废料</w:t>
                  </w:r>
                </w:p>
              </w:tc>
              <w:tc>
                <w:tcPr>
                  <w:tcW w:w="1361" w:type="pct"/>
                  <w:vMerge w:val="continue"/>
                  <w:noWrap w:val="0"/>
                  <w:vAlign w:val="center"/>
                </w:tcPr>
                <w:p w14:paraId="5C514003">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538" w:type="pct"/>
                  <w:vMerge w:val="continue"/>
                  <w:noWrap w:val="0"/>
                  <w:vAlign w:val="center"/>
                </w:tcPr>
                <w:p w14:paraId="164A5E13">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2A68E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111C40AC">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restart"/>
                  <w:noWrap w:val="0"/>
                  <w:vAlign w:val="center"/>
                </w:tcPr>
                <w:p w14:paraId="410A6D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废气处理</w:t>
                  </w:r>
                </w:p>
              </w:tc>
              <w:tc>
                <w:tcPr>
                  <w:tcW w:w="879" w:type="pct"/>
                  <w:noWrap w:val="0"/>
                  <w:vAlign w:val="center"/>
                </w:tcPr>
                <w:p w14:paraId="4966F9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废滤芯、废催化剂</w:t>
                  </w:r>
                </w:p>
              </w:tc>
              <w:tc>
                <w:tcPr>
                  <w:tcW w:w="1361" w:type="pct"/>
                  <w:vMerge w:val="continue"/>
                  <w:noWrap w:val="0"/>
                  <w:vAlign w:val="center"/>
                </w:tcPr>
                <w:p w14:paraId="3A5243C5">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538" w:type="pct"/>
                  <w:vMerge w:val="continue"/>
                  <w:noWrap w:val="0"/>
                  <w:vAlign w:val="center"/>
                </w:tcPr>
                <w:p w14:paraId="4C7492B6">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031E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57217387">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continue"/>
                  <w:noWrap w:val="0"/>
                  <w:vAlign w:val="center"/>
                </w:tcPr>
                <w:p w14:paraId="0BD50B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79" w:type="pct"/>
                  <w:noWrap w:val="0"/>
                  <w:vAlign w:val="center"/>
                </w:tcPr>
                <w:p w14:paraId="402C35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沉降金属粉尘</w:t>
                  </w:r>
                </w:p>
              </w:tc>
              <w:tc>
                <w:tcPr>
                  <w:tcW w:w="1361" w:type="pct"/>
                  <w:vMerge w:val="continue"/>
                  <w:noWrap w:val="0"/>
                  <w:vAlign w:val="center"/>
                </w:tcPr>
                <w:p w14:paraId="78CD491F">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538" w:type="pct"/>
                  <w:vMerge w:val="continue"/>
                  <w:noWrap w:val="0"/>
                  <w:vAlign w:val="center"/>
                </w:tcPr>
                <w:p w14:paraId="116F7601">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2D942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2F0B7150">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restart"/>
                  <w:noWrap w:val="0"/>
                  <w:vAlign w:val="center"/>
                </w:tcPr>
                <w:p w14:paraId="594264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脱脂、水洗、无铬钝化</w:t>
                  </w:r>
                </w:p>
              </w:tc>
              <w:tc>
                <w:tcPr>
                  <w:tcW w:w="879" w:type="pct"/>
                  <w:noWrap w:val="0"/>
                  <w:vAlign w:val="center"/>
                </w:tcPr>
                <w:p w14:paraId="442E7B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废表面处理剂包装桶</w:t>
                  </w:r>
                </w:p>
              </w:tc>
              <w:tc>
                <w:tcPr>
                  <w:tcW w:w="1361" w:type="pct"/>
                  <w:vMerge w:val="restart"/>
                  <w:noWrap w:val="0"/>
                  <w:vAlign w:val="center"/>
                </w:tcPr>
                <w:p w14:paraId="4A3B11DB">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委托有资质的单位进行回收处理</w:t>
                  </w:r>
                </w:p>
              </w:tc>
              <w:tc>
                <w:tcPr>
                  <w:tcW w:w="1538" w:type="pct"/>
                  <w:vMerge w:val="continue"/>
                  <w:noWrap w:val="0"/>
                  <w:vAlign w:val="center"/>
                </w:tcPr>
                <w:p w14:paraId="5AD022F6">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53FA5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72C45131">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continue"/>
                  <w:noWrap w:val="0"/>
                  <w:vAlign w:val="center"/>
                </w:tcPr>
                <w:p w14:paraId="331F5A34">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79" w:type="pct"/>
                  <w:noWrap w:val="0"/>
                  <w:vAlign w:val="center"/>
                </w:tcPr>
                <w:p w14:paraId="3650FD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预处理池泥渣及管道循环装置废物</w:t>
                  </w:r>
                </w:p>
              </w:tc>
              <w:tc>
                <w:tcPr>
                  <w:tcW w:w="1361" w:type="pct"/>
                  <w:vMerge w:val="continue"/>
                  <w:noWrap w:val="0"/>
                  <w:vAlign w:val="center"/>
                </w:tcPr>
                <w:p w14:paraId="70071919">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538" w:type="pct"/>
                  <w:vMerge w:val="continue"/>
                  <w:noWrap w:val="0"/>
                  <w:vAlign w:val="center"/>
                </w:tcPr>
                <w:p w14:paraId="3FF2FBD1">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1A64A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7D6BF052">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continue"/>
                  <w:noWrap w:val="0"/>
                  <w:vAlign w:val="center"/>
                </w:tcPr>
                <w:p w14:paraId="52544A18">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79" w:type="pct"/>
                  <w:noWrap w:val="0"/>
                  <w:vAlign w:val="center"/>
                </w:tcPr>
                <w:p w14:paraId="01BBD2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无铬钝化池废槽液</w:t>
                  </w:r>
                </w:p>
              </w:tc>
              <w:tc>
                <w:tcPr>
                  <w:tcW w:w="1361" w:type="pct"/>
                  <w:vMerge w:val="continue"/>
                  <w:noWrap w:val="0"/>
                  <w:vAlign w:val="center"/>
                </w:tcPr>
                <w:p w14:paraId="7E4A2E23">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538" w:type="pct"/>
                  <w:vMerge w:val="continue"/>
                  <w:noWrap w:val="0"/>
                  <w:vAlign w:val="center"/>
                </w:tcPr>
                <w:p w14:paraId="08BC4D45">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3D99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40DA70EA">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restart"/>
                  <w:noWrap w:val="0"/>
                  <w:vAlign w:val="center"/>
                </w:tcPr>
                <w:p w14:paraId="113804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废水处理设施</w:t>
                  </w:r>
                </w:p>
              </w:tc>
              <w:tc>
                <w:tcPr>
                  <w:tcW w:w="879" w:type="pct"/>
                  <w:noWrap w:val="0"/>
                  <w:vAlign w:val="center"/>
                </w:tcPr>
                <w:p w14:paraId="3D7369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废水处理站污泥</w:t>
                  </w:r>
                </w:p>
              </w:tc>
              <w:tc>
                <w:tcPr>
                  <w:tcW w:w="1361" w:type="pct"/>
                  <w:vMerge w:val="continue"/>
                  <w:noWrap w:val="0"/>
                  <w:vAlign w:val="center"/>
                </w:tcPr>
                <w:p w14:paraId="2F7B7641">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538" w:type="pct"/>
                  <w:vMerge w:val="continue"/>
                  <w:noWrap w:val="0"/>
                  <w:vAlign w:val="center"/>
                </w:tcPr>
                <w:p w14:paraId="3E43C2C3">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4CEC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114DA664">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continue"/>
                  <w:noWrap w:val="0"/>
                  <w:vAlign w:val="center"/>
                </w:tcPr>
                <w:p w14:paraId="2CD830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79" w:type="pct"/>
                  <w:noWrap w:val="0"/>
                  <w:vAlign w:val="center"/>
                </w:tcPr>
                <w:p w14:paraId="24CB2B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废pH调整剂包装桶</w:t>
                  </w:r>
                </w:p>
              </w:tc>
              <w:tc>
                <w:tcPr>
                  <w:tcW w:w="1361" w:type="pct"/>
                  <w:vMerge w:val="continue"/>
                  <w:noWrap w:val="0"/>
                  <w:vAlign w:val="center"/>
                </w:tcPr>
                <w:p w14:paraId="69867AF3">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538" w:type="pct"/>
                  <w:vMerge w:val="continue"/>
                  <w:noWrap w:val="0"/>
                  <w:vAlign w:val="center"/>
                </w:tcPr>
                <w:p w14:paraId="7B508187">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3ADD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30F03D28">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noWrap w:val="0"/>
                  <w:vAlign w:val="center"/>
                </w:tcPr>
                <w:p w14:paraId="72FD1B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废气治理设施</w:t>
                  </w:r>
                </w:p>
              </w:tc>
              <w:tc>
                <w:tcPr>
                  <w:tcW w:w="879" w:type="pct"/>
                  <w:noWrap w:val="0"/>
                  <w:vAlign w:val="center"/>
                </w:tcPr>
                <w:p w14:paraId="5B4AD1C2">
                  <w:pPr>
                    <w:pStyle w:val="109"/>
                    <w:pageBreakBefore w:val="0"/>
                    <w:tabs>
                      <w:tab w:val="left" w:pos="-2848"/>
                    </w:tabs>
                    <w:wordWrap w:val="0"/>
                    <w:topLinePunct/>
                    <w:bidi w:val="0"/>
                    <w:spacing w:beforeAutospacing="0" w:afterAutospacing="0"/>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废活性炭、废粉末涂料、废过滤棉、喷淋废液及沉渣、</w:t>
                  </w:r>
                  <w:r>
                    <w:rPr>
                      <w:rFonts w:hint="eastAsia" w:ascii="Times New Roman" w:hAnsi="Times New Roman" w:cs="Times New Roman"/>
                      <w:color w:val="000000" w:themeColor="text1"/>
                      <w:szCs w:val="21"/>
                      <w:lang w:val="en-US" w:eastAsia="zh-CN"/>
                      <w14:textFill>
                        <w14:solidFill>
                          <w14:schemeClr w14:val="tx1"/>
                        </w14:solidFill>
                      </w14:textFill>
                    </w:rPr>
                    <w:t>废静电喷粉滤芯</w:t>
                  </w:r>
                </w:p>
              </w:tc>
              <w:tc>
                <w:tcPr>
                  <w:tcW w:w="1361" w:type="pct"/>
                  <w:vMerge w:val="continue"/>
                  <w:noWrap w:val="0"/>
                  <w:vAlign w:val="center"/>
                </w:tcPr>
                <w:p w14:paraId="3BD472D8">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538" w:type="pct"/>
                  <w:vMerge w:val="continue"/>
                  <w:noWrap w:val="0"/>
                  <w:vAlign w:val="center"/>
                </w:tcPr>
                <w:p w14:paraId="69D3C2A4">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366E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6F243893">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restart"/>
                  <w:noWrap w:val="0"/>
                  <w:vAlign w:val="center"/>
                </w:tcPr>
                <w:p w14:paraId="4159D7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设备维护保养</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设备保养</w:t>
                  </w:r>
                </w:p>
              </w:tc>
              <w:tc>
                <w:tcPr>
                  <w:tcW w:w="879" w:type="pct"/>
                  <w:noWrap w:val="0"/>
                  <w:vAlign w:val="center"/>
                </w:tcPr>
                <w:p w14:paraId="44C84A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废机油桶</w:t>
                  </w:r>
                </w:p>
              </w:tc>
              <w:tc>
                <w:tcPr>
                  <w:tcW w:w="1361" w:type="pct"/>
                  <w:vMerge w:val="continue"/>
                  <w:noWrap w:val="0"/>
                  <w:vAlign w:val="center"/>
                </w:tcPr>
                <w:p w14:paraId="5A182CB2">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538" w:type="pct"/>
                  <w:vMerge w:val="continue"/>
                  <w:noWrap w:val="0"/>
                  <w:vAlign w:val="center"/>
                </w:tcPr>
                <w:p w14:paraId="3D339DEA">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3A0B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05316D58">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continue"/>
                  <w:noWrap w:val="0"/>
                  <w:vAlign w:val="center"/>
                </w:tcPr>
                <w:p w14:paraId="59476DF8">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79" w:type="pct"/>
                  <w:noWrap w:val="0"/>
                  <w:vAlign w:val="center"/>
                </w:tcPr>
                <w:p w14:paraId="5E16D5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废机油</w:t>
                  </w:r>
                </w:p>
              </w:tc>
              <w:tc>
                <w:tcPr>
                  <w:tcW w:w="1361" w:type="pct"/>
                  <w:vMerge w:val="continue"/>
                  <w:noWrap w:val="0"/>
                  <w:vAlign w:val="center"/>
                </w:tcPr>
                <w:p w14:paraId="0A223845">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538" w:type="pct"/>
                  <w:vMerge w:val="continue"/>
                  <w:noWrap w:val="0"/>
                  <w:vAlign w:val="center"/>
                </w:tcPr>
                <w:p w14:paraId="49DA73C9">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269D9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0A755D68">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continue"/>
                  <w:noWrap w:val="0"/>
                  <w:vAlign w:val="center"/>
                </w:tcPr>
                <w:p w14:paraId="534B0B9D">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79" w:type="pct"/>
                  <w:noWrap w:val="0"/>
                  <w:vAlign w:val="center"/>
                </w:tcPr>
                <w:p w14:paraId="307501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喷枪清洗废液</w:t>
                  </w:r>
                </w:p>
              </w:tc>
              <w:tc>
                <w:tcPr>
                  <w:tcW w:w="1361" w:type="pct"/>
                  <w:vMerge w:val="continue"/>
                  <w:noWrap w:val="0"/>
                  <w:vAlign w:val="center"/>
                </w:tcPr>
                <w:p w14:paraId="30E49DF2">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538" w:type="pct"/>
                  <w:vMerge w:val="continue"/>
                  <w:noWrap w:val="0"/>
                  <w:vAlign w:val="center"/>
                </w:tcPr>
                <w:p w14:paraId="51B95049">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42E57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6AB037E2">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continue"/>
                  <w:noWrap w:val="0"/>
                  <w:vAlign w:val="center"/>
                </w:tcPr>
                <w:p w14:paraId="600827CB">
                  <w:pPr>
                    <w:widowControl/>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79" w:type="pct"/>
                  <w:noWrap w:val="0"/>
                  <w:vAlign w:val="center"/>
                </w:tcPr>
                <w:p w14:paraId="29AD3D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废含油抹布手套</w:t>
                  </w:r>
                </w:p>
              </w:tc>
              <w:tc>
                <w:tcPr>
                  <w:tcW w:w="1361" w:type="pct"/>
                  <w:vMerge w:val="continue"/>
                  <w:noWrap w:val="0"/>
                  <w:vAlign w:val="center"/>
                </w:tcPr>
                <w:p w14:paraId="3927D464">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538" w:type="pct"/>
                  <w:vMerge w:val="continue"/>
                  <w:noWrap w:val="0"/>
                  <w:vAlign w:val="center"/>
                </w:tcPr>
                <w:p w14:paraId="11DD2EB1">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3029B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1A7823E1">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restart"/>
                  <w:noWrap w:val="0"/>
                  <w:vAlign w:val="center"/>
                </w:tcPr>
                <w:p w14:paraId="35BD64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钣金成型</w:t>
                  </w:r>
                </w:p>
              </w:tc>
              <w:tc>
                <w:tcPr>
                  <w:tcW w:w="879" w:type="pct"/>
                  <w:noWrap w:val="0"/>
                  <w:vAlign w:val="center"/>
                </w:tcPr>
                <w:p w14:paraId="615FBC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废液压油桶</w:t>
                  </w:r>
                </w:p>
              </w:tc>
              <w:tc>
                <w:tcPr>
                  <w:tcW w:w="1361" w:type="pct"/>
                  <w:vMerge w:val="continue"/>
                  <w:noWrap w:val="0"/>
                  <w:vAlign w:val="center"/>
                </w:tcPr>
                <w:p w14:paraId="00124581">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538" w:type="pct"/>
                  <w:vMerge w:val="continue"/>
                  <w:noWrap w:val="0"/>
                  <w:vAlign w:val="center"/>
                </w:tcPr>
                <w:p w14:paraId="153B209E">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5E25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vMerge w:val="continue"/>
                  <w:noWrap w:val="0"/>
                  <w:vAlign w:val="center"/>
                </w:tcPr>
                <w:p w14:paraId="74EE82EB">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14" w:type="pct"/>
                  <w:vMerge w:val="continue"/>
                  <w:noWrap w:val="0"/>
                  <w:vAlign w:val="center"/>
                </w:tcPr>
                <w:p w14:paraId="027411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79" w:type="pct"/>
                  <w:noWrap w:val="0"/>
                  <w:vAlign w:val="center"/>
                </w:tcPr>
                <w:p w14:paraId="709A75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废液压油</w:t>
                  </w:r>
                </w:p>
              </w:tc>
              <w:tc>
                <w:tcPr>
                  <w:tcW w:w="1361" w:type="pct"/>
                  <w:vMerge w:val="continue"/>
                  <w:noWrap w:val="0"/>
                  <w:vAlign w:val="center"/>
                </w:tcPr>
                <w:p w14:paraId="36B256EF">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538" w:type="pct"/>
                  <w:vMerge w:val="continue"/>
                  <w:noWrap w:val="0"/>
                  <w:vAlign w:val="center"/>
                </w:tcPr>
                <w:p w14:paraId="1D526530">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1EDB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7" w:type="pct"/>
                  <w:noWrap w:val="0"/>
                  <w:vAlign w:val="center"/>
                </w:tcPr>
                <w:p w14:paraId="15A4AB85">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噪声</w:t>
                  </w:r>
                </w:p>
              </w:tc>
              <w:tc>
                <w:tcPr>
                  <w:tcW w:w="1793" w:type="pct"/>
                  <w:gridSpan w:val="2"/>
                  <w:noWrap w:val="0"/>
                  <w:vAlign w:val="center"/>
                </w:tcPr>
                <w:p w14:paraId="68D0BA58">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设备运行噪声</w:t>
                  </w:r>
                </w:p>
              </w:tc>
              <w:tc>
                <w:tcPr>
                  <w:tcW w:w="1361" w:type="pct"/>
                  <w:noWrap w:val="0"/>
                  <w:vAlign w:val="center"/>
                </w:tcPr>
                <w:p w14:paraId="10F90326">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对必要设备采取减振、隔声等</w:t>
                  </w:r>
                </w:p>
              </w:tc>
              <w:tc>
                <w:tcPr>
                  <w:tcW w:w="1538" w:type="pct"/>
                  <w:noWrap w:val="0"/>
                  <w:vAlign w:val="center"/>
                </w:tcPr>
                <w:p w14:paraId="79276547">
                  <w:pPr>
                    <w:widowControl/>
                    <w:kinsoku/>
                    <w:autoSpaceDE/>
                    <w:autoSpaceDN/>
                    <w:adjustRightInd/>
                    <w:snapToGri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西、北厂界</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执行《工业企业厂界环境噪声排放标准》（GB12348-2008）3类</w:t>
                  </w:r>
                  <w:r>
                    <w:rPr>
                      <w:rFonts w:hint="eastAsia" w:cs="Times New Roman"/>
                      <w:color w:val="000000" w:themeColor="text1"/>
                      <w:sz w:val="21"/>
                      <w:szCs w:val="21"/>
                      <w:highlight w:val="none"/>
                      <w:lang w:val="en-US" w:eastAsia="zh-CN"/>
                      <w14:textFill>
                        <w14:solidFill>
                          <w14:schemeClr w14:val="tx1"/>
                        </w14:solidFill>
                      </w14:textFill>
                    </w:rPr>
                    <w:t>，东、南厂界执行</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w:t>
                  </w:r>
                  <w:r>
                    <w:rPr>
                      <w:rFonts w:hint="eastAsia" w:cs="Times New Roman"/>
                      <w:color w:val="000000" w:themeColor="text1"/>
                      <w:sz w:val="21"/>
                      <w:szCs w:val="21"/>
                      <w:highlight w:val="none"/>
                      <w:lang w:val="en-US" w:eastAsia="zh-CN"/>
                      <w14:textFill>
                        <w14:solidFill>
                          <w14:schemeClr w14:val="tx1"/>
                        </w14:solidFill>
                      </w14:textFill>
                    </w:rPr>
                    <w:t>a</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类标准</w:t>
                  </w:r>
                </w:p>
              </w:tc>
            </w:tr>
          </w:tbl>
          <w:p w14:paraId="643D2D72">
            <w:pPr>
              <w:pStyle w:val="76"/>
              <w:rPr>
                <w:rFonts w:hint="default" w:ascii="Times New Roman" w:hAnsi="Times New Roman" w:eastAsia="宋体" w:cs="Times New Roman"/>
                <w:color w:val="000000" w:themeColor="text1"/>
                <w:sz w:val="24"/>
                <w:highlight w:val="none"/>
                <w14:textFill>
                  <w14:solidFill>
                    <w14:schemeClr w14:val="tx1"/>
                  </w14:solidFill>
                </w14:textFill>
              </w:rPr>
            </w:pPr>
          </w:p>
        </w:tc>
      </w:tr>
    </w:tbl>
    <w:p w14:paraId="2C591158">
      <w:pPr>
        <w:pStyle w:val="76"/>
        <w:rPr>
          <w:rFonts w:hint="eastAsia"/>
          <w:color w:val="000000" w:themeColor="text1"/>
          <w:highlight w:val="none"/>
          <w14:textFill>
            <w14:solidFill>
              <w14:schemeClr w14:val="tx1"/>
            </w14:solidFill>
          </w14:textFill>
        </w:rPr>
        <w:sectPr>
          <w:pgSz w:w="11907" w:h="16840"/>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0365DF2B">
      <w:pPr>
        <w:pStyle w:val="41"/>
        <w:jc w:val="center"/>
        <w:outlineLvl w:val="0"/>
        <w:rPr>
          <w:rFonts w:ascii="黑体" w:hAnsi="黑体" w:eastAsia="黑体"/>
          <w:snapToGrid w:val="0"/>
          <w:color w:val="000000" w:themeColor="text1"/>
          <w:sz w:val="30"/>
          <w:szCs w:val="30"/>
          <w:highlight w:val="none"/>
          <w14:textFill>
            <w14:solidFill>
              <w14:schemeClr w14:val="tx1"/>
            </w14:solidFill>
          </w14:textFill>
        </w:rPr>
      </w:pPr>
      <w:bookmarkStart w:id="36" w:name="_Toc30264"/>
      <w:bookmarkStart w:id="37" w:name="_Toc7803"/>
      <w:bookmarkStart w:id="38" w:name="_Toc5281"/>
      <w:bookmarkStart w:id="39" w:name="_Toc24765"/>
      <w:r>
        <w:rPr>
          <w:rFonts w:hint="eastAsia" w:ascii="黑体" w:hAnsi="黑体" w:eastAsia="黑体"/>
          <w:snapToGrid w:val="0"/>
          <w:color w:val="000000" w:themeColor="text1"/>
          <w:sz w:val="30"/>
          <w:szCs w:val="30"/>
          <w:highlight w:val="none"/>
          <w14:textFill>
            <w14:solidFill>
              <w14:schemeClr w14:val="tx1"/>
            </w14:solidFill>
          </w14:textFill>
        </w:rPr>
        <w:t>五、</w:t>
      </w:r>
      <w:bookmarkStart w:id="40" w:name="_Hlk54167917"/>
      <w:r>
        <w:rPr>
          <w:rFonts w:hint="eastAsia" w:ascii="黑体" w:hAnsi="黑体" w:eastAsia="黑体"/>
          <w:snapToGrid w:val="0"/>
          <w:color w:val="000000" w:themeColor="text1"/>
          <w:sz w:val="30"/>
          <w:szCs w:val="30"/>
          <w:highlight w:val="none"/>
          <w14:textFill>
            <w14:solidFill>
              <w14:schemeClr w14:val="tx1"/>
            </w14:solidFill>
          </w14:textFill>
        </w:rPr>
        <w:t>环境保护措施监督检查清单</w:t>
      </w:r>
      <w:bookmarkEnd w:id="36"/>
      <w:bookmarkEnd w:id="37"/>
      <w:bookmarkEnd w:id="38"/>
      <w:bookmarkEnd w:id="39"/>
      <w:bookmarkEnd w:id="40"/>
    </w:p>
    <w:tbl>
      <w:tblPr>
        <w:tblStyle w:val="4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487"/>
        <w:gridCol w:w="970"/>
        <w:gridCol w:w="1560"/>
        <w:gridCol w:w="2085"/>
        <w:gridCol w:w="2175"/>
      </w:tblGrid>
      <w:tr w14:paraId="60A4E5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3" w:type="dxa"/>
            <w:tcBorders>
              <w:tl2br w:val="single" w:color="auto" w:sz="4" w:space="0"/>
            </w:tcBorders>
            <w:noWrap w:val="0"/>
            <w:vAlign w:val="top"/>
          </w:tcPr>
          <w:p w14:paraId="19772E38">
            <w:pPr>
              <w:adjustRightInd w:val="0"/>
              <w:snapToGrid w:val="0"/>
              <w:jc w:val="right"/>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内容</w:t>
            </w:r>
          </w:p>
          <w:p w14:paraId="529E41BC">
            <w:pPr>
              <w:adjustRightInd w:val="0"/>
              <w:snapToGrid w:val="0"/>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要素</w:t>
            </w:r>
          </w:p>
        </w:tc>
        <w:tc>
          <w:tcPr>
            <w:tcW w:w="1457" w:type="dxa"/>
            <w:gridSpan w:val="2"/>
            <w:noWrap w:val="0"/>
            <w:vAlign w:val="center"/>
          </w:tcPr>
          <w:p w14:paraId="6A2C3AC3">
            <w:pPr>
              <w:adjustRightInd w:val="0"/>
              <w:snapToGrid w:val="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排放口(编号、名称)/污染源</w:t>
            </w:r>
          </w:p>
        </w:tc>
        <w:tc>
          <w:tcPr>
            <w:tcW w:w="1560" w:type="dxa"/>
            <w:noWrap w:val="0"/>
            <w:vAlign w:val="center"/>
          </w:tcPr>
          <w:p w14:paraId="202639B6">
            <w:pPr>
              <w:adjustRightInd w:val="0"/>
              <w:snapToGrid w:val="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污染物项目</w:t>
            </w:r>
          </w:p>
        </w:tc>
        <w:tc>
          <w:tcPr>
            <w:tcW w:w="2085" w:type="dxa"/>
            <w:noWrap w:val="0"/>
            <w:vAlign w:val="center"/>
          </w:tcPr>
          <w:p w14:paraId="36078948">
            <w:pPr>
              <w:adjustRightInd w:val="0"/>
              <w:snapToGrid w:val="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环境保护措施</w:t>
            </w:r>
          </w:p>
        </w:tc>
        <w:tc>
          <w:tcPr>
            <w:tcW w:w="2175" w:type="dxa"/>
            <w:noWrap w:val="0"/>
            <w:vAlign w:val="center"/>
          </w:tcPr>
          <w:p w14:paraId="6FD8ED99">
            <w:pPr>
              <w:adjustRightInd w:val="0"/>
              <w:snapToGrid w:val="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执行标准</w:t>
            </w:r>
          </w:p>
        </w:tc>
      </w:tr>
      <w:tr w14:paraId="08E271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3" w:type="dxa"/>
            <w:vMerge w:val="restart"/>
            <w:noWrap w:val="0"/>
            <w:vAlign w:val="center"/>
          </w:tcPr>
          <w:p w14:paraId="775485B6">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大气环境</w:t>
            </w:r>
          </w:p>
        </w:tc>
        <w:tc>
          <w:tcPr>
            <w:tcW w:w="1457" w:type="dxa"/>
            <w:gridSpan w:val="2"/>
            <w:vMerge w:val="restart"/>
            <w:shd w:val="clear" w:color="auto" w:fill="auto"/>
            <w:noWrap w:val="0"/>
            <w:vAlign w:val="center"/>
          </w:tcPr>
          <w:p w14:paraId="3BD5C675">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喷漆废气（</w:t>
            </w:r>
            <w:r>
              <w:rPr>
                <w:rFonts w:hint="eastAsia" w:cs="Times New Roman"/>
                <w:color w:val="000000" w:themeColor="text1"/>
                <w:sz w:val="21"/>
                <w:szCs w:val="21"/>
                <w:highlight w:val="none"/>
                <w:lang w:val="en-US" w:eastAsia="zh-CN"/>
                <w14:textFill>
                  <w14:solidFill>
                    <w14:schemeClr w14:val="tx1"/>
                  </w14:solidFill>
                </w14:textFill>
              </w:rPr>
              <w:t>DA001</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1560" w:type="dxa"/>
            <w:shd w:val="clear" w:color="auto" w:fill="auto"/>
            <w:noWrap w:val="0"/>
            <w:vAlign w:val="center"/>
          </w:tcPr>
          <w:p w14:paraId="0134FF30">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颗粒物</w:t>
            </w:r>
          </w:p>
        </w:tc>
        <w:tc>
          <w:tcPr>
            <w:tcW w:w="2085" w:type="dxa"/>
            <w:vMerge w:val="restart"/>
            <w:shd w:val="clear" w:color="auto" w:fill="auto"/>
            <w:noWrap w:val="0"/>
            <w:vAlign w:val="center"/>
          </w:tcPr>
          <w:p w14:paraId="13C20419">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经</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喷淋</w:t>
            </w:r>
            <w:r>
              <w:rPr>
                <w:rFonts w:hint="default" w:ascii="Times New Roman" w:hAnsi="Times New Roman" w:eastAsia="宋体" w:cs="Times New Roman"/>
                <w:color w:val="000000" w:themeColor="text1"/>
                <w:sz w:val="21"/>
                <w:szCs w:val="21"/>
                <w:highlight w:val="none"/>
                <w14:textFill>
                  <w14:solidFill>
                    <w14:schemeClr w14:val="tx1"/>
                  </w14:solidFill>
                </w14:textFill>
              </w:rPr>
              <w:t>+干式过滤器+</w:t>
            </w:r>
            <w:r>
              <w:rPr>
                <w:rFonts w:hint="eastAsia" w:cs="Times New Roman"/>
                <w:color w:val="000000" w:themeColor="text1"/>
                <w:sz w:val="21"/>
                <w:szCs w:val="21"/>
                <w:highlight w:val="none"/>
                <w:lang w:eastAsia="zh-CN"/>
                <w14:textFill>
                  <w14:solidFill>
                    <w14:schemeClr w14:val="tx1"/>
                  </w14:solidFill>
                </w14:textFill>
              </w:rPr>
              <w:t>活性炭吸脱附+催化燃烧+活性炭吸附</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处理后，</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引至15</w:t>
            </w:r>
            <w:r>
              <w:rPr>
                <w:rFonts w:hint="default" w:ascii="Times New Roman" w:hAnsi="Times New Roman" w:eastAsia="宋体" w:cs="Times New Roman"/>
                <w:color w:val="000000" w:themeColor="text1"/>
                <w:sz w:val="21"/>
                <w:szCs w:val="21"/>
                <w:highlight w:val="none"/>
                <w14:textFill>
                  <w14:solidFill>
                    <w14:schemeClr w14:val="tx1"/>
                  </w14:solidFill>
                </w14:textFill>
              </w:rPr>
              <w:t>m高</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的</w:t>
            </w:r>
            <w:r>
              <w:rPr>
                <w:rFonts w:hint="default" w:ascii="Times New Roman" w:hAnsi="Times New Roman" w:eastAsia="宋体" w:cs="Times New Roman"/>
                <w:color w:val="000000" w:themeColor="text1"/>
                <w:sz w:val="21"/>
                <w:szCs w:val="21"/>
                <w:highlight w:val="none"/>
                <w14:textFill>
                  <w14:solidFill>
                    <w14:schemeClr w14:val="tx1"/>
                  </w14:solidFill>
                </w14:textFill>
              </w:rPr>
              <w:t>排气筒（</w:t>
            </w:r>
            <w:r>
              <w:rPr>
                <w:rFonts w:hint="eastAsia" w:cs="Times New Roman"/>
                <w:color w:val="000000" w:themeColor="text1"/>
                <w:sz w:val="21"/>
                <w:szCs w:val="21"/>
                <w:highlight w:val="none"/>
                <w:lang w:eastAsia="zh-CN"/>
                <w14:textFill>
                  <w14:solidFill>
                    <w14:schemeClr w14:val="tx1"/>
                  </w14:solidFill>
                </w14:textFill>
              </w:rPr>
              <w:t>DA00</w:t>
            </w:r>
            <w:r>
              <w:rPr>
                <w:rFonts w:hint="eastAsia"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highlight w:val="none"/>
                <w14:textFill>
                  <w14:solidFill>
                    <w14:schemeClr w14:val="tx1"/>
                  </w14:solidFill>
                </w14:textFill>
              </w:rPr>
              <w:t>）排放</w:t>
            </w:r>
          </w:p>
        </w:tc>
        <w:tc>
          <w:tcPr>
            <w:tcW w:w="2175" w:type="dxa"/>
            <w:shd w:val="clear" w:color="auto" w:fill="auto"/>
            <w:noWrap w:val="0"/>
            <w:vAlign w:val="center"/>
          </w:tcPr>
          <w:p w14:paraId="68D61510">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广东省《大气污染物排放限值》（DB44/27-2001）第二时段</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排放限值</w:t>
            </w:r>
          </w:p>
        </w:tc>
      </w:tr>
      <w:tr w14:paraId="23E84E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523" w:type="dxa"/>
            <w:vMerge w:val="continue"/>
            <w:noWrap w:val="0"/>
            <w:vAlign w:val="center"/>
          </w:tcPr>
          <w:p w14:paraId="5913E1E6">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457" w:type="dxa"/>
            <w:gridSpan w:val="2"/>
            <w:vMerge w:val="continue"/>
            <w:noWrap w:val="0"/>
            <w:vAlign w:val="center"/>
          </w:tcPr>
          <w:p w14:paraId="0AAD904F">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60" w:type="dxa"/>
            <w:shd w:val="clear" w:color="auto" w:fill="auto"/>
            <w:noWrap w:val="0"/>
            <w:vAlign w:val="center"/>
          </w:tcPr>
          <w:p w14:paraId="105E4721">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非甲烷总烃</w:t>
            </w:r>
          </w:p>
        </w:tc>
        <w:tc>
          <w:tcPr>
            <w:tcW w:w="2085" w:type="dxa"/>
            <w:vMerge w:val="continue"/>
            <w:noWrap w:val="0"/>
            <w:vAlign w:val="center"/>
          </w:tcPr>
          <w:p w14:paraId="4D7DB3B4">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175" w:type="dxa"/>
            <w:vMerge w:val="restart"/>
            <w:shd w:val="clear" w:color="auto" w:fill="auto"/>
            <w:noWrap w:val="0"/>
            <w:vAlign w:val="center"/>
          </w:tcPr>
          <w:p w14:paraId="3969FB10">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广东省《固定污染源挥发性有机物综合排放标准》（DB44/2367-2022）表1挥发性有机物排放限值</w:t>
            </w:r>
          </w:p>
        </w:tc>
      </w:tr>
      <w:tr w14:paraId="660367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3" w:type="dxa"/>
            <w:vMerge w:val="continue"/>
            <w:noWrap w:val="0"/>
            <w:vAlign w:val="center"/>
          </w:tcPr>
          <w:p w14:paraId="34DFD897">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457" w:type="dxa"/>
            <w:gridSpan w:val="2"/>
            <w:vMerge w:val="continue"/>
            <w:noWrap w:val="0"/>
            <w:vAlign w:val="center"/>
          </w:tcPr>
          <w:p w14:paraId="6F6D18C0">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60" w:type="dxa"/>
            <w:shd w:val="clear" w:color="auto" w:fill="auto"/>
            <w:noWrap w:val="0"/>
            <w:vAlign w:val="center"/>
          </w:tcPr>
          <w:p w14:paraId="23C1DCE2">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苯系物</w:t>
            </w:r>
          </w:p>
        </w:tc>
        <w:tc>
          <w:tcPr>
            <w:tcW w:w="2085" w:type="dxa"/>
            <w:vMerge w:val="continue"/>
            <w:noWrap w:val="0"/>
            <w:vAlign w:val="center"/>
          </w:tcPr>
          <w:p w14:paraId="3123C2C6">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175" w:type="dxa"/>
            <w:vMerge w:val="continue"/>
            <w:noWrap w:val="0"/>
            <w:vAlign w:val="center"/>
          </w:tcPr>
          <w:p w14:paraId="73AF666F">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EC540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3" w:type="dxa"/>
            <w:vMerge w:val="continue"/>
            <w:noWrap w:val="0"/>
            <w:vAlign w:val="center"/>
          </w:tcPr>
          <w:p w14:paraId="450B402D">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457" w:type="dxa"/>
            <w:gridSpan w:val="2"/>
            <w:vMerge w:val="continue"/>
            <w:noWrap w:val="0"/>
            <w:vAlign w:val="center"/>
          </w:tcPr>
          <w:p w14:paraId="7698D209">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60" w:type="dxa"/>
            <w:shd w:val="clear" w:color="auto" w:fill="auto"/>
            <w:noWrap w:val="0"/>
            <w:vAlign w:val="center"/>
          </w:tcPr>
          <w:p w14:paraId="77D0019F">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臭气浓度</w:t>
            </w:r>
          </w:p>
        </w:tc>
        <w:tc>
          <w:tcPr>
            <w:tcW w:w="2085" w:type="dxa"/>
            <w:vMerge w:val="continue"/>
            <w:noWrap w:val="0"/>
            <w:vAlign w:val="center"/>
          </w:tcPr>
          <w:p w14:paraId="1FAFBBC8">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175" w:type="dxa"/>
            <w:shd w:val="clear" w:color="auto" w:fill="auto"/>
            <w:noWrap w:val="0"/>
            <w:vAlign w:val="center"/>
          </w:tcPr>
          <w:p w14:paraId="322B1307">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《恶臭污染物排放标准》（</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GB 14554-1993</w:t>
            </w:r>
            <w:r>
              <w:rPr>
                <w:rFonts w:hint="default" w:ascii="Times New Roman" w:hAnsi="Times New Roman" w:eastAsia="宋体" w:cs="Times New Roman"/>
                <w:color w:val="000000" w:themeColor="text1"/>
                <w:sz w:val="21"/>
                <w:szCs w:val="21"/>
                <w:highlight w:val="none"/>
                <w14:textFill>
                  <w14:solidFill>
                    <w14:schemeClr w14:val="tx1"/>
                  </w14:solidFill>
                </w14:textFill>
              </w:rPr>
              <w:t>）表2恶臭污染物排放标准及表1新扩改建二级厂界标准值</w:t>
            </w:r>
          </w:p>
        </w:tc>
      </w:tr>
      <w:tr w14:paraId="5BDC3D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3" w:type="dxa"/>
            <w:vMerge w:val="continue"/>
            <w:noWrap w:val="0"/>
            <w:vAlign w:val="center"/>
          </w:tcPr>
          <w:p w14:paraId="7F564F90">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457" w:type="dxa"/>
            <w:gridSpan w:val="2"/>
            <w:vMerge w:val="restart"/>
            <w:noWrap w:val="0"/>
            <w:vAlign w:val="center"/>
          </w:tcPr>
          <w:p w14:paraId="5D73C43E">
            <w:pPr>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固化废气（</w:t>
            </w:r>
            <w:r>
              <w:rPr>
                <w:rFonts w:hint="eastAsia" w:cs="Times New Roman"/>
                <w:color w:val="000000" w:themeColor="text1"/>
                <w:sz w:val="21"/>
                <w:szCs w:val="21"/>
                <w:highlight w:val="none"/>
                <w:lang w:val="en-US" w:eastAsia="zh-CN"/>
                <w14:textFill>
                  <w14:solidFill>
                    <w14:schemeClr w14:val="tx1"/>
                  </w14:solidFill>
                </w14:textFill>
              </w:rPr>
              <w:t>DA002</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1560" w:type="dxa"/>
            <w:noWrap w:val="0"/>
            <w:vAlign w:val="center"/>
          </w:tcPr>
          <w:p w14:paraId="2B503D7C">
            <w:pPr>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非甲烷总烃</w:t>
            </w:r>
            <w:r>
              <w:rPr>
                <w:rFonts w:hint="eastAsia" w:cs="Times New Roman"/>
                <w:color w:val="000000" w:themeColor="text1"/>
                <w:sz w:val="21"/>
                <w:szCs w:val="21"/>
                <w:highlight w:val="none"/>
                <w:lang w:val="en-US" w:eastAsia="zh-CN"/>
                <w14:textFill>
                  <w14:solidFill>
                    <w14:schemeClr w14:val="tx1"/>
                  </w14:solidFill>
                </w14:textFill>
              </w:rPr>
              <w:t>、苯系物</w:t>
            </w:r>
          </w:p>
        </w:tc>
        <w:tc>
          <w:tcPr>
            <w:tcW w:w="2085" w:type="dxa"/>
            <w:vMerge w:val="restart"/>
            <w:noWrap w:val="0"/>
            <w:vAlign w:val="center"/>
          </w:tcPr>
          <w:p w14:paraId="6BB013DF">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经</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喷淋</w:t>
            </w:r>
            <w:r>
              <w:rPr>
                <w:rFonts w:hint="default" w:ascii="Times New Roman" w:hAnsi="Times New Roman" w:eastAsia="宋体" w:cs="Times New Roman"/>
                <w:color w:val="000000" w:themeColor="text1"/>
                <w:sz w:val="21"/>
                <w:szCs w:val="21"/>
                <w:highlight w:val="none"/>
                <w14:textFill>
                  <w14:solidFill>
                    <w14:schemeClr w14:val="tx1"/>
                  </w14:solidFill>
                </w14:textFill>
              </w:rPr>
              <w:t>+干式过滤器+</w:t>
            </w:r>
            <w:r>
              <w:rPr>
                <w:rFonts w:hint="eastAsia"/>
                <w:color w:val="000000" w:themeColor="text1"/>
                <w:lang w:val="en-US" w:eastAsia="zh-CN"/>
                <w14:textFill>
                  <w14:solidFill>
                    <w14:schemeClr w14:val="tx1"/>
                  </w14:solidFill>
                </w14:textFill>
              </w:rPr>
              <w:t>二级活性炭吸附</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处理后，</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引至15</w:t>
            </w:r>
            <w:r>
              <w:rPr>
                <w:rFonts w:hint="default" w:ascii="Times New Roman" w:hAnsi="Times New Roman" w:eastAsia="宋体" w:cs="Times New Roman"/>
                <w:color w:val="000000" w:themeColor="text1"/>
                <w:sz w:val="21"/>
                <w:szCs w:val="21"/>
                <w:highlight w:val="none"/>
                <w14:textFill>
                  <w14:solidFill>
                    <w14:schemeClr w14:val="tx1"/>
                  </w14:solidFill>
                </w14:textFill>
              </w:rPr>
              <w:t>m高</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的</w:t>
            </w:r>
            <w:r>
              <w:rPr>
                <w:rFonts w:hint="default" w:ascii="Times New Roman" w:hAnsi="Times New Roman" w:eastAsia="宋体" w:cs="Times New Roman"/>
                <w:color w:val="000000" w:themeColor="text1"/>
                <w:sz w:val="21"/>
                <w:szCs w:val="21"/>
                <w:highlight w:val="none"/>
                <w14:textFill>
                  <w14:solidFill>
                    <w14:schemeClr w14:val="tx1"/>
                  </w14:solidFill>
                </w14:textFill>
              </w:rPr>
              <w:t>排气筒（</w:t>
            </w:r>
            <w:r>
              <w:rPr>
                <w:rFonts w:hint="eastAsia" w:cs="Times New Roman"/>
                <w:color w:val="000000" w:themeColor="text1"/>
                <w:sz w:val="21"/>
                <w:szCs w:val="21"/>
                <w:highlight w:val="none"/>
                <w:lang w:eastAsia="zh-CN"/>
                <w14:textFill>
                  <w14:solidFill>
                    <w14:schemeClr w14:val="tx1"/>
                  </w14:solidFill>
                </w14:textFill>
              </w:rPr>
              <w:t>DA00</w:t>
            </w:r>
            <w:r>
              <w:rPr>
                <w:rFonts w:hint="eastAsia"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）排放</w:t>
            </w:r>
          </w:p>
        </w:tc>
        <w:tc>
          <w:tcPr>
            <w:tcW w:w="2175" w:type="dxa"/>
            <w:shd w:val="clear" w:color="auto" w:fill="auto"/>
            <w:noWrap w:val="0"/>
            <w:vAlign w:val="center"/>
          </w:tcPr>
          <w:p w14:paraId="0D7DBBB3">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广东省《固定污染源挥发性有机物综合排放标准》（DB44/2367-2022）表1挥发性有机物排放限值</w:t>
            </w:r>
          </w:p>
        </w:tc>
      </w:tr>
      <w:tr w14:paraId="19822D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3" w:type="dxa"/>
            <w:vMerge w:val="continue"/>
            <w:noWrap w:val="0"/>
            <w:vAlign w:val="center"/>
          </w:tcPr>
          <w:p w14:paraId="5051048F">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457" w:type="dxa"/>
            <w:gridSpan w:val="2"/>
            <w:vMerge w:val="continue"/>
            <w:noWrap w:val="0"/>
            <w:vAlign w:val="center"/>
          </w:tcPr>
          <w:p w14:paraId="6C9C3254">
            <w:pPr>
              <w:adjustRightInd w:val="0"/>
              <w:snapToGrid w:val="0"/>
              <w:spacing w:line="240" w:lineRule="auto"/>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560" w:type="dxa"/>
            <w:noWrap w:val="0"/>
            <w:vAlign w:val="center"/>
          </w:tcPr>
          <w:p w14:paraId="60C6BFBD">
            <w:pPr>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臭气浓度</w:t>
            </w:r>
          </w:p>
        </w:tc>
        <w:tc>
          <w:tcPr>
            <w:tcW w:w="2085" w:type="dxa"/>
            <w:vMerge w:val="continue"/>
            <w:noWrap w:val="0"/>
            <w:vAlign w:val="center"/>
          </w:tcPr>
          <w:p w14:paraId="6DAC66FD">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175" w:type="dxa"/>
            <w:shd w:val="clear" w:color="auto" w:fill="auto"/>
            <w:noWrap w:val="0"/>
            <w:vAlign w:val="center"/>
          </w:tcPr>
          <w:p w14:paraId="490BBF73">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《恶臭污染物排放标准》（</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GB 14554-1993</w:t>
            </w:r>
            <w:r>
              <w:rPr>
                <w:rFonts w:hint="default" w:ascii="Times New Roman" w:hAnsi="Times New Roman" w:eastAsia="宋体" w:cs="Times New Roman"/>
                <w:color w:val="000000" w:themeColor="text1"/>
                <w:sz w:val="21"/>
                <w:szCs w:val="21"/>
                <w:highlight w:val="none"/>
                <w14:textFill>
                  <w14:solidFill>
                    <w14:schemeClr w14:val="tx1"/>
                  </w14:solidFill>
                </w14:textFill>
              </w:rPr>
              <w:t>）表2恶臭污染物排放标准</w:t>
            </w:r>
          </w:p>
        </w:tc>
      </w:tr>
      <w:tr w14:paraId="59C323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3" w:type="dxa"/>
            <w:vMerge w:val="continue"/>
            <w:noWrap w:val="0"/>
            <w:vAlign w:val="center"/>
          </w:tcPr>
          <w:p w14:paraId="1DD907C2">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457" w:type="dxa"/>
            <w:gridSpan w:val="2"/>
            <w:vMerge w:val="continue"/>
            <w:noWrap w:val="0"/>
            <w:vAlign w:val="center"/>
          </w:tcPr>
          <w:p w14:paraId="3549FFE6">
            <w:pPr>
              <w:adjustRightInd w:val="0"/>
              <w:snapToGrid w:val="0"/>
              <w:spacing w:line="240" w:lineRule="auto"/>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560" w:type="dxa"/>
            <w:noWrap w:val="0"/>
            <w:vAlign w:val="center"/>
          </w:tcPr>
          <w:p w14:paraId="153CC427">
            <w:pPr>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颗粒物</w:t>
            </w:r>
          </w:p>
        </w:tc>
        <w:tc>
          <w:tcPr>
            <w:tcW w:w="2085" w:type="dxa"/>
            <w:vMerge w:val="continue"/>
            <w:noWrap w:val="0"/>
            <w:vAlign w:val="center"/>
          </w:tcPr>
          <w:p w14:paraId="31C0C3BA">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175" w:type="dxa"/>
            <w:vMerge w:val="restart"/>
            <w:shd w:val="clear" w:color="auto" w:fill="auto"/>
            <w:noWrap w:val="0"/>
            <w:vAlign w:val="center"/>
          </w:tcPr>
          <w:p w14:paraId="03D93AE2">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广东省《大气污染物排放限值》（DB44/27-2001）第二时段二级标准与《关于印发&lt;工业炉窑大气污染综合治理方案&gt;的通知》（环大气〔2019〕56号）和《关于贯彻落实&lt;工业炉窑大气污染物综合治理方案&gt;的实施意见》（粤环函〔2019〕1112号）中颗粒物、二氧化硫、氮氧化物排放限值较严值</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烟气黑度执行《工业炉窑大气污染物排放标准》（GB 9078-1996）</w:t>
            </w:r>
          </w:p>
        </w:tc>
      </w:tr>
      <w:tr w14:paraId="4AB8DE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3" w:type="dxa"/>
            <w:vMerge w:val="continue"/>
            <w:noWrap w:val="0"/>
            <w:vAlign w:val="center"/>
          </w:tcPr>
          <w:p w14:paraId="40D0E476">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457" w:type="dxa"/>
            <w:gridSpan w:val="2"/>
            <w:vMerge w:val="continue"/>
            <w:noWrap w:val="0"/>
            <w:vAlign w:val="center"/>
          </w:tcPr>
          <w:p w14:paraId="437BCD13">
            <w:pPr>
              <w:adjustRightInd w:val="0"/>
              <w:snapToGrid w:val="0"/>
              <w:spacing w:line="240" w:lineRule="auto"/>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560" w:type="dxa"/>
            <w:noWrap w:val="0"/>
            <w:vAlign w:val="center"/>
          </w:tcPr>
          <w:p w14:paraId="5FF1409F">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氮氧化物、二氧化硫</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烟气黑度</w:t>
            </w:r>
          </w:p>
        </w:tc>
        <w:tc>
          <w:tcPr>
            <w:tcW w:w="2085" w:type="dxa"/>
            <w:vMerge w:val="continue"/>
            <w:noWrap w:val="0"/>
            <w:vAlign w:val="center"/>
          </w:tcPr>
          <w:p w14:paraId="63275458">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175" w:type="dxa"/>
            <w:vMerge w:val="continue"/>
            <w:noWrap w:val="0"/>
            <w:vAlign w:val="center"/>
          </w:tcPr>
          <w:p w14:paraId="47C23391">
            <w:pPr>
              <w:adjustRightInd w:val="0"/>
              <w:snapToGrid w:val="0"/>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0724FF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3" w:type="dxa"/>
            <w:vMerge w:val="continue"/>
            <w:noWrap w:val="0"/>
            <w:vAlign w:val="center"/>
          </w:tcPr>
          <w:p w14:paraId="45728363">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457" w:type="dxa"/>
            <w:gridSpan w:val="2"/>
            <w:noWrap w:val="0"/>
            <w:vAlign w:val="center"/>
          </w:tcPr>
          <w:p w14:paraId="2E2504B0">
            <w:pPr>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职工生活</w:t>
            </w:r>
          </w:p>
        </w:tc>
        <w:tc>
          <w:tcPr>
            <w:tcW w:w="1560" w:type="dxa"/>
            <w:noWrap w:val="0"/>
            <w:vAlign w:val="center"/>
          </w:tcPr>
          <w:p w14:paraId="4FC1C6E9">
            <w:pPr>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食堂油烟</w:t>
            </w:r>
          </w:p>
        </w:tc>
        <w:tc>
          <w:tcPr>
            <w:tcW w:w="2085" w:type="dxa"/>
            <w:noWrap w:val="0"/>
            <w:vAlign w:val="center"/>
          </w:tcPr>
          <w:p w14:paraId="64217E16">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经收集后引至高效静电油烟净化器处理，处理达标后尾气引至</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宿舍楼一层楼顶</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排放（</w:t>
            </w:r>
            <w:r>
              <w:rPr>
                <w:rFonts w:hint="eastAsia" w:cs="Times New Roman"/>
                <w:color w:val="000000" w:themeColor="text1"/>
                <w:sz w:val="21"/>
                <w:szCs w:val="21"/>
                <w:highlight w:val="none"/>
                <w:lang w:eastAsia="zh-CN"/>
                <w14:textFill>
                  <w14:solidFill>
                    <w14:schemeClr w14:val="tx1"/>
                  </w14:solidFill>
                </w14:textFill>
              </w:rPr>
              <w:t>DA00</w:t>
            </w:r>
            <w:r>
              <w:rPr>
                <w:rFonts w:hint="eastAsia"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p>
        </w:tc>
        <w:tc>
          <w:tcPr>
            <w:tcW w:w="2175" w:type="dxa"/>
            <w:noWrap w:val="0"/>
            <w:vAlign w:val="center"/>
          </w:tcPr>
          <w:p w14:paraId="2D2E75F9">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达到《饮食业油烟排放标准</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（试行）》</w:t>
            </w:r>
            <w:r>
              <w:rPr>
                <w:rFonts w:hint="default" w:ascii="Times New Roman" w:hAnsi="Times New Roman" w:eastAsia="宋体" w:cs="Times New Roman"/>
                <w:color w:val="000000" w:themeColor="text1"/>
                <w:sz w:val="21"/>
                <w:szCs w:val="21"/>
                <w:highlight w:val="none"/>
                <w14:textFill>
                  <w14:solidFill>
                    <w14:schemeClr w14:val="tx1"/>
                  </w14:solidFill>
                </w14:textFill>
              </w:rPr>
              <w:t>（GB18483-2001）</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中型</w:t>
            </w:r>
            <w:r>
              <w:rPr>
                <w:rFonts w:hint="default" w:ascii="Times New Roman" w:hAnsi="Times New Roman" w:eastAsia="宋体" w:cs="Times New Roman"/>
                <w:color w:val="000000" w:themeColor="text1"/>
                <w:sz w:val="21"/>
                <w:szCs w:val="21"/>
                <w:highlight w:val="none"/>
                <w14:textFill>
                  <w14:solidFill>
                    <w14:schemeClr w14:val="tx1"/>
                  </w14:solidFill>
                </w14:textFill>
              </w:rPr>
              <w:t>规模标准</w:t>
            </w:r>
          </w:p>
        </w:tc>
      </w:tr>
      <w:tr w14:paraId="6CD149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3" w:type="dxa"/>
            <w:vMerge w:val="continue"/>
            <w:noWrap w:val="0"/>
            <w:vAlign w:val="center"/>
          </w:tcPr>
          <w:p w14:paraId="354CE45F">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457" w:type="dxa"/>
            <w:gridSpan w:val="2"/>
            <w:vMerge w:val="restart"/>
            <w:noWrap w:val="0"/>
            <w:vAlign w:val="center"/>
          </w:tcPr>
          <w:p w14:paraId="748A122E">
            <w:pPr>
              <w:adjustRightInd w:val="0"/>
              <w:snapToGrid w:val="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厂界</w:t>
            </w:r>
          </w:p>
        </w:tc>
        <w:tc>
          <w:tcPr>
            <w:tcW w:w="1560" w:type="dxa"/>
            <w:noWrap w:val="0"/>
            <w:vAlign w:val="center"/>
          </w:tcPr>
          <w:p w14:paraId="2B4E818F">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颗粒物</w:t>
            </w:r>
          </w:p>
        </w:tc>
        <w:tc>
          <w:tcPr>
            <w:tcW w:w="2085" w:type="dxa"/>
            <w:noWrap w:val="0"/>
            <w:vAlign w:val="center"/>
          </w:tcPr>
          <w:p w14:paraId="5E9CA075">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b w:val="0"/>
                <w:color w:val="000000" w:themeColor="text1"/>
                <w:szCs w:val="24"/>
                <w:lang w:val="en-US" w:eastAsia="zh-CN"/>
                <w14:textFill>
                  <w14:solidFill>
                    <w14:schemeClr w14:val="tx1"/>
                  </w14:solidFill>
                </w14:textFill>
              </w:rPr>
              <w:t>喷粉线粉尘经“</w:t>
            </w:r>
            <w:r>
              <w:rPr>
                <w:b w:val="0"/>
                <w:color w:val="000000" w:themeColor="text1"/>
                <w:szCs w:val="24"/>
                <w14:textFill>
                  <w14:solidFill>
                    <w14:schemeClr w14:val="tx1"/>
                  </w14:solidFill>
                </w14:textFill>
              </w:rPr>
              <w:t>密闭车间负压收集+大旋风+滤芯式二级回收系统</w:t>
            </w:r>
            <w:r>
              <w:rPr>
                <w:rFonts w:hint="eastAsia"/>
                <w:b w:val="0"/>
                <w:color w:val="000000" w:themeColor="text1"/>
                <w:szCs w:val="24"/>
                <w:lang w:eastAsia="zh-CN"/>
                <w14:textFill>
                  <w14:solidFill>
                    <w14:schemeClr w14:val="tx1"/>
                  </w14:solidFill>
                </w14:textFill>
              </w:rPr>
              <w:t>”</w:t>
            </w:r>
            <w:r>
              <w:rPr>
                <w:rFonts w:hint="eastAsia"/>
                <w:b w:val="0"/>
                <w:color w:val="000000" w:themeColor="text1"/>
                <w:szCs w:val="24"/>
                <w:lang w:val="en-US" w:eastAsia="zh-CN"/>
                <w14:textFill>
                  <w14:solidFill>
                    <w14:schemeClr w14:val="tx1"/>
                  </w14:solidFill>
                </w14:textFill>
              </w:rPr>
              <w:t>处理后无组织排放</w:t>
            </w:r>
            <w:r>
              <w:rPr>
                <w:rFonts w:hint="eastAsia"/>
                <w:b w:val="0"/>
                <w:color w:val="000000" w:themeColor="text1"/>
                <w:szCs w:val="24"/>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未被收集的切割</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粉尘、</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焊接烟尘</w:t>
            </w:r>
            <w:r>
              <w:rPr>
                <w:rFonts w:hint="default" w:ascii="Times New Roman" w:hAnsi="Times New Roman" w:eastAsia="宋体" w:cs="Times New Roman"/>
                <w:color w:val="000000" w:themeColor="text1"/>
                <w:kern w:val="2"/>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抛光打磨粉尘于车间内无组织排放，并加强厂内通风</w:t>
            </w:r>
          </w:p>
        </w:tc>
        <w:tc>
          <w:tcPr>
            <w:tcW w:w="2175" w:type="dxa"/>
            <w:noWrap w:val="0"/>
            <w:vAlign w:val="center"/>
          </w:tcPr>
          <w:p w14:paraId="3C439363">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广东省《大气污染物排放限值》（DB44/27-2001）第二时段无组织排放监控浓度限值</w:t>
            </w:r>
          </w:p>
        </w:tc>
      </w:tr>
      <w:tr w14:paraId="6A0759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3" w:type="dxa"/>
            <w:vMerge w:val="continue"/>
            <w:noWrap w:val="0"/>
            <w:vAlign w:val="center"/>
          </w:tcPr>
          <w:p w14:paraId="59197A49">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457" w:type="dxa"/>
            <w:gridSpan w:val="2"/>
            <w:vMerge w:val="continue"/>
            <w:noWrap w:val="0"/>
            <w:vAlign w:val="center"/>
          </w:tcPr>
          <w:p w14:paraId="32A2D5E8">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60" w:type="dxa"/>
            <w:noWrap w:val="0"/>
            <w:vAlign w:val="center"/>
          </w:tcPr>
          <w:p w14:paraId="6BFC495C">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非甲烷总烃、苯系物、氟化物</w:t>
            </w:r>
          </w:p>
        </w:tc>
        <w:tc>
          <w:tcPr>
            <w:tcW w:w="2085" w:type="dxa"/>
            <w:noWrap w:val="0"/>
            <w:vAlign w:val="center"/>
          </w:tcPr>
          <w:p w14:paraId="1CDFA729">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加强收集</w:t>
            </w:r>
            <w:r>
              <w:rPr>
                <w:rFonts w:hint="eastAsia" w:cs="Times New Roman"/>
                <w:color w:val="000000" w:themeColor="text1"/>
                <w:kern w:val="2"/>
                <w:sz w:val="21"/>
                <w:szCs w:val="21"/>
                <w:highlight w:val="none"/>
                <w:lang w:val="en-US" w:eastAsia="zh-CN" w:bidi="ar-SA"/>
                <w14:textFill>
                  <w14:solidFill>
                    <w14:schemeClr w14:val="tx1"/>
                  </w14:solidFill>
                </w14:textFill>
              </w:rPr>
              <w:t>，或</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加强厂内通风</w:t>
            </w:r>
          </w:p>
        </w:tc>
        <w:tc>
          <w:tcPr>
            <w:tcW w:w="2175" w:type="dxa"/>
            <w:noWrap w:val="0"/>
            <w:vAlign w:val="center"/>
          </w:tcPr>
          <w:p w14:paraId="218E7DDE">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广东省《大气污染物排放限值》（DB44/27-2001）第二时段无组织排放监控浓度限值</w:t>
            </w:r>
          </w:p>
        </w:tc>
      </w:tr>
      <w:tr w14:paraId="4D9465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3" w:type="dxa"/>
            <w:vMerge w:val="continue"/>
            <w:noWrap w:val="0"/>
            <w:vAlign w:val="center"/>
          </w:tcPr>
          <w:p w14:paraId="3BF1C2FE">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457" w:type="dxa"/>
            <w:gridSpan w:val="2"/>
            <w:vMerge w:val="continue"/>
            <w:noWrap w:val="0"/>
            <w:vAlign w:val="center"/>
          </w:tcPr>
          <w:p w14:paraId="15019A8F">
            <w:pPr>
              <w:adjustRightInd w:val="0"/>
              <w:snapToGrid w:val="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1560" w:type="dxa"/>
            <w:noWrap w:val="0"/>
            <w:vAlign w:val="center"/>
          </w:tcPr>
          <w:p w14:paraId="3F80B1F9">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臭气浓度、硫化氢、氨气</w:t>
            </w:r>
          </w:p>
        </w:tc>
        <w:tc>
          <w:tcPr>
            <w:tcW w:w="2085" w:type="dxa"/>
            <w:noWrap w:val="0"/>
            <w:vAlign w:val="center"/>
          </w:tcPr>
          <w:p w14:paraId="5A1FAD1D">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采取加盖密闭、加强通风</w:t>
            </w:r>
          </w:p>
        </w:tc>
        <w:tc>
          <w:tcPr>
            <w:tcW w:w="2175" w:type="dxa"/>
            <w:noWrap w:val="0"/>
            <w:vAlign w:val="center"/>
          </w:tcPr>
          <w:p w14:paraId="6CD81BB3">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《恶臭污染物排放标准》(GB14554-93)表1二级标准中“新改扩建”限值要求</w:t>
            </w:r>
          </w:p>
        </w:tc>
      </w:tr>
      <w:tr w14:paraId="0D588D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3" w:type="dxa"/>
            <w:vMerge w:val="continue"/>
            <w:noWrap w:val="0"/>
            <w:vAlign w:val="center"/>
          </w:tcPr>
          <w:p w14:paraId="59380422">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457" w:type="dxa"/>
            <w:gridSpan w:val="2"/>
            <w:noWrap w:val="0"/>
            <w:vAlign w:val="center"/>
          </w:tcPr>
          <w:p w14:paraId="628FF73F">
            <w:pPr>
              <w:adjustRightInd w:val="0"/>
              <w:snapToGrid w:val="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厂区内</w:t>
            </w:r>
          </w:p>
        </w:tc>
        <w:tc>
          <w:tcPr>
            <w:tcW w:w="1560" w:type="dxa"/>
            <w:noWrap w:val="0"/>
            <w:vAlign w:val="center"/>
          </w:tcPr>
          <w:p w14:paraId="63CAB3F9">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NMHC</w:t>
            </w:r>
          </w:p>
        </w:tc>
        <w:tc>
          <w:tcPr>
            <w:tcW w:w="2085" w:type="dxa"/>
            <w:noWrap w:val="0"/>
            <w:vAlign w:val="center"/>
          </w:tcPr>
          <w:p w14:paraId="56F641BD">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加强收集</w:t>
            </w:r>
          </w:p>
        </w:tc>
        <w:tc>
          <w:tcPr>
            <w:tcW w:w="2175" w:type="dxa"/>
            <w:noWrap w:val="0"/>
            <w:vAlign w:val="center"/>
          </w:tcPr>
          <w:p w14:paraId="2503B387">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《固定污染源挥发性有机物综合排放标准》（DB44/2367-2022）表3厂区内VOCs 无组织排放限值要求</w:t>
            </w:r>
          </w:p>
        </w:tc>
      </w:tr>
      <w:tr w14:paraId="458864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63" w:hRule="atLeast"/>
          <w:jc w:val="center"/>
        </w:trPr>
        <w:tc>
          <w:tcPr>
            <w:tcW w:w="1523" w:type="dxa"/>
            <w:vMerge w:val="restart"/>
            <w:noWrap w:val="0"/>
            <w:vAlign w:val="center"/>
          </w:tcPr>
          <w:p w14:paraId="6F9579E3">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地表水环境</w:t>
            </w:r>
          </w:p>
        </w:tc>
        <w:tc>
          <w:tcPr>
            <w:tcW w:w="1457" w:type="dxa"/>
            <w:gridSpan w:val="2"/>
            <w:noWrap w:val="0"/>
            <w:vAlign w:val="center"/>
          </w:tcPr>
          <w:p w14:paraId="1FAD6AD2">
            <w:pPr>
              <w:adjustRightInd w:val="0"/>
              <w:snapToGrid w:val="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DW001生活污水排放口</w:t>
            </w:r>
          </w:p>
        </w:tc>
        <w:tc>
          <w:tcPr>
            <w:tcW w:w="1560" w:type="dxa"/>
            <w:noWrap w:val="0"/>
            <w:vAlign w:val="center"/>
          </w:tcPr>
          <w:p w14:paraId="06BFC93E">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pH、COD</w:t>
            </w:r>
            <w:r>
              <w:rPr>
                <w:rFonts w:hint="default" w:ascii="Times New Roman" w:hAnsi="Times New Roman" w:eastAsia="宋体" w:cs="Times New Roman"/>
                <w:color w:val="000000" w:themeColor="text1"/>
                <w:kern w:val="2"/>
                <w:sz w:val="21"/>
                <w:szCs w:val="21"/>
                <w:highlight w:val="none"/>
                <w:vertAlign w:val="subscript"/>
                <w14:textFill>
                  <w14:solidFill>
                    <w14:schemeClr w14:val="tx1"/>
                  </w14:solidFill>
                </w14:textFill>
              </w:rPr>
              <w:t>Cr</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、BOD</w:t>
            </w:r>
            <w:r>
              <w:rPr>
                <w:rFonts w:hint="default" w:ascii="Times New Roman" w:hAnsi="Times New Roman" w:eastAsia="宋体" w:cs="Times New Roman"/>
                <w:color w:val="000000" w:themeColor="text1"/>
                <w:kern w:val="2"/>
                <w:sz w:val="21"/>
                <w:szCs w:val="21"/>
                <w:highlight w:val="none"/>
                <w:vertAlign w:val="subscript"/>
                <w14:textFill>
                  <w14:solidFill>
                    <w14:schemeClr w14:val="tx1"/>
                  </w14:solidFill>
                </w14:textFill>
              </w:rPr>
              <w:t>5</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、SS、氨氮</w:t>
            </w:r>
            <w:r>
              <w:rPr>
                <w:rFonts w:hint="default" w:ascii="Times New Roman" w:hAnsi="Times New Roman" w:eastAsia="宋体" w:cs="Times New Roman"/>
                <w:color w:val="000000" w:themeColor="text1"/>
                <w:kern w:val="2"/>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总磷、动植物油</w:t>
            </w:r>
          </w:p>
        </w:tc>
        <w:tc>
          <w:tcPr>
            <w:tcW w:w="2085" w:type="dxa"/>
            <w:noWrap w:val="0"/>
            <w:vAlign w:val="center"/>
          </w:tcPr>
          <w:p w14:paraId="6469FFC7">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生活污水经三级化粪池</w:t>
            </w: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+隔油隔渣池</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处理后，经园区污水管网排入园区污水处理厂进一步处理后，排入武江</w:t>
            </w:r>
          </w:p>
        </w:tc>
        <w:tc>
          <w:tcPr>
            <w:tcW w:w="2175" w:type="dxa"/>
            <w:noWrap w:val="0"/>
            <w:vAlign w:val="center"/>
          </w:tcPr>
          <w:p w14:paraId="08EEE1A4">
            <w:pPr>
              <w:pStyle w:val="20"/>
              <w:keepNext w:val="0"/>
              <w:keepLines w:val="0"/>
              <w:pageBreakBefore w:val="0"/>
              <w:suppressLineNumbers w:val="0"/>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广东省《水污染物排放限值》（DB44/26-2001）第二时段三级标准及园区污水处理厂接管水质要求两者较严值要求</w:t>
            </w:r>
          </w:p>
        </w:tc>
      </w:tr>
      <w:tr w14:paraId="081BA6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523" w:type="dxa"/>
            <w:vMerge w:val="continue"/>
            <w:noWrap w:val="0"/>
            <w:vAlign w:val="center"/>
          </w:tcPr>
          <w:p w14:paraId="0F898EC2">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457" w:type="dxa"/>
            <w:gridSpan w:val="2"/>
            <w:noWrap w:val="0"/>
            <w:vAlign w:val="center"/>
          </w:tcPr>
          <w:p w14:paraId="239377F7">
            <w:pPr>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DW002生产废水排放口</w:t>
            </w:r>
          </w:p>
        </w:tc>
        <w:tc>
          <w:tcPr>
            <w:tcW w:w="1560" w:type="dxa"/>
            <w:noWrap w:val="0"/>
            <w:vAlign w:val="center"/>
          </w:tcPr>
          <w:p w14:paraId="248F0CF7">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pH、COD</w:t>
            </w:r>
            <w:r>
              <w:rPr>
                <w:rFonts w:hint="default" w:ascii="Times New Roman" w:hAnsi="Times New Roman" w:eastAsia="宋体" w:cs="Times New Roman"/>
                <w:color w:val="000000" w:themeColor="text1"/>
                <w:kern w:val="2"/>
                <w:sz w:val="21"/>
                <w:szCs w:val="21"/>
                <w:highlight w:val="none"/>
                <w:vertAlign w:val="subscript"/>
                <w14:textFill>
                  <w14:solidFill>
                    <w14:schemeClr w14:val="tx1"/>
                  </w14:solidFill>
                </w14:textFill>
              </w:rPr>
              <w:t>Cr</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BOD</w:t>
            </w:r>
            <w:r>
              <w:rPr>
                <w:rFonts w:hint="default" w:ascii="Times New Roman" w:hAnsi="Times New Roman" w:eastAsia="宋体" w:cs="Times New Roman"/>
                <w:color w:val="000000" w:themeColor="text1"/>
                <w:sz w:val="21"/>
                <w:szCs w:val="21"/>
                <w:highlight w:val="none"/>
                <w:vertAlign w:val="subscript"/>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、NH</w:t>
            </w:r>
            <w:r>
              <w:rPr>
                <w:rFonts w:hint="default" w:ascii="Times New Roman" w:hAnsi="Times New Roman" w:eastAsia="宋体" w:cs="Times New Roman"/>
                <w:color w:val="000000" w:themeColor="text1"/>
                <w:sz w:val="21"/>
                <w:szCs w:val="21"/>
                <w:highlight w:val="none"/>
                <w:vertAlign w:val="sub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-N、</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SS、石油类、阴离子表面活性剂、氟化物</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、总铝、TP、TN</w:t>
            </w:r>
          </w:p>
        </w:tc>
        <w:tc>
          <w:tcPr>
            <w:tcW w:w="2085" w:type="dxa"/>
            <w:noWrap w:val="0"/>
            <w:vAlign w:val="center"/>
          </w:tcPr>
          <w:p w14:paraId="7B10A3D5">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生产</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废水经企业自建污水处理站处理后，经园区污水管网排入园区污水处理厂进一步处理后，排入武江</w:t>
            </w:r>
          </w:p>
        </w:tc>
        <w:tc>
          <w:tcPr>
            <w:tcW w:w="2175" w:type="dxa"/>
            <w:noWrap w:val="0"/>
            <w:vAlign w:val="center"/>
          </w:tcPr>
          <w:p w14:paraId="3B695BFC">
            <w:pPr>
              <w:pStyle w:val="20"/>
              <w:keepNext w:val="0"/>
              <w:keepLines w:val="0"/>
              <w:pageBreakBefore w:val="0"/>
              <w:suppressLineNumbers w:val="0"/>
              <w:kinsoku/>
              <w:overflowPunct/>
              <w:topLinePunct w:val="0"/>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园区污水处理厂接管水质要求、广东省《水污染物排放限值》（</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DB44/26-2001</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）第二时段三级标准以及《电镀水污染物排放标准》（</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DB44/1597-2015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表1现有项目水污染物非珠三角排放限值200%（其中总铝按表2新建项目水污染物排放限值-非珠三角地区执行）</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三者较严值要求</w:t>
            </w:r>
          </w:p>
        </w:tc>
      </w:tr>
      <w:tr w14:paraId="7F2178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3" w:type="dxa"/>
            <w:noWrap w:val="0"/>
            <w:vAlign w:val="center"/>
          </w:tcPr>
          <w:p w14:paraId="2E262444">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声环境</w:t>
            </w:r>
          </w:p>
        </w:tc>
        <w:tc>
          <w:tcPr>
            <w:tcW w:w="487" w:type="dxa"/>
            <w:tcBorders>
              <w:right w:val="single" w:color="000000" w:sz="4" w:space="0"/>
            </w:tcBorders>
            <w:noWrap w:val="0"/>
            <w:vAlign w:val="center"/>
          </w:tcPr>
          <w:p w14:paraId="0C254289">
            <w:pPr>
              <w:adjustRightInd w:val="0"/>
              <w:snapToGrid w:val="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营运期</w:t>
            </w:r>
          </w:p>
        </w:tc>
        <w:tc>
          <w:tcPr>
            <w:tcW w:w="970" w:type="dxa"/>
            <w:tcBorders>
              <w:left w:val="single" w:color="000000" w:sz="4" w:space="0"/>
            </w:tcBorders>
            <w:noWrap w:val="0"/>
            <w:vAlign w:val="center"/>
          </w:tcPr>
          <w:p w14:paraId="21E81779">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生产设备</w:t>
            </w:r>
          </w:p>
        </w:tc>
        <w:tc>
          <w:tcPr>
            <w:tcW w:w="1560" w:type="dxa"/>
            <w:noWrap w:val="0"/>
            <w:vAlign w:val="center"/>
          </w:tcPr>
          <w:p w14:paraId="3E517BC8">
            <w:pPr>
              <w:spacing w:line="360" w:lineRule="exact"/>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噪声</w:t>
            </w:r>
          </w:p>
        </w:tc>
        <w:tc>
          <w:tcPr>
            <w:tcW w:w="2085" w:type="dxa"/>
            <w:noWrap w:val="0"/>
            <w:vAlign w:val="center"/>
          </w:tcPr>
          <w:p w14:paraId="6CF39244">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选用低噪声设备，并采取隔声、减振、消声等降噪措施</w:t>
            </w:r>
          </w:p>
        </w:tc>
        <w:tc>
          <w:tcPr>
            <w:tcW w:w="2175" w:type="dxa"/>
            <w:noWrap w:val="0"/>
            <w:vAlign w:val="center"/>
          </w:tcPr>
          <w:p w14:paraId="40588A5F">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厂界西、北执行</w:t>
            </w:r>
            <w:r>
              <w:rPr>
                <w:rFonts w:hint="default" w:ascii="Times New Roman" w:hAnsi="Times New Roman" w:eastAsia="宋体" w:cs="Times New Roman"/>
                <w:color w:val="000000" w:themeColor="text1"/>
                <w:sz w:val="21"/>
                <w:szCs w:val="21"/>
                <w:highlight w:val="none"/>
                <w14:textFill>
                  <w14:solidFill>
                    <w14:schemeClr w14:val="tx1"/>
                  </w14:solidFill>
                </w14:textFill>
              </w:rPr>
              <w:t>《工业企业厂界环境噪声排放标准》（GB 12348-2008）</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类</w:t>
            </w:r>
            <w:r>
              <w:rPr>
                <w:rFonts w:hint="eastAsia" w:cs="Times New Roman"/>
                <w:color w:val="000000" w:themeColor="text1"/>
                <w:sz w:val="21"/>
                <w:szCs w:val="21"/>
                <w:highlight w:val="none"/>
                <w:lang w:val="en-US" w:eastAsia="zh-CN"/>
                <w14:textFill>
                  <w14:solidFill>
                    <w14:schemeClr w14:val="tx1"/>
                  </w14:solidFill>
                </w14:textFill>
              </w:rPr>
              <w:t>，东、南厂界执行</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w:t>
            </w:r>
            <w:r>
              <w:rPr>
                <w:rFonts w:hint="eastAsia" w:cs="Times New Roman"/>
                <w:color w:val="000000" w:themeColor="text1"/>
                <w:sz w:val="21"/>
                <w:szCs w:val="21"/>
                <w:highlight w:val="none"/>
                <w:lang w:val="en-US" w:eastAsia="zh-CN"/>
                <w14:textFill>
                  <w14:solidFill>
                    <w14:schemeClr w14:val="tx1"/>
                  </w14:solidFill>
                </w14:textFill>
              </w:rPr>
              <w:t>a</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类</w:t>
            </w:r>
            <w:r>
              <w:rPr>
                <w:rFonts w:hint="default" w:ascii="Times New Roman" w:hAnsi="Times New Roman" w:eastAsia="宋体" w:cs="Times New Roman"/>
                <w:color w:val="000000" w:themeColor="text1"/>
                <w:sz w:val="21"/>
                <w:szCs w:val="21"/>
                <w:highlight w:val="none"/>
                <w14:textFill>
                  <w14:solidFill>
                    <w14:schemeClr w14:val="tx1"/>
                  </w14:solidFill>
                </w14:textFill>
              </w:rPr>
              <w:t>标准</w:t>
            </w:r>
          </w:p>
        </w:tc>
      </w:tr>
      <w:tr w14:paraId="0E0BCB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523" w:type="dxa"/>
            <w:noWrap w:val="0"/>
            <w:vAlign w:val="center"/>
          </w:tcPr>
          <w:p w14:paraId="521BD5C5">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电磁辐射</w:t>
            </w:r>
          </w:p>
        </w:tc>
        <w:tc>
          <w:tcPr>
            <w:tcW w:w="1457" w:type="dxa"/>
            <w:gridSpan w:val="2"/>
            <w:noWrap w:val="0"/>
            <w:vAlign w:val="center"/>
          </w:tcPr>
          <w:p w14:paraId="669A62D1">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w:t>
            </w:r>
          </w:p>
        </w:tc>
        <w:tc>
          <w:tcPr>
            <w:tcW w:w="1560" w:type="dxa"/>
            <w:noWrap w:val="0"/>
            <w:vAlign w:val="center"/>
          </w:tcPr>
          <w:p w14:paraId="3E2BE855">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w:t>
            </w:r>
          </w:p>
        </w:tc>
        <w:tc>
          <w:tcPr>
            <w:tcW w:w="2085" w:type="dxa"/>
            <w:noWrap w:val="0"/>
            <w:vAlign w:val="center"/>
          </w:tcPr>
          <w:p w14:paraId="14E7B232">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w:t>
            </w:r>
          </w:p>
        </w:tc>
        <w:tc>
          <w:tcPr>
            <w:tcW w:w="2175" w:type="dxa"/>
            <w:noWrap w:val="0"/>
            <w:vAlign w:val="center"/>
          </w:tcPr>
          <w:p w14:paraId="1092772C">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w:t>
            </w:r>
          </w:p>
        </w:tc>
      </w:tr>
      <w:tr w14:paraId="367F3D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3" w:type="dxa"/>
            <w:noWrap w:val="0"/>
            <w:vAlign w:val="center"/>
          </w:tcPr>
          <w:p w14:paraId="41B50FD4">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固体废物</w:t>
            </w:r>
          </w:p>
        </w:tc>
        <w:tc>
          <w:tcPr>
            <w:tcW w:w="7277" w:type="dxa"/>
            <w:gridSpan w:val="5"/>
            <w:noWrap w:val="0"/>
            <w:vAlign w:val="center"/>
          </w:tcPr>
          <w:p w14:paraId="40CEE5F6">
            <w:pPr>
              <w:pStyle w:val="39"/>
              <w:keepNext w:val="0"/>
              <w:keepLines w:val="0"/>
              <w:pageBreakBefore w:val="0"/>
              <w:widowControl w:val="0"/>
              <w:kinsoku/>
              <w:wordWrap/>
              <w:overflowPunct/>
              <w:topLinePunct w:val="0"/>
              <w:autoSpaceDE/>
              <w:autoSpaceDN/>
              <w:bidi w:val="0"/>
              <w:adjustRightInd/>
              <w:snapToGrid/>
              <w:spacing w:after="0" w:line="120" w:lineRule="auto"/>
              <w:ind w:firstLine="420" w:firstLineChars="20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p w14:paraId="7DD20B06">
            <w:pPr>
              <w:pStyle w:val="39"/>
              <w:spacing w:after="0" w:line="360" w:lineRule="auto"/>
              <w:ind w:firstLine="420" w:firstLineChars="200"/>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一般工业固体废物：在厂区内采用库房贮存，贮存过程满足相应防渗漏、防雨淋、防扬尘等环境保护要求；</w:t>
            </w:r>
          </w:p>
          <w:p w14:paraId="02C2F668">
            <w:pPr>
              <w:pStyle w:val="39"/>
              <w:spacing w:after="0" w:line="360" w:lineRule="auto"/>
              <w:ind w:firstLine="420" w:firstLineChars="200"/>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危险废物：执行《危险废物贮存污染控制标准》（GB18597-2023）和《危险废物收集贮存运输技术规范》（HJ 2025-2012）。</w:t>
            </w:r>
          </w:p>
        </w:tc>
      </w:tr>
      <w:tr w14:paraId="771375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3" w:type="dxa"/>
            <w:noWrap w:val="0"/>
            <w:vAlign w:val="center"/>
          </w:tcPr>
          <w:p w14:paraId="54F3B422">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土壤及地下水污染防治措施</w:t>
            </w:r>
          </w:p>
        </w:tc>
        <w:tc>
          <w:tcPr>
            <w:tcW w:w="7277" w:type="dxa"/>
            <w:gridSpan w:val="5"/>
            <w:noWrap w:val="0"/>
            <w:vAlign w:val="center"/>
          </w:tcPr>
          <w:p w14:paraId="693EF214">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360" w:lineRule="auto"/>
              <w:ind w:left="0" w:leftChars="0" w:right="0" w:rightChars="0" w:firstLine="420" w:firstLineChars="200"/>
              <w:jc w:val="both"/>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厂区地面已全部硬化，危废间在建筑物内部，达到防风防雨防晒要求，地面硬化良好并刷环氧树脂漆防渗，四周设置围堰，满足四防要求。对预处理生产车间</w:t>
            </w: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、化学品仓库、</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危险废物贮存间</w:t>
            </w: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废水处理站进行</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重点</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防渗处理，防渗要求按照等效黏土防渗层Mb≥1.5m，K≤1×10</w:t>
            </w:r>
            <w:r>
              <w:rPr>
                <w:rFonts w:hint="default" w:ascii="Times New Roman" w:hAnsi="Times New Roman" w:eastAsia="宋体" w:cs="Times New Roman"/>
                <w:color w:val="000000" w:themeColor="text1"/>
                <w:kern w:val="2"/>
                <w:sz w:val="21"/>
                <w:szCs w:val="21"/>
                <w:highlight w:val="none"/>
                <w:vertAlign w:val="superscript"/>
                <w14:textFill>
                  <w14:solidFill>
                    <w14:schemeClr w14:val="tx1"/>
                  </w14:solidFill>
                </w14:textFill>
              </w:rPr>
              <w:t>-7</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cm/s或参照GB</w:t>
            </w: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18597</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执行。</w:t>
            </w:r>
          </w:p>
        </w:tc>
      </w:tr>
      <w:tr w14:paraId="0A584A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3" w:type="dxa"/>
            <w:noWrap w:val="0"/>
            <w:vAlign w:val="center"/>
          </w:tcPr>
          <w:p w14:paraId="5C916EAC">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生态保护措施</w:t>
            </w:r>
          </w:p>
        </w:tc>
        <w:tc>
          <w:tcPr>
            <w:tcW w:w="7277" w:type="dxa"/>
            <w:gridSpan w:val="5"/>
            <w:noWrap w:val="0"/>
            <w:vAlign w:val="center"/>
          </w:tcPr>
          <w:p w14:paraId="04EF5599">
            <w:pPr>
              <w:pStyle w:val="109"/>
              <w:keepNext w:val="0"/>
              <w:keepLines w:val="0"/>
              <w:pageBreakBefore w:val="0"/>
              <w:widowControl/>
              <w:suppressLineNumbers w:val="0"/>
              <w:tabs>
                <w:tab w:val="left" w:pos="-2848"/>
              </w:tabs>
              <w:kinsoku/>
              <w:overflowPunct/>
              <w:topLinePunct w:val="0"/>
              <w:bidi w:val="0"/>
              <w:snapToGrid/>
              <w:spacing w:before="0" w:beforeAutospacing="0" w:after="0" w:afterAutospacing="0" w:line="360" w:lineRule="auto"/>
              <w:ind w:left="0" w:leftChars="0" w:right="0" w:rightChars="0" w:firstLine="420" w:firstLineChars="200"/>
              <w:jc w:val="both"/>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厂房已建设安装完成，选址四周主要为厂房，不存在建设期间的生态影响。项目营运中产生的污染物通过采取以上环境保护治理措施并且加强日常的管理和监督，同时搞好厂区绿化后，均可达标排放。因此，项目营运期间不会对周边的生态环境造成明显的不利影响。</w:t>
            </w:r>
          </w:p>
        </w:tc>
      </w:tr>
      <w:tr w14:paraId="64F575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3" w:type="dxa"/>
            <w:noWrap w:val="0"/>
            <w:vAlign w:val="center"/>
          </w:tcPr>
          <w:p w14:paraId="3D331AA1">
            <w:pPr>
              <w:adjustRightInd w:val="0"/>
              <w:snapToGrid w:val="0"/>
              <w:jc w:val="cente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环境风险</w:t>
            </w:r>
          </w:p>
          <w:p w14:paraId="5447DAA7">
            <w:pPr>
              <w:adjustRightInd w:val="0"/>
              <w:snapToGrid w:val="0"/>
              <w:jc w:val="cente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防范措施</w:t>
            </w:r>
          </w:p>
        </w:tc>
        <w:tc>
          <w:tcPr>
            <w:tcW w:w="7277" w:type="dxa"/>
            <w:gridSpan w:val="5"/>
            <w:noWrap w:val="0"/>
            <w:vAlign w:val="center"/>
          </w:tcPr>
          <w:p w14:paraId="524FD424">
            <w:pPr>
              <w:pStyle w:val="109"/>
              <w:keepNext w:val="0"/>
              <w:keepLines w:val="0"/>
              <w:pageBreakBefore w:val="0"/>
              <w:widowControl/>
              <w:suppressLineNumbers w:val="0"/>
              <w:tabs>
                <w:tab w:val="left" w:pos="-2848"/>
              </w:tabs>
              <w:kinsoku/>
              <w:overflowPunct/>
              <w:topLinePunct w:val="0"/>
              <w:autoSpaceDE/>
              <w:autoSpaceDN/>
              <w:bidi w:val="0"/>
              <w:snapToGrid/>
              <w:spacing w:before="0" w:beforeAutospacing="0" w:after="0" w:afterAutospacing="0" w:line="360" w:lineRule="auto"/>
              <w:ind w:left="0" w:right="0" w:firstLine="420" w:firstLineChars="200"/>
              <w:jc w:val="both"/>
              <w:textAlignment w:val="auto"/>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1、严格执行应急管理、消防等相关规范，从总图布置和建筑安全方面进行风险防范，预留疏散通道或安置场所；</w:t>
            </w:r>
          </w:p>
          <w:p w14:paraId="2F1A9B5C">
            <w:pPr>
              <w:pStyle w:val="109"/>
              <w:keepNext w:val="0"/>
              <w:keepLines w:val="0"/>
              <w:pageBreakBefore w:val="0"/>
              <w:widowControl/>
              <w:suppressLineNumbers w:val="0"/>
              <w:tabs>
                <w:tab w:val="left" w:pos="-2848"/>
              </w:tabs>
              <w:kinsoku/>
              <w:overflowPunct/>
              <w:topLinePunct w:val="0"/>
              <w:autoSpaceDE/>
              <w:autoSpaceDN/>
              <w:bidi w:val="0"/>
              <w:snapToGrid/>
              <w:spacing w:before="0" w:beforeAutospacing="0" w:after="0" w:afterAutospacing="0" w:line="360" w:lineRule="auto"/>
              <w:ind w:left="0" w:right="0" w:firstLine="420" w:firstLineChars="200"/>
              <w:jc w:val="both"/>
              <w:textAlignment w:val="auto"/>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2、从优化改进生产工艺、减少储存量、改善储存条件等方面降低风险程度；</w:t>
            </w:r>
          </w:p>
          <w:p w14:paraId="1E41B037">
            <w:pPr>
              <w:pStyle w:val="109"/>
              <w:keepNext w:val="0"/>
              <w:keepLines w:val="0"/>
              <w:pageBreakBefore w:val="0"/>
              <w:widowControl/>
              <w:suppressLineNumbers w:val="0"/>
              <w:tabs>
                <w:tab w:val="left" w:pos="-2848"/>
              </w:tabs>
              <w:kinsoku/>
              <w:overflowPunct/>
              <w:topLinePunct w:val="0"/>
              <w:autoSpaceDE/>
              <w:autoSpaceDN/>
              <w:bidi w:val="0"/>
              <w:snapToGrid/>
              <w:spacing w:before="0" w:beforeAutospacing="0" w:after="0" w:afterAutospacing="0" w:line="360" w:lineRule="auto"/>
              <w:ind w:left="0" w:right="0" w:firstLine="420" w:firstLineChars="200"/>
              <w:jc w:val="both"/>
              <w:textAlignment w:val="auto"/>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3、加强日常管理，降低管理失误而出现的风险事故，提高员工规范性操作水平，减少误操作引发的风险事故；</w:t>
            </w:r>
          </w:p>
          <w:p w14:paraId="35D2D5A7">
            <w:pPr>
              <w:pStyle w:val="109"/>
              <w:keepNext w:val="0"/>
              <w:keepLines w:val="0"/>
              <w:pageBreakBefore w:val="0"/>
              <w:widowControl/>
              <w:suppressLineNumbers w:val="0"/>
              <w:tabs>
                <w:tab w:val="left" w:pos="-2848"/>
              </w:tabs>
              <w:kinsoku/>
              <w:overflowPunct/>
              <w:topLinePunct w:val="0"/>
              <w:autoSpaceDE/>
              <w:autoSpaceDN/>
              <w:bidi w:val="0"/>
              <w:snapToGrid/>
              <w:spacing w:before="0" w:beforeAutospacing="0" w:after="0" w:afterAutospacing="0" w:line="360" w:lineRule="auto"/>
              <w:ind w:left="0" w:leftChars="0" w:right="0" w:rightChars="0" w:firstLine="420" w:firstLineChars="20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4、按《危险废物贮存污染控制标准》（GB18597-2023）的相关要求做好</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危险废物贮存间</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的防渗措施，加强管理，避免装卸或存储过程中危险物质发生泄漏。</w:t>
            </w:r>
          </w:p>
        </w:tc>
      </w:tr>
      <w:tr w14:paraId="1B4E16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23" w:type="dxa"/>
            <w:noWrap w:val="0"/>
            <w:vAlign w:val="center"/>
          </w:tcPr>
          <w:p w14:paraId="306A80B6">
            <w:pPr>
              <w:keepNext w:val="0"/>
              <w:keepLines w:val="0"/>
              <w:pageBreakBefore w:val="0"/>
              <w:widowControl w:val="0"/>
              <w:kinsoku/>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000000" w:themeColor="text1"/>
                <w:spacing w:val="-8"/>
                <w:sz w:val="21"/>
                <w:szCs w:val="21"/>
                <w:highlight w:val="none"/>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其他环境管理要求</w:t>
            </w:r>
          </w:p>
        </w:tc>
        <w:tc>
          <w:tcPr>
            <w:tcW w:w="7277" w:type="dxa"/>
            <w:gridSpan w:val="5"/>
            <w:noWrap w:val="0"/>
            <w:vAlign w:val="center"/>
          </w:tcPr>
          <w:p w14:paraId="68D441FC">
            <w:pPr>
              <w:keepNext w:val="0"/>
              <w:keepLines w:val="0"/>
              <w:pageBreakBefore w:val="0"/>
              <w:widowControl w:val="0"/>
              <w:kinsoku/>
              <w:overflowPunct/>
              <w:topLinePunct w:val="0"/>
              <w:autoSpaceDE/>
              <w:autoSpaceDN/>
              <w:bidi w:val="0"/>
              <w:adjustRightInd w:val="0"/>
              <w:snapToGrid w:val="0"/>
              <w:spacing w:line="360" w:lineRule="auto"/>
              <w:jc w:val="left"/>
              <w:textAlignment w:val="auto"/>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（一）环境管理要求</w:t>
            </w:r>
          </w:p>
          <w:p w14:paraId="0478A1B6">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360" w:lineRule="auto"/>
              <w:ind w:left="0" w:leftChars="0"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1.</w:t>
            </w:r>
            <w:r>
              <w:rPr>
                <w:rFonts w:hint="default" w:ascii="Times New Roman" w:hAnsi="Times New Roman" w:cs="Times New Roman"/>
                <w:color w:val="000000" w:themeColor="text1"/>
                <w:sz w:val="24"/>
                <w:szCs w:val="24"/>
                <w14:textFill>
                  <w14:solidFill>
                    <w14:schemeClr w14:val="tx1"/>
                  </w14:solidFill>
                </w14:textFill>
              </w:rPr>
              <w:t>企业要完善环境管理制度，首先必须建立相应的环境管理机构，明确环境管理机构的职责。</w:t>
            </w:r>
          </w:p>
          <w:p w14:paraId="7CB67A9E">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360" w:lineRule="auto"/>
              <w:ind w:left="0" w:leftChars="0"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落实各项环境保护措施，环保设施运行的管理和维护，日常的监测及污染事故的防范和应急处理。</w:t>
            </w:r>
          </w:p>
          <w:p w14:paraId="75CEDCB5">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360" w:lineRule="auto"/>
              <w:ind w:left="0" w:leftChars="0"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环境管理机构的职责</w:t>
            </w:r>
          </w:p>
          <w:p w14:paraId="66B1FD4F">
            <w:pPr>
              <w:pStyle w:val="175"/>
              <w:keepNext w:val="0"/>
              <w:keepLines w:val="0"/>
              <w:pageBreakBefore w:val="0"/>
              <w:widowControl w:val="0"/>
              <w:numPr>
                <w:ilvl w:val="0"/>
                <w:numId w:val="0"/>
              </w:numPr>
              <w:tabs>
                <w:tab w:val="left" w:pos="0"/>
              </w:tabs>
              <w:kinsoku/>
              <w:overflowPunct/>
              <w:topLinePunct w:val="0"/>
              <w:autoSpaceDE/>
              <w:autoSpaceDN/>
              <w:bidi w:val="0"/>
              <w:spacing w:before="0" w:after="0" w:line="360" w:lineRule="auto"/>
              <w:ind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（1）</w:t>
            </w:r>
            <w:r>
              <w:rPr>
                <w:rFonts w:hint="default" w:ascii="Times New Roman" w:hAnsi="Times New Roman" w:cs="Times New Roman"/>
                <w:color w:val="000000" w:themeColor="text1"/>
                <w:sz w:val="24"/>
                <w:szCs w:val="24"/>
                <w14:textFill>
                  <w14:solidFill>
                    <w14:schemeClr w14:val="tx1"/>
                  </w14:solidFill>
                </w14:textFill>
              </w:rPr>
              <w:t>建设单位应向国家排污许可系统提交《固定污染源排污登记表》，取得《固定污染源排污登记回执》；超标排放或未符合总量指标，应限期治理。</w:t>
            </w:r>
          </w:p>
          <w:p w14:paraId="6A8E4169">
            <w:pPr>
              <w:pStyle w:val="175"/>
              <w:keepNext w:val="0"/>
              <w:keepLines w:val="0"/>
              <w:pageBreakBefore w:val="0"/>
              <w:widowControl w:val="0"/>
              <w:numPr>
                <w:ilvl w:val="0"/>
                <w:numId w:val="0"/>
              </w:numPr>
              <w:tabs>
                <w:tab w:val="left" w:pos="0"/>
              </w:tabs>
              <w:kinsoku/>
              <w:overflowPunct/>
              <w:topLinePunct w:val="0"/>
              <w:autoSpaceDE/>
              <w:autoSpaceDN/>
              <w:bidi w:val="0"/>
              <w:spacing w:before="0" w:after="0" w:line="360" w:lineRule="auto"/>
              <w:ind w:left="0" w:leftChars="0"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根据</w:t>
            </w:r>
            <w:r>
              <w:rPr>
                <w:rFonts w:hint="eastAsia" w:cs="Times New Roman"/>
                <w:color w:val="000000" w:themeColor="text1"/>
                <w:sz w:val="24"/>
                <w:szCs w:val="24"/>
                <w:lang w:eastAsia="zh-CN"/>
                <w14:textFill>
                  <w14:solidFill>
                    <w14:schemeClr w14:val="tx1"/>
                  </w14:solidFill>
                </w14:textFill>
              </w:rPr>
              <w:t>生态环境主管部门</w:t>
            </w:r>
            <w:r>
              <w:rPr>
                <w:rFonts w:hint="default" w:ascii="Times New Roman" w:hAnsi="Times New Roman" w:cs="Times New Roman"/>
                <w:color w:val="000000" w:themeColor="text1"/>
                <w:sz w:val="24"/>
                <w:szCs w:val="24"/>
                <w14:textFill>
                  <w14:solidFill>
                    <w14:schemeClr w14:val="tx1"/>
                  </w14:solidFill>
                </w14:textFill>
              </w:rPr>
              <w:t>、安全部门对环保设施验收报告的批复意见进行补充完善。</w:t>
            </w:r>
          </w:p>
          <w:p w14:paraId="3D7726A7">
            <w:pPr>
              <w:pStyle w:val="175"/>
              <w:keepNext w:val="0"/>
              <w:keepLines w:val="0"/>
              <w:pageBreakBefore w:val="0"/>
              <w:widowControl w:val="0"/>
              <w:numPr>
                <w:ilvl w:val="0"/>
                <w:numId w:val="0"/>
              </w:numPr>
              <w:tabs>
                <w:tab w:val="left" w:pos="0"/>
              </w:tabs>
              <w:kinsoku/>
              <w:overflowPunct/>
              <w:topLinePunct w:val="0"/>
              <w:autoSpaceDE/>
              <w:autoSpaceDN/>
              <w:bidi w:val="0"/>
              <w:spacing w:before="0" w:after="0" w:line="360" w:lineRule="auto"/>
              <w:ind w:left="0" w:leftChars="0"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根据企业的环境保护目标考核计划，结合生产过程各环节的不同环境要求，把资源和能源消耗、资源回收利用、污染物排放量的反映环保工作水平的生产环境质量等环保指标，纳入各级生产作业计划，同其他生产指标一同组织实施和考核。</w:t>
            </w:r>
          </w:p>
          <w:p w14:paraId="6C56B8E9">
            <w:pPr>
              <w:pStyle w:val="175"/>
              <w:keepNext w:val="0"/>
              <w:keepLines w:val="0"/>
              <w:pageBreakBefore w:val="0"/>
              <w:widowControl w:val="0"/>
              <w:numPr>
                <w:ilvl w:val="0"/>
                <w:numId w:val="0"/>
              </w:numPr>
              <w:tabs>
                <w:tab w:val="left" w:pos="0"/>
              </w:tabs>
              <w:kinsoku/>
              <w:overflowPunct/>
              <w:topLinePunct w:val="0"/>
              <w:autoSpaceDE/>
              <w:autoSpaceDN/>
              <w:bidi w:val="0"/>
              <w:spacing w:before="0" w:after="0" w:line="360" w:lineRule="auto"/>
              <w:ind w:left="0" w:leftChars="0"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（4）</w:t>
            </w:r>
            <w:r>
              <w:rPr>
                <w:rFonts w:hint="default" w:ascii="Times New Roman" w:hAnsi="Times New Roman" w:cs="Times New Roman"/>
                <w:color w:val="000000" w:themeColor="text1"/>
                <w:sz w:val="24"/>
                <w:szCs w:val="24"/>
                <w14:textFill>
                  <w14:solidFill>
                    <w14:schemeClr w14:val="tx1"/>
                  </w14:solidFill>
                </w14:textFill>
              </w:rPr>
              <w:t>按环保设施的操作规程，定期对环保设施进行保养和检修，保证环保设施的正常运行和污染物的达标排放。一旦环保设施出现故障，应立即停产检修，并上报环保法定责任人，严禁环保设施带病运行和事故性排放。建立运行记录并制定考核指标。</w:t>
            </w:r>
          </w:p>
          <w:p w14:paraId="7828BDE5">
            <w:pPr>
              <w:pStyle w:val="175"/>
              <w:keepNext w:val="0"/>
              <w:keepLines w:val="0"/>
              <w:pageBreakBefore w:val="0"/>
              <w:widowControl w:val="0"/>
              <w:numPr>
                <w:ilvl w:val="0"/>
                <w:numId w:val="0"/>
              </w:numPr>
              <w:tabs>
                <w:tab w:val="left" w:pos="0"/>
              </w:tabs>
              <w:kinsoku/>
              <w:overflowPunct/>
              <w:topLinePunct w:val="0"/>
              <w:autoSpaceDE/>
              <w:autoSpaceDN/>
              <w:bidi w:val="0"/>
              <w:spacing w:before="0" w:after="0" w:line="360" w:lineRule="auto"/>
              <w:ind w:left="0" w:leftChars="0"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（5）</w:t>
            </w:r>
            <w:r>
              <w:rPr>
                <w:rFonts w:hint="default" w:ascii="Times New Roman" w:hAnsi="Times New Roman" w:cs="Times New Roman"/>
                <w:color w:val="000000" w:themeColor="text1"/>
                <w:sz w:val="24"/>
                <w:szCs w:val="24"/>
                <w14:textFill>
                  <w14:solidFill>
                    <w14:schemeClr w14:val="tx1"/>
                  </w14:solidFill>
                </w14:textFill>
              </w:rPr>
              <w:t>要加强设备、仪器、仪表的检查、维护、检修，保证设备完好运行，防止跑、冒、滴、漏对环境的污染。</w:t>
            </w:r>
          </w:p>
          <w:p w14:paraId="11E5BA40">
            <w:pPr>
              <w:pStyle w:val="175"/>
              <w:keepNext w:val="0"/>
              <w:keepLines w:val="0"/>
              <w:pageBreakBefore w:val="0"/>
              <w:widowControl w:val="0"/>
              <w:numPr>
                <w:ilvl w:val="0"/>
                <w:numId w:val="0"/>
              </w:numPr>
              <w:tabs>
                <w:tab w:val="left" w:pos="0"/>
              </w:tabs>
              <w:kinsoku/>
              <w:overflowPunct/>
              <w:topLinePunct w:val="0"/>
              <w:autoSpaceDE/>
              <w:autoSpaceDN/>
              <w:bidi w:val="0"/>
              <w:spacing w:before="0" w:after="0" w:line="360" w:lineRule="auto"/>
              <w:ind w:left="0" w:leftChars="0"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t>加强各生产车间、工段的环境卫生管理：①督促有关工段及时清理废弃的渣料等，以免大风天气时形成扬尘，造成二次污染，影响周围环境。②保持工场的通风、整洁和宽敞。开工时废气净化、除尘装置必须正常运转，确保操作工人有安全生产的环境。操作工人还应做好个人防护工作，避免粉尘、废气经呼吸道和皮肤吸收，引起急性中毒事件或职业病的发生。</w:t>
            </w:r>
          </w:p>
          <w:p w14:paraId="6687FF53">
            <w:pPr>
              <w:pStyle w:val="175"/>
              <w:keepNext w:val="0"/>
              <w:keepLines w:val="0"/>
              <w:pageBreakBefore w:val="0"/>
              <w:widowControl w:val="0"/>
              <w:numPr>
                <w:ilvl w:val="0"/>
                <w:numId w:val="0"/>
              </w:numPr>
              <w:tabs>
                <w:tab w:val="left" w:pos="0"/>
              </w:tabs>
              <w:kinsoku/>
              <w:overflowPunct/>
              <w:topLinePunct w:val="0"/>
              <w:autoSpaceDE/>
              <w:autoSpaceDN/>
              <w:bidi w:val="0"/>
              <w:spacing w:before="0" w:after="0" w:line="360" w:lineRule="auto"/>
              <w:ind w:left="0" w:leftChars="0"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（7）</w:t>
            </w:r>
            <w:r>
              <w:rPr>
                <w:rFonts w:hint="default" w:ascii="Times New Roman" w:hAnsi="Times New Roman" w:cs="Times New Roman"/>
                <w:color w:val="000000" w:themeColor="text1"/>
                <w:sz w:val="24"/>
                <w:szCs w:val="24"/>
                <w14:textFill>
                  <w14:solidFill>
                    <w14:schemeClr w14:val="tx1"/>
                  </w14:solidFill>
                </w14:textFill>
              </w:rPr>
              <w:t>做好绿化的建设和维护工作。绿色植物不仅能涵养水分，保持水土，而且能挡尘降噪，调节小气候，有利于改善生态环境。</w:t>
            </w:r>
          </w:p>
          <w:p w14:paraId="538286DA">
            <w:pPr>
              <w:pStyle w:val="175"/>
              <w:keepNext w:val="0"/>
              <w:keepLines w:val="0"/>
              <w:pageBreakBefore w:val="0"/>
              <w:widowControl w:val="0"/>
              <w:numPr>
                <w:ilvl w:val="0"/>
                <w:numId w:val="0"/>
              </w:numPr>
              <w:tabs>
                <w:tab w:val="left" w:pos="0"/>
              </w:tabs>
              <w:kinsoku/>
              <w:overflowPunct/>
              <w:topLinePunct w:val="0"/>
              <w:autoSpaceDE/>
              <w:autoSpaceDN/>
              <w:bidi w:val="0"/>
              <w:spacing w:before="0" w:after="0" w:line="360" w:lineRule="auto"/>
              <w:ind w:left="0" w:leftChars="0"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（8）</w:t>
            </w:r>
            <w:r>
              <w:rPr>
                <w:rFonts w:hint="default" w:ascii="Times New Roman" w:hAnsi="Times New Roman" w:cs="Times New Roman"/>
                <w:color w:val="000000" w:themeColor="text1"/>
                <w:sz w:val="24"/>
                <w:szCs w:val="24"/>
                <w14:textFill>
                  <w14:solidFill>
                    <w14:schemeClr w14:val="tx1"/>
                  </w14:solidFill>
                </w14:textFill>
              </w:rPr>
              <w:t>建立环境管理体系，提高环境管理水平。定期进行清洁生产审计，不断采用无污染和少污染的新工艺和新技术。</w:t>
            </w:r>
          </w:p>
          <w:p w14:paraId="35CB1EDB">
            <w:pPr>
              <w:pStyle w:val="175"/>
              <w:keepNext w:val="0"/>
              <w:keepLines w:val="0"/>
              <w:pageBreakBefore w:val="0"/>
              <w:widowControl w:val="0"/>
              <w:numPr>
                <w:ilvl w:val="0"/>
                <w:numId w:val="0"/>
              </w:numPr>
              <w:tabs>
                <w:tab w:val="left" w:pos="0"/>
              </w:tabs>
              <w:kinsoku/>
              <w:overflowPunct/>
              <w:topLinePunct w:val="0"/>
              <w:autoSpaceDE/>
              <w:autoSpaceDN/>
              <w:bidi w:val="0"/>
              <w:spacing w:before="0" w:after="0" w:line="360" w:lineRule="auto"/>
              <w:ind w:left="0" w:leftChars="0"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（9）</w:t>
            </w:r>
            <w:r>
              <w:rPr>
                <w:rFonts w:hint="default" w:ascii="Times New Roman" w:hAnsi="Times New Roman" w:cs="Times New Roman"/>
                <w:color w:val="000000" w:themeColor="text1"/>
                <w:sz w:val="24"/>
                <w:szCs w:val="24"/>
                <w14:textFill>
                  <w14:solidFill>
                    <w14:schemeClr w14:val="tx1"/>
                  </w14:solidFill>
                </w14:textFill>
              </w:rPr>
              <w:t>接受</w:t>
            </w:r>
            <w:r>
              <w:rPr>
                <w:rFonts w:hint="eastAsia" w:cs="Times New Roman"/>
                <w:color w:val="000000" w:themeColor="text1"/>
                <w:sz w:val="24"/>
                <w:szCs w:val="24"/>
                <w:lang w:eastAsia="zh-CN"/>
                <w14:textFill>
                  <w14:solidFill>
                    <w14:schemeClr w14:val="tx1"/>
                  </w14:solidFill>
                </w14:textFill>
              </w:rPr>
              <w:t>生态环境主管部门</w:t>
            </w:r>
            <w:r>
              <w:rPr>
                <w:rFonts w:hint="default" w:ascii="Times New Roman" w:hAnsi="Times New Roman" w:cs="Times New Roman"/>
                <w:color w:val="000000" w:themeColor="text1"/>
                <w:sz w:val="24"/>
                <w:szCs w:val="24"/>
                <w14:textFill>
                  <w14:solidFill>
                    <w14:schemeClr w14:val="tx1"/>
                  </w14:solidFill>
                </w14:textFill>
              </w:rPr>
              <w:t>的监督检查。主要内容有：污染物排放情况、环保设施运行管理情况、环境监测及污染物监测情况、环境事故的调查和有关记录、污染源建档记录等。</w:t>
            </w:r>
          </w:p>
          <w:p w14:paraId="4491AC99">
            <w:pPr>
              <w:keepNext w:val="0"/>
              <w:keepLines w:val="0"/>
              <w:pageBreakBefore w:val="0"/>
              <w:widowControl w:val="0"/>
              <w:kinsoku/>
              <w:overflowPunct/>
              <w:topLinePunct w:val="0"/>
              <w:autoSpaceDE/>
              <w:autoSpaceDN/>
              <w:bidi w:val="0"/>
              <w:adjustRightInd w:val="0"/>
              <w:snapToGrid w:val="0"/>
              <w:spacing w:line="360" w:lineRule="auto"/>
              <w:jc w:val="left"/>
              <w:textAlignment w:val="auto"/>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 xml:space="preserve">（二）排污口规范化 </w:t>
            </w:r>
          </w:p>
          <w:p w14:paraId="26C866B4">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360" w:lineRule="auto"/>
              <w:ind w:left="0" w:leftChars="0"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1.</w:t>
            </w:r>
            <w:r>
              <w:rPr>
                <w:rFonts w:hint="default" w:ascii="Times New Roman" w:hAnsi="Times New Roman" w:cs="Times New Roman"/>
                <w:color w:val="000000" w:themeColor="text1"/>
                <w:sz w:val="24"/>
                <w:szCs w:val="24"/>
                <w14:textFill>
                  <w14:solidFill>
                    <w14:schemeClr w14:val="tx1"/>
                  </w14:solidFill>
                </w14:textFill>
              </w:rPr>
              <w:t>排污口规范化必要性：排污口规范化管理是实施污染物总量控制的基础性工作之一，也是总量控制不可缺少的一部分内容，此项工作可强化污染物的现场监督检查，促进企业加强管理和污染治理，实施污染物排放科学化、定量化管理。</w:t>
            </w:r>
          </w:p>
          <w:p w14:paraId="6DD34E69">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360" w:lineRule="auto"/>
              <w:ind w:left="0" w:leftChars="0"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排污口规范化的范围和时间：一切新建、扩建、技改、改建的排污单位以及限期治理的排污单位，必须在建设污染治理设施的同时，建设规范化排污口。因此，排污口必须规范化设置和管理。规范化工作应</w:t>
            </w:r>
            <w:r>
              <w:rPr>
                <w:rFonts w:hint="eastAsia" w:cs="Times New Roman"/>
                <w:color w:val="000000" w:themeColor="text1"/>
                <w:sz w:val="24"/>
                <w:szCs w:val="24"/>
                <w:lang w:val="en-US" w:eastAsia="zh-CN"/>
                <w14:textFill>
                  <w14:solidFill>
                    <w14:schemeClr w14:val="tx1"/>
                  </w14:solidFill>
                </w14:textFill>
              </w:rPr>
              <w:t>与</w:t>
            </w:r>
            <w:r>
              <w:rPr>
                <w:rFonts w:hint="default" w:ascii="Times New Roman" w:hAnsi="Times New Roman" w:cs="Times New Roman"/>
                <w:color w:val="000000" w:themeColor="text1"/>
                <w:sz w:val="24"/>
                <w:szCs w:val="24"/>
                <w14:textFill>
                  <w14:solidFill>
                    <w14:schemeClr w14:val="tx1"/>
                  </w14:solidFill>
                </w14:textFill>
              </w:rPr>
              <w:t>污染治理同步实施，即治理设施完工时，规范化工作必须同时完成，并列入污染治理设施的验收内容。</w:t>
            </w:r>
          </w:p>
          <w:p w14:paraId="59896F46">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360" w:lineRule="auto"/>
              <w:ind w:left="0" w:leftChars="0"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 xml:space="preserve">排污口规范化内容 </w:t>
            </w:r>
          </w:p>
          <w:p w14:paraId="1FD554E6">
            <w:pPr>
              <w:pStyle w:val="175"/>
              <w:keepNext w:val="0"/>
              <w:keepLines w:val="0"/>
              <w:pageBreakBefore w:val="0"/>
              <w:widowControl w:val="0"/>
              <w:numPr>
                <w:ilvl w:val="0"/>
                <w:numId w:val="0"/>
              </w:numPr>
              <w:tabs>
                <w:tab w:val="left" w:pos="0"/>
              </w:tabs>
              <w:kinsoku/>
              <w:overflowPunct/>
              <w:topLinePunct w:val="0"/>
              <w:autoSpaceDE/>
              <w:autoSpaceDN/>
              <w:bidi w:val="0"/>
              <w:spacing w:before="0" w:after="0" w:line="360" w:lineRule="auto"/>
              <w:ind w:left="0" w:leftChars="0"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（1）</w:t>
            </w:r>
            <w:r>
              <w:rPr>
                <w:rFonts w:hint="default" w:ascii="Times New Roman" w:hAnsi="Times New Roman" w:cs="Times New Roman"/>
                <w:color w:val="000000" w:themeColor="text1"/>
                <w:sz w:val="24"/>
                <w:szCs w:val="24"/>
                <w14:textFill>
                  <w14:solidFill>
                    <w14:schemeClr w14:val="tx1"/>
                  </w14:solidFill>
                </w14:textFill>
              </w:rPr>
              <w:t>需规范化排放口：排放口应预留监测口，做到便于采样和测定流量，并设立标志。</w:t>
            </w:r>
          </w:p>
          <w:p w14:paraId="62CFAE38">
            <w:pPr>
              <w:pStyle w:val="175"/>
              <w:keepNext w:val="0"/>
              <w:keepLines w:val="0"/>
              <w:pageBreakBefore w:val="0"/>
              <w:widowControl w:val="0"/>
              <w:numPr>
                <w:ilvl w:val="0"/>
                <w:numId w:val="0"/>
              </w:numPr>
              <w:tabs>
                <w:tab w:val="left" w:pos="0"/>
              </w:tabs>
              <w:kinsoku/>
              <w:overflowPunct/>
              <w:topLinePunct w:val="0"/>
              <w:autoSpaceDE/>
              <w:autoSpaceDN/>
              <w:bidi w:val="0"/>
              <w:spacing w:before="0" w:after="0" w:line="360" w:lineRule="auto"/>
              <w:ind w:left="0" w:leftChars="0"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排污口的管理：建设单位应在各排污口处设置较明显的排污口标志牌，其上应注明主要排污污染物的名称。建设单位应如实填写《中华人民共和国规范化排污口标志登记证》的有关内容，由</w:t>
            </w:r>
            <w:r>
              <w:rPr>
                <w:rFonts w:hint="eastAsia" w:cs="Times New Roman"/>
                <w:color w:val="000000" w:themeColor="text1"/>
                <w:sz w:val="24"/>
                <w:szCs w:val="24"/>
                <w:lang w:eastAsia="zh-CN"/>
                <w14:textFill>
                  <w14:solidFill>
                    <w14:schemeClr w14:val="tx1"/>
                  </w14:solidFill>
                </w14:textFill>
              </w:rPr>
              <w:t>生态环境主管部门</w:t>
            </w:r>
            <w:r>
              <w:rPr>
                <w:rFonts w:hint="default" w:ascii="Times New Roman" w:hAnsi="Times New Roman" w:cs="Times New Roman"/>
                <w:color w:val="000000" w:themeColor="text1"/>
                <w:sz w:val="24"/>
                <w:szCs w:val="24"/>
                <w14:textFill>
                  <w14:solidFill>
                    <w14:schemeClr w14:val="tx1"/>
                  </w14:solidFill>
                </w14:textFill>
              </w:rPr>
              <w:t>签发登记证。建设单位应将有关排污口的情况如：排污口的性质、编号、排污口的位置；主要排放的污染物种类、数量、浓度、排放规律、排放去向；污染治理措施的运行情况等进行建档管理，并报送</w:t>
            </w:r>
            <w:r>
              <w:rPr>
                <w:rFonts w:hint="eastAsia" w:cs="Times New Roman"/>
                <w:color w:val="000000" w:themeColor="text1"/>
                <w:sz w:val="24"/>
                <w:szCs w:val="24"/>
                <w:lang w:eastAsia="zh-CN"/>
                <w14:textFill>
                  <w14:solidFill>
                    <w14:schemeClr w14:val="tx1"/>
                  </w14:solidFill>
                </w14:textFill>
              </w:rPr>
              <w:t>生态环境主管部门</w:t>
            </w:r>
            <w:r>
              <w:rPr>
                <w:rFonts w:hint="default" w:ascii="Times New Roman" w:hAnsi="Times New Roman" w:cs="Times New Roman"/>
                <w:color w:val="000000" w:themeColor="text1"/>
                <w:sz w:val="24"/>
                <w:szCs w:val="24"/>
                <w14:textFill>
                  <w14:solidFill>
                    <w14:schemeClr w14:val="tx1"/>
                  </w14:solidFill>
                </w14:textFill>
              </w:rPr>
              <w:t>备案。排污口规范化标识详见下表。</w:t>
            </w:r>
          </w:p>
          <w:p w14:paraId="5EDBE2AB">
            <w:pPr>
              <w:pStyle w:val="142"/>
              <w:keepNext w:val="0"/>
              <w:keepLines w:val="0"/>
              <w:pageBreakBefore w:val="0"/>
              <w:widowControl w:val="0"/>
              <w:kinsoku/>
              <w:overflowPunct/>
              <w:topLinePunct w:val="0"/>
              <w:autoSpaceDE/>
              <w:autoSpaceDN/>
              <w:bidi w:val="0"/>
              <w:spacing w:line="240" w:lineRule="auto"/>
              <w:ind w:right="0" w:firstLine="482"/>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表5-1排污口规范化标识示意图表</w:t>
            </w:r>
          </w:p>
          <w:tbl>
            <w:tblPr>
              <w:tblStyle w:val="44"/>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3"/>
              <w:gridCol w:w="1442"/>
              <w:gridCol w:w="1254"/>
              <w:gridCol w:w="1254"/>
              <w:gridCol w:w="1807"/>
            </w:tblGrid>
            <w:tr w14:paraId="16A35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5" w:type="dxa"/>
                  <w:noWrap w:val="0"/>
                  <w:vAlign w:val="top"/>
                </w:tcPr>
                <w:p w14:paraId="3175361C">
                  <w:pPr>
                    <w:pStyle w:val="175"/>
                    <w:keepNext w:val="0"/>
                    <w:keepLines w:val="0"/>
                    <w:pageBreakBefore w:val="0"/>
                    <w:widowControl w:val="0"/>
                    <w:kinsoku/>
                    <w:overflowPunct/>
                    <w:topLinePunct w:val="0"/>
                    <w:autoSpaceDE/>
                    <w:autoSpaceDN/>
                    <w:bidi w:val="0"/>
                    <w:spacing w:before="0" w:after="0" w:line="240" w:lineRule="auto"/>
                    <w:textAlignment w:val="auto"/>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废水排放口</w:t>
                  </w:r>
                </w:p>
              </w:tc>
              <w:tc>
                <w:tcPr>
                  <w:tcW w:w="1444" w:type="dxa"/>
                  <w:noWrap w:val="0"/>
                  <w:vAlign w:val="top"/>
                </w:tcPr>
                <w:p w14:paraId="73AF747B">
                  <w:pPr>
                    <w:pStyle w:val="175"/>
                    <w:keepNext w:val="0"/>
                    <w:keepLines w:val="0"/>
                    <w:pageBreakBefore w:val="0"/>
                    <w:widowControl w:val="0"/>
                    <w:kinsoku/>
                    <w:overflowPunct/>
                    <w:topLinePunct w:val="0"/>
                    <w:autoSpaceDE/>
                    <w:autoSpaceDN/>
                    <w:bidi w:val="0"/>
                    <w:spacing w:before="0" w:after="0" w:line="240" w:lineRule="auto"/>
                    <w:textAlignment w:val="auto"/>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废气排放口</w:t>
                  </w:r>
                </w:p>
              </w:tc>
              <w:tc>
                <w:tcPr>
                  <w:tcW w:w="1256" w:type="dxa"/>
                  <w:noWrap w:val="0"/>
                  <w:vAlign w:val="top"/>
                </w:tcPr>
                <w:p w14:paraId="1F70C5D5">
                  <w:pPr>
                    <w:pStyle w:val="175"/>
                    <w:keepNext w:val="0"/>
                    <w:keepLines w:val="0"/>
                    <w:pageBreakBefore w:val="0"/>
                    <w:widowControl w:val="0"/>
                    <w:kinsoku/>
                    <w:overflowPunct/>
                    <w:topLinePunct w:val="0"/>
                    <w:autoSpaceDE/>
                    <w:autoSpaceDN/>
                    <w:bidi w:val="0"/>
                    <w:spacing w:before="0" w:after="0" w:line="240" w:lineRule="auto"/>
                    <w:textAlignment w:val="auto"/>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噪声源</w:t>
                  </w:r>
                </w:p>
              </w:tc>
              <w:tc>
                <w:tcPr>
                  <w:tcW w:w="1256" w:type="dxa"/>
                  <w:noWrap w:val="0"/>
                  <w:vAlign w:val="top"/>
                </w:tcPr>
                <w:p w14:paraId="5A638C77">
                  <w:pPr>
                    <w:pStyle w:val="175"/>
                    <w:keepNext w:val="0"/>
                    <w:keepLines w:val="0"/>
                    <w:pageBreakBefore w:val="0"/>
                    <w:widowControl w:val="0"/>
                    <w:kinsoku/>
                    <w:overflowPunct/>
                    <w:topLinePunct w:val="0"/>
                    <w:autoSpaceDE/>
                    <w:autoSpaceDN/>
                    <w:bidi w:val="0"/>
                    <w:spacing w:before="0" w:after="0" w:line="240" w:lineRule="auto"/>
                    <w:textAlignment w:val="auto"/>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固体废弃物堆场</w:t>
                  </w:r>
                </w:p>
              </w:tc>
              <w:tc>
                <w:tcPr>
                  <w:tcW w:w="1810" w:type="dxa"/>
                  <w:noWrap w:val="0"/>
                  <w:vAlign w:val="top"/>
                </w:tcPr>
                <w:p w14:paraId="2427CAAF">
                  <w:pPr>
                    <w:pStyle w:val="175"/>
                    <w:keepNext w:val="0"/>
                    <w:keepLines w:val="0"/>
                    <w:pageBreakBefore w:val="0"/>
                    <w:widowControl w:val="0"/>
                    <w:kinsoku/>
                    <w:overflowPunct/>
                    <w:topLinePunct w:val="0"/>
                    <w:autoSpaceDE/>
                    <w:autoSpaceDN/>
                    <w:bidi w:val="0"/>
                    <w:spacing w:before="0" w:after="0" w:line="240" w:lineRule="auto"/>
                    <w:textAlignment w:val="auto"/>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危险废物暂存</w:t>
                  </w:r>
                </w:p>
              </w:tc>
            </w:tr>
            <w:tr w14:paraId="45566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1295" w:type="dxa"/>
                  <w:noWrap w:val="0"/>
                  <w:vAlign w:val="center"/>
                </w:tcPr>
                <w:p w14:paraId="580D711C">
                  <w:pPr>
                    <w:pStyle w:val="175"/>
                    <w:keepNext w:val="0"/>
                    <w:keepLines w:val="0"/>
                    <w:pageBreakBefore w:val="0"/>
                    <w:widowControl w:val="0"/>
                    <w:kinsoku/>
                    <w:overflowPunct/>
                    <w:topLinePunct w:val="0"/>
                    <w:autoSpaceDE/>
                    <w:autoSpaceDN/>
                    <w:bidi w:val="0"/>
                    <w:spacing w:before="0" w:after="0" w:line="240" w:lineRule="auto"/>
                    <w:jc w:val="both"/>
                    <w:textAlignment w:val="auto"/>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drawing>
                      <wp:inline distT="0" distB="0" distL="114300" distR="114300">
                        <wp:extent cx="640715" cy="647700"/>
                        <wp:effectExtent l="0" t="0" r="6985" b="0"/>
                        <wp:docPr id="188" name="图片 12" descr="排放口"/>
                        <wp:cNvGraphicFramePr/>
                        <a:graphic xmlns:a="http://schemas.openxmlformats.org/drawingml/2006/main">
                          <a:graphicData uri="http://schemas.openxmlformats.org/drawingml/2006/picture">
                            <pic:pic xmlns:pic="http://schemas.openxmlformats.org/drawingml/2006/picture">
                              <pic:nvPicPr>
                                <pic:cNvPr id="188" name="图片 12" descr="排放口"/>
                                <pic:cNvPicPr/>
                              </pic:nvPicPr>
                              <pic:blipFill>
                                <a:blip r:embed="rId50"/>
                                <a:srcRect l="66771" t="5846" r="3780" b="55385"/>
                                <a:stretch>
                                  <a:fillRect/>
                                </a:stretch>
                              </pic:blipFill>
                              <pic:spPr>
                                <a:xfrm>
                                  <a:off x="0" y="0"/>
                                  <a:ext cx="640715" cy="647700"/>
                                </a:xfrm>
                                <a:prstGeom prst="rect">
                                  <a:avLst/>
                                </a:prstGeom>
                                <a:noFill/>
                                <a:ln>
                                  <a:noFill/>
                                </a:ln>
                              </pic:spPr>
                            </pic:pic>
                          </a:graphicData>
                        </a:graphic>
                      </wp:inline>
                    </w:drawing>
                  </w:r>
                </w:p>
              </w:tc>
              <w:tc>
                <w:tcPr>
                  <w:tcW w:w="1444" w:type="dxa"/>
                  <w:noWrap w:val="0"/>
                  <w:vAlign w:val="top"/>
                </w:tcPr>
                <w:p w14:paraId="24319959">
                  <w:pPr>
                    <w:pStyle w:val="175"/>
                    <w:keepNext w:val="0"/>
                    <w:keepLines w:val="0"/>
                    <w:pageBreakBefore w:val="0"/>
                    <w:widowControl w:val="0"/>
                    <w:kinsoku/>
                    <w:overflowPunct/>
                    <w:topLinePunct w:val="0"/>
                    <w:autoSpaceDE/>
                    <w:autoSpaceDN/>
                    <w:bidi w:val="0"/>
                    <w:spacing w:before="0" w:after="0" w:line="240" w:lineRule="auto"/>
                    <w:jc w:val="center"/>
                    <w:textAlignment w:val="auto"/>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drawing>
                      <wp:inline distT="0" distB="0" distL="114300" distR="114300">
                        <wp:extent cx="637540" cy="647700"/>
                        <wp:effectExtent l="0" t="0" r="10160" b="0"/>
                        <wp:docPr id="189" name="图片 13" descr="排放口"/>
                        <wp:cNvGraphicFramePr/>
                        <a:graphic xmlns:a="http://schemas.openxmlformats.org/drawingml/2006/main">
                          <a:graphicData uri="http://schemas.openxmlformats.org/drawingml/2006/picture">
                            <pic:pic xmlns:pic="http://schemas.openxmlformats.org/drawingml/2006/picture">
                              <pic:nvPicPr>
                                <pic:cNvPr id="189" name="图片 13" descr="排放口"/>
                                <pic:cNvPicPr/>
                              </pic:nvPicPr>
                              <pic:blipFill>
                                <a:blip r:embed="rId51"/>
                                <a:srcRect l="19153" t="6250" r="51726" b="55122"/>
                                <a:stretch>
                                  <a:fillRect/>
                                </a:stretch>
                              </pic:blipFill>
                              <pic:spPr>
                                <a:xfrm>
                                  <a:off x="0" y="0"/>
                                  <a:ext cx="637540" cy="647700"/>
                                </a:xfrm>
                                <a:prstGeom prst="rect">
                                  <a:avLst/>
                                </a:prstGeom>
                                <a:noFill/>
                                <a:ln>
                                  <a:noFill/>
                                </a:ln>
                              </pic:spPr>
                            </pic:pic>
                          </a:graphicData>
                        </a:graphic>
                      </wp:inline>
                    </w:drawing>
                  </w:r>
                </w:p>
              </w:tc>
              <w:tc>
                <w:tcPr>
                  <w:tcW w:w="1256" w:type="dxa"/>
                  <w:noWrap w:val="0"/>
                  <w:vAlign w:val="top"/>
                </w:tcPr>
                <w:p w14:paraId="25A8E5E9">
                  <w:pPr>
                    <w:pStyle w:val="175"/>
                    <w:keepNext w:val="0"/>
                    <w:keepLines w:val="0"/>
                    <w:pageBreakBefore w:val="0"/>
                    <w:widowControl w:val="0"/>
                    <w:kinsoku/>
                    <w:overflowPunct/>
                    <w:topLinePunct w:val="0"/>
                    <w:autoSpaceDE/>
                    <w:autoSpaceDN/>
                    <w:bidi w:val="0"/>
                    <w:spacing w:before="0" w:after="0" w:line="240" w:lineRule="auto"/>
                    <w:jc w:val="both"/>
                    <w:textAlignment w:val="auto"/>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drawing>
                      <wp:inline distT="0" distB="0" distL="114300" distR="114300">
                        <wp:extent cx="638810" cy="647700"/>
                        <wp:effectExtent l="0" t="0" r="8890" b="0"/>
                        <wp:docPr id="193" name="图片 14" descr="排放口"/>
                        <wp:cNvGraphicFramePr/>
                        <a:graphic xmlns:a="http://schemas.openxmlformats.org/drawingml/2006/main">
                          <a:graphicData uri="http://schemas.openxmlformats.org/drawingml/2006/picture">
                            <pic:pic xmlns:pic="http://schemas.openxmlformats.org/drawingml/2006/picture">
                              <pic:nvPicPr>
                                <pic:cNvPr id="193" name="图片 14" descr="排放口"/>
                                <pic:cNvPicPr/>
                              </pic:nvPicPr>
                              <pic:blipFill>
                                <a:blip r:embed="rId52"/>
                                <a:srcRect l="51723" t="47942" r="27068" b="13129"/>
                                <a:stretch>
                                  <a:fillRect/>
                                </a:stretch>
                              </pic:blipFill>
                              <pic:spPr>
                                <a:xfrm>
                                  <a:off x="0" y="0"/>
                                  <a:ext cx="638810" cy="647700"/>
                                </a:xfrm>
                                <a:prstGeom prst="rect">
                                  <a:avLst/>
                                </a:prstGeom>
                                <a:noFill/>
                                <a:ln>
                                  <a:noFill/>
                                </a:ln>
                              </pic:spPr>
                            </pic:pic>
                          </a:graphicData>
                        </a:graphic>
                      </wp:inline>
                    </w:drawing>
                  </w:r>
                </w:p>
              </w:tc>
              <w:tc>
                <w:tcPr>
                  <w:tcW w:w="1256" w:type="dxa"/>
                  <w:noWrap w:val="0"/>
                  <w:vAlign w:val="top"/>
                </w:tcPr>
                <w:p w14:paraId="45E81E56">
                  <w:pPr>
                    <w:pStyle w:val="175"/>
                    <w:keepNext w:val="0"/>
                    <w:keepLines w:val="0"/>
                    <w:pageBreakBefore w:val="0"/>
                    <w:widowControl w:val="0"/>
                    <w:kinsoku/>
                    <w:overflowPunct/>
                    <w:topLinePunct w:val="0"/>
                    <w:autoSpaceDE/>
                    <w:autoSpaceDN/>
                    <w:bidi w:val="0"/>
                    <w:spacing w:before="0" w:after="0" w:line="240" w:lineRule="auto"/>
                    <w:jc w:val="both"/>
                    <w:textAlignment w:val="auto"/>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drawing>
                      <wp:inline distT="0" distB="0" distL="114300" distR="114300">
                        <wp:extent cx="652145" cy="647700"/>
                        <wp:effectExtent l="0" t="0" r="14605" b="0"/>
                        <wp:docPr id="194" name="图片 15" descr="排放口"/>
                        <wp:cNvGraphicFramePr/>
                        <a:graphic xmlns:a="http://schemas.openxmlformats.org/drawingml/2006/main">
                          <a:graphicData uri="http://schemas.openxmlformats.org/drawingml/2006/picture">
                            <pic:pic xmlns:pic="http://schemas.openxmlformats.org/drawingml/2006/picture">
                              <pic:nvPicPr>
                                <pic:cNvPr id="194" name="图片 15" descr="排放口"/>
                                <pic:cNvPicPr/>
                              </pic:nvPicPr>
                              <pic:blipFill>
                                <a:blip r:embed="rId53"/>
                                <a:srcRect l="18872" t="47525" r="51678" b="14359"/>
                                <a:stretch>
                                  <a:fillRect/>
                                </a:stretch>
                              </pic:blipFill>
                              <pic:spPr>
                                <a:xfrm>
                                  <a:off x="0" y="0"/>
                                  <a:ext cx="652145" cy="647700"/>
                                </a:xfrm>
                                <a:prstGeom prst="rect">
                                  <a:avLst/>
                                </a:prstGeom>
                                <a:noFill/>
                                <a:ln>
                                  <a:noFill/>
                                </a:ln>
                              </pic:spPr>
                            </pic:pic>
                          </a:graphicData>
                        </a:graphic>
                      </wp:inline>
                    </w:drawing>
                  </w:r>
                </w:p>
              </w:tc>
              <w:tc>
                <w:tcPr>
                  <w:tcW w:w="1810" w:type="dxa"/>
                  <w:noWrap w:val="0"/>
                  <w:vAlign w:val="top"/>
                </w:tcPr>
                <w:p w14:paraId="5E9E971A">
                  <w:pPr>
                    <w:pStyle w:val="175"/>
                    <w:keepNext w:val="0"/>
                    <w:keepLines w:val="0"/>
                    <w:pageBreakBefore w:val="0"/>
                    <w:widowControl w:val="0"/>
                    <w:kinsoku/>
                    <w:overflowPunct/>
                    <w:topLinePunct w:val="0"/>
                    <w:autoSpaceDE/>
                    <w:autoSpaceDN/>
                    <w:bidi w:val="0"/>
                    <w:spacing w:before="0" w:after="0" w:line="240" w:lineRule="auto"/>
                    <w:jc w:val="center"/>
                    <w:textAlignment w:val="auto"/>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drawing>
                      <wp:inline distT="0" distB="0" distL="114300" distR="114300">
                        <wp:extent cx="673735" cy="687070"/>
                        <wp:effectExtent l="0" t="0" r="12065" b="17780"/>
                        <wp:docPr id="195" name="图片 16"/>
                        <wp:cNvGraphicFramePr/>
                        <a:graphic xmlns:a="http://schemas.openxmlformats.org/drawingml/2006/main">
                          <a:graphicData uri="http://schemas.openxmlformats.org/drawingml/2006/picture">
                            <pic:pic xmlns:pic="http://schemas.openxmlformats.org/drawingml/2006/picture">
                              <pic:nvPicPr>
                                <pic:cNvPr id="195" name="图片 16"/>
                                <pic:cNvPicPr/>
                              </pic:nvPicPr>
                              <pic:blipFill>
                                <a:blip r:embed="rId54"/>
                                <a:srcRect l="15968" t="5974" r="13557" b="48367"/>
                                <a:stretch>
                                  <a:fillRect/>
                                </a:stretch>
                              </pic:blipFill>
                              <pic:spPr>
                                <a:xfrm>
                                  <a:off x="0" y="0"/>
                                  <a:ext cx="673735" cy="687070"/>
                                </a:xfrm>
                                <a:prstGeom prst="rect">
                                  <a:avLst/>
                                </a:prstGeom>
                                <a:noFill/>
                                <a:ln>
                                  <a:noFill/>
                                </a:ln>
                              </pic:spPr>
                            </pic:pic>
                          </a:graphicData>
                        </a:graphic>
                      </wp:inline>
                    </w:drawing>
                  </w:r>
                </w:p>
              </w:tc>
            </w:tr>
            <w:tr w14:paraId="2216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1" w:type="dxa"/>
                  <w:gridSpan w:val="4"/>
                  <w:noWrap w:val="0"/>
                  <w:vAlign w:val="top"/>
                </w:tcPr>
                <w:p w14:paraId="626549DC">
                  <w:pPr>
                    <w:pStyle w:val="175"/>
                    <w:keepNext w:val="0"/>
                    <w:keepLines w:val="0"/>
                    <w:pageBreakBefore w:val="0"/>
                    <w:widowControl w:val="0"/>
                    <w:kinsoku/>
                    <w:overflowPunct/>
                    <w:topLinePunct w:val="0"/>
                    <w:autoSpaceDE/>
                    <w:autoSpaceDN/>
                    <w:bidi w:val="0"/>
                    <w:spacing w:before="0" w:after="0" w:line="240" w:lineRule="auto"/>
                    <w:ind w:firstLine="422" w:firstLineChars="200"/>
                    <w:textAlignment w:val="auto"/>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背景颜色：绿色            图形颜色：白色</w:t>
                  </w:r>
                </w:p>
              </w:tc>
              <w:tc>
                <w:tcPr>
                  <w:tcW w:w="1810" w:type="dxa"/>
                  <w:noWrap w:val="0"/>
                  <w:vAlign w:val="top"/>
                </w:tcPr>
                <w:p w14:paraId="37DE3FEE">
                  <w:pPr>
                    <w:pStyle w:val="175"/>
                    <w:keepNext w:val="0"/>
                    <w:keepLines w:val="0"/>
                    <w:pageBreakBefore w:val="0"/>
                    <w:widowControl w:val="0"/>
                    <w:kinsoku/>
                    <w:overflowPunct/>
                    <w:topLinePunct w:val="0"/>
                    <w:autoSpaceDE/>
                    <w:autoSpaceDN/>
                    <w:bidi w:val="0"/>
                    <w:spacing w:before="0" w:after="0" w:line="240" w:lineRule="auto"/>
                    <w:jc w:val="both"/>
                    <w:textAlignment w:val="auto"/>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eastAsia" w:ascii="Times New Roman" w:hAnsi="Times New Roman" w:cs="Times New Roman"/>
                      <w:b/>
                      <w:color w:val="000000" w:themeColor="text1"/>
                      <w:sz w:val="21"/>
                      <w:szCs w:val="21"/>
                      <w:lang w:val="en-US" w:eastAsia="zh-CN"/>
                      <w14:textFill>
                        <w14:solidFill>
                          <w14:schemeClr w14:val="tx1"/>
                        </w14:solidFill>
                      </w14:textFill>
                    </w:rPr>
                    <w:t>底色为黄色，图形字体边框为黑色</w:t>
                  </w:r>
                </w:p>
              </w:tc>
            </w:tr>
          </w:tbl>
          <w:p w14:paraId="44350BD0">
            <w:pPr>
              <w:pStyle w:val="176"/>
              <w:keepNext w:val="0"/>
              <w:keepLines w:val="0"/>
              <w:pageBreakBefore w:val="0"/>
              <w:widowControl w:val="0"/>
              <w:numPr>
                <w:ilvl w:val="0"/>
                <w:numId w:val="0"/>
              </w:numPr>
              <w:kinsoku/>
              <w:overflowPunct/>
              <w:topLinePunct w:val="0"/>
              <w:autoSpaceDE/>
              <w:autoSpaceDN/>
              <w:bidi w:val="0"/>
              <w:spacing w:line="360" w:lineRule="auto"/>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（三）</w:t>
            </w:r>
            <w:r>
              <w:rPr>
                <w:rFonts w:hint="default" w:ascii="Times New Roman" w:hAnsi="Times New Roman" w:cs="Times New Roman"/>
                <w:color w:val="000000" w:themeColor="text1"/>
                <w:sz w:val="24"/>
                <w:szCs w:val="24"/>
                <w14:textFill>
                  <w14:solidFill>
                    <w14:schemeClr w14:val="tx1"/>
                  </w14:solidFill>
                </w14:textFill>
              </w:rPr>
              <w:t>排污许可</w:t>
            </w:r>
          </w:p>
          <w:p w14:paraId="7A9D3127">
            <w:pPr>
              <w:keepNext w:val="0"/>
              <w:keepLines w:val="0"/>
              <w:pageBreakBefore w:val="0"/>
              <w:widowControl w:val="0"/>
              <w:kinsoku/>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根据《固定污染源排污许可分类管理名录（2019版）》，对本项目排污许可分类进行判定，具体如下：</w:t>
            </w:r>
          </w:p>
          <w:p w14:paraId="1271236F">
            <w:pPr>
              <w:pStyle w:val="142"/>
              <w:keepNext w:val="0"/>
              <w:keepLines w:val="0"/>
              <w:pageBreakBefore w:val="0"/>
              <w:widowControl w:val="0"/>
              <w:kinsoku/>
              <w:overflowPunct/>
              <w:topLinePunct w:val="0"/>
              <w:autoSpaceDE/>
              <w:autoSpaceDN/>
              <w:bidi w:val="0"/>
              <w:spacing w:line="240" w:lineRule="auto"/>
              <w:ind w:right="0" w:firstLine="482"/>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表5-2 项目排污许可类别判定表</w:t>
            </w:r>
          </w:p>
          <w:tbl>
            <w:tblPr>
              <w:tblStyle w:val="4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
              <w:gridCol w:w="1145"/>
              <w:gridCol w:w="1384"/>
              <w:gridCol w:w="1546"/>
              <w:gridCol w:w="991"/>
              <w:gridCol w:w="1034"/>
            </w:tblGrid>
            <w:tr w14:paraId="4ED95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pct"/>
                  <w:vMerge w:val="restart"/>
                  <w:tcBorders>
                    <w:tl2br w:val="nil"/>
                    <w:tr2bl w:val="nil"/>
                  </w:tcBorders>
                  <w:noWrap w:val="0"/>
                  <w:vAlign w:val="center"/>
                </w:tcPr>
                <w:p w14:paraId="10771468">
                  <w:pPr>
                    <w:pStyle w:val="23"/>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国民经济行业类别</w:t>
                  </w:r>
                </w:p>
              </w:tc>
              <w:tc>
                <w:tcPr>
                  <w:tcW w:w="812" w:type="pct"/>
                  <w:vMerge w:val="restart"/>
                  <w:tcBorders>
                    <w:tl2br w:val="nil"/>
                    <w:tr2bl w:val="nil"/>
                  </w:tcBorders>
                  <w:noWrap w:val="0"/>
                  <w:vAlign w:val="center"/>
                </w:tcPr>
                <w:p w14:paraId="28F0FFA3">
                  <w:pPr>
                    <w:pStyle w:val="23"/>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建设项目行业类别</w:t>
                  </w:r>
                </w:p>
              </w:tc>
              <w:tc>
                <w:tcPr>
                  <w:tcW w:w="3514" w:type="pct"/>
                  <w:gridSpan w:val="4"/>
                  <w:tcBorders>
                    <w:tl2br w:val="nil"/>
                    <w:tr2bl w:val="nil"/>
                  </w:tcBorders>
                  <w:noWrap w:val="0"/>
                  <w:vAlign w:val="center"/>
                </w:tcPr>
                <w:p w14:paraId="073E45CF">
                  <w:pPr>
                    <w:pStyle w:val="23"/>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排污许可类别判定</w:t>
                  </w:r>
                </w:p>
              </w:tc>
            </w:tr>
            <w:tr w14:paraId="2D57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pct"/>
                  <w:vMerge w:val="continue"/>
                  <w:tcBorders>
                    <w:tl2br w:val="nil"/>
                    <w:tr2bl w:val="nil"/>
                  </w:tcBorders>
                  <w:noWrap w:val="0"/>
                  <w:vAlign w:val="center"/>
                </w:tcPr>
                <w:p w14:paraId="3931FA56">
                  <w:pPr>
                    <w:pStyle w:val="23"/>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12" w:type="pct"/>
                  <w:vMerge w:val="continue"/>
                  <w:tcBorders>
                    <w:tl2br w:val="nil"/>
                    <w:tr2bl w:val="nil"/>
                  </w:tcBorders>
                  <w:noWrap w:val="0"/>
                  <w:vAlign w:val="center"/>
                </w:tcPr>
                <w:p w14:paraId="3EF4CB39">
                  <w:pPr>
                    <w:pStyle w:val="23"/>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978" w:type="pct"/>
                  <w:tcBorders>
                    <w:tl2br w:val="nil"/>
                    <w:tr2bl w:val="nil"/>
                  </w:tcBorders>
                  <w:noWrap w:val="0"/>
                  <w:vAlign w:val="center"/>
                </w:tcPr>
                <w:p w14:paraId="0FF874BA">
                  <w:pPr>
                    <w:pStyle w:val="23"/>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重点管理</w:t>
                  </w:r>
                </w:p>
              </w:tc>
              <w:tc>
                <w:tcPr>
                  <w:tcW w:w="1095" w:type="pct"/>
                  <w:tcBorders>
                    <w:tl2br w:val="nil"/>
                    <w:tr2bl w:val="nil"/>
                  </w:tcBorders>
                  <w:noWrap w:val="0"/>
                  <w:vAlign w:val="center"/>
                </w:tcPr>
                <w:p w14:paraId="5A895329">
                  <w:pPr>
                    <w:pStyle w:val="23"/>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简化管理</w:t>
                  </w:r>
                </w:p>
              </w:tc>
              <w:tc>
                <w:tcPr>
                  <w:tcW w:w="701" w:type="pct"/>
                  <w:tcBorders>
                    <w:tl2br w:val="nil"/>
                    <w:tr2bl w:val="nil"/>
                  </w:tcBorders>
                  <w:noWrap w:val="0"/>
                  <w:vAlign w:val="center"/>
                </w:tcPr>
                <w:p w14:paraId="6726954F">
                  <w:pPr>
                    <w:pStyle w:val="23"/>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登记管理</w:t>
                  </w:r>
                </w:p>
              </w:tc>
              <w:tc>
                <w:tcPr>
                  <w:tcW w:w="738" w:type="pct"/>
                  <w:tcBorders>
                    <w:tl2br w:val="nil"/>
                    <w:tr2bl w:val="nil"/>
                  </w:tcBorders>
                  <w:noWrap w:val="0"/>
                  <w:vAlign w:val="center"/>
                </w:tcPr>
                <w:p w14:paraId="49100758">
                  <w:pPr>
                    <w:pStyle w:val="23"/>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本项目</w:t>
                  </w:r>
                </w:p>
              </w:tc>
            </w:tr>
            <w:tr w14:paraId="6AEA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pct"/>
                  <w:tcBorders>
                    <w:tl2br w:val="nil"/>
                    <w:tr2bl w:val="nil"/>
                  </w:tcBorders>
                  <w:noWrap w:val="0"/>
                  <w:vAlign w:val="center"/>
                </w:tcPr>
                <w:p w14:paraId="20D59A19">
                  <w:pPr>
                    <w:pStyle w:val="23"/>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C3360金属表面处理及热处理加工</w:t>
                  </w:r>
                </w:p>
              </w:tc>
              <w:tc>
                <w:tcPr>
                  <w:tcW w:w="812" w:type="pct"/>
                  <w:tcBorders>
                    <w:tl2br w:val="nil"/>
                    <w:tr2bl w:val="nil"/>
                  </w:tcBorders>
                  <w:noWrap w:val="0"/>
                  <w:vAlign w:val="center"/>
                </w:tcPr>
                <w:p w14:paraId="09429E34">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三十、金属制品业 33—67、金属表面处理及热处理加工 336</w:t>
                  </w:r>
                </w:p>
              </w:tc>
              <w:tc>
                <w:tcPr>
                  <w:tcW w:w="1384" w:type="dxa"/>
                  <w:tcBorders>
                    <w:tl2br w:val="nil"/>
                    <w:tr2bl w:val="nil"/>
                  </w:tcBorders>
                  <w:noWrap w:val="0"/>
                  <w:vAlign w:val="center"/>
                </w:tcPr>
                <w:p w14:paraId="2746C28F">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纳入重点排污单位名录的，专业电镀企业（含电镀园区中电镀企业），专门处理电镀废水的集中处理设施，有电镀工序的，有含铬钝化工序的</w:t>
                  </w:r>
                </w:p>
              </w:tc>
              <w:tc>
                <w:tcPr>
                  <w:tcW w:w="1546" w:type="dxa"/>
                  <w:tcBorders>
                    <w:tl2br w:val="nil"/>
                    <w:tr2bl w:val="nil"/>
                  </w:tcBorders>
                  <w:noWrap w:val="0"/>
                  <w:vAlign w:val="center"/>
                </w:tcPr>
                <w:p w14:paraId="5C76B18C">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除重点管理以外的有酸洗、抛光（电解抛光和化学抛光）、热浸镀（溶剂法）、淬火或者无铬钝化等工序的、年使用10吨及以上有机溶剂的</w:t>
                  </w:r>
                </w:p>
              </w:tc>
              <w:tc>
                <w:tcPr>
                  <w:tcW w:w="701" w:type="pct"/>
                  <w:tcBorders>
                    <w:tl2br w:val="nil"/>
                    <w:tr2bl w:val="nil"/>
                  </w:tcBorders>
                  <w:noWrap w:val="0"/>
                  <w:vAlign w:val="center"/>
                </w:tcPr>
                <w:p w14:paraId="64E291CA">
                  <w:pPr>
                    <w:pStyle w:val="23"/>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其他</w:t>
                  </w:r>
                </w:p>
              </w:tc>
              <w:tc>
                <w:tcPr>
                  <w:tcW w:w="738" w:type="pct"/>
                  <w:tcBorders>
                    <w:tl2br w:val="nil"/>
                    <w:tr2bl w:val="nil"/>
                  </w:tcBorders>
                  <w:noWrap w:val="0"/>
                  <w:vAlign w:val="center"/>
                </w:tcPr>
                <w:p w14:paraId="6B1EA238">
                  <w:pPr>
                    <w:pStyle w:val="23"/>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本项目生产</w:t>
                  </w:r>
                  <w:r>
                    <w:rPr>
                      <w:rFonts w:hint="eastAsia" w:ascii="Times New Roman" w:hAnsi="Times New Roman" w:cs="Times New Roman"/>
                      <w:color w:val="000000" w:themeColor="text1"/>
                      <w:sz w:val="21"/>
                      <w:szCs w:val="21"/>
                      <w:lang w:val="en-US" w:eastAsia="zh-CN"/>
                      <w14:textFill>
                        <w14:solidFill>
                          <w14:schemeClr w14:val="tx1"/>
                        </w14:solidFill>
                      </w14:textFill>
                    </w:rPr>
                    <w:t>有无铬钝化工序</w:t>
                  </w:r>
                  <w:r>
                    <w:rPr>
                      <w:rFonts w:hint="default" w:ascii="Times New Roman" w:hAnsi="Times New Roman" w:cs="Times New Roman"/>
                      <w:color w:val="000000" w:themeColor="text1"/>
                      <w:sz w:val="21"/>
                      <w:szCs w:val="21"/>
                      <w14:textFill>
                        <w14:solidFill>
                          <w14:schemeClr w14:val="tx1"/>
                        </w14:solidFill>
                      </w14:textFill>
                    </w:rPr>
                    <w:t>，实行</w:t>
                  </w:r>
                  <w:r>
                    <w:rPr>
                      <w:rFonts w:hint="eastAsia" w:ascii="Times New Roman" w:hAnsi="Times New Roman" w:cs="Times New Roman"/>
                      <w:color w:val="000000" w:themeColor="text1"/>
                      <w:sz w:val="21"/>
                      <w:szCs w:val="21"/>
                      <w:lang w:val="en-US" w:eastAsia="zh-CN"/>
                      <w14:textFill>
                        <w14:solidFill>
                          <w14:schemeClr w14:val="tx1"/>
                        </w14:solidFill>
                      </w14:textFill>
                    </w:rPr>
                    <w:t>简化</w:t>
                  </w:r>
                  <w:r>
                    <w:rPr>
                      <w:rFonts w:hint="default" w:ascii="Times New Roman" w:hAnsi="Times New Roman" w:cs="Times New Roman"/>
                      <w:color w:val="000000" w:themeColor="text1"/>
                      <w:sz w:val="21"/>
                      <w:szCs w:val="21"/>
                      <w14:textFill>
                        <w14:solidFill>
                          <w14:schemeClr w14:val="tx1"/>
                        </w14:solidFill>
                      </w14:textFill>
                    </w:rPr>
                    <w:t>管理</w:t>
                  </w:r>
                </w:p>
              </w:tc>
            </w:tr>
          </w:tbl>
          <w:p w14:paraId="0676DFF0">
            <w:pPr>
              <w:pStyle w:val="23"/>
              <w:keepNext w:val="0"/>
              <w:keepLines w:val="0"/>
              <w:pageBreakBefore w:val="0"/>
              <w:widowControl w:val="0"/>
              <w:numPr>
                <w:ilvl w:val="0"/>
                <w:numId w:val="0"/>
              </w:numPr>
              <w:kinsoku/>
              <w:overflowPunct/>
              <w:topLinePunct w:val="0"/>
              <w:autoSpaceDE/>
              <w:autoSpaceDN/>
              <w:bidi w:val="0"/>
              <w:spacing w:line="360" w:lineRule="auto"/>
              <w:ind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对照名录分析，本项目属于</w:t>
            </w:r>
            <w:r>
              <w:rPr>
                <w:rFonts w:hint="eastAsia" w:cs="Times New Roman"/>
                <w:color w:val="000000" w:themeColor="text1"/>
                <w:sz w:val="24"/>
                <w:szCs w:val="24"/>
                <w:lang w:val="en-US" w:eastAsia="zh-CN"/>
                <w14:textFill>
                  <w14:solidFill>
                    <w14:schemeClr w14:val="tx1"/>
                  </w14:solidFill>
                </w14:textFill>
              </w:rPr>
              <w:t>简化</w:t>
            </w:r>
            <w:r>
              <w:rPr>
                <w:rFonts w:hint="default" w:ascii="Times New Roman" w:hAnsi="Times New Roman" w:cs="Times New Roman"/>
                <w:color w:val="000000" w:themeColor="text1"/>
                <w:sz w:val="24"/>
                <w:szCs w:val="24"/>
                <w14:textFill>
                  <w14:solidFill>
                    <w14:schemeClr w14:val="tx1"/>
                  </w14:solidFill>
                </w14:textFill>
              </w:rPr>
              <w:t>管理。建设单位应在启动生产设施或者实际排污之前，依法向韶关市生态环境局乐昌分局申请取得排污许可证，并按照排污许可证的规定排放污染物。</w:t>
            </w:r>
          </w:p>
          <w:p w14:paraId="31D59186">
            <w:pPr>
              <w:keepNext w:val="0"/>
              <w:keepLines w:val="0"/>
              <w:pageBreakBefore w:val="0"/>
              <w:widowControl w:val="0"/>
              <w:kinsoku/>
              <w:overflowPunct/>
              <w:topLinePunct w:val="0"/>
              <w:autoSpaceDE/>
              <w:autoSpaceDN/>
              <w:bidi w:val="0"/>
              <w:adjustRightInd w:val="0"/>
              <w:snapToGrid w:val="0"/>
              <w:spacing w:line="360" w:lineRule="auto"/>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（四）竣工验收要求</w:t>
            </w:r>
          </w:p>
          <w:p w14:paraId="303F2520">
            <w:pPr>
              <w:pStyle w:val="175"/>
              <w:keepNext w:val="0"/>
              <w:keepLines w:val="0"/>
              <w:pageBreakBefore w:val="0"/>
              <w:widowControl w:val="0"/>
              <w:kinsoku/>
              <w:overflowPunct/>
              <w:topLinePunct w:val="0"/>
              <w:autoSpaceDE/>
              <w:autoSpaceDN/>
              <w:bidi w:val="0"/>
              <w:spacing w:before="0" w:after="0" w:line="360" w:lineRule="auto"/>
              <w:ind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根据《建设项目竣工环境保护验收暂行办法》（国环规环评〔2017〕4号），建设单位自行验收。本项目自行验收要求如下： </w:t>
            </w:r>
          </w:p>
          <w:p w14:paraId="08A61629">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360" w:lineRule="auto"/>
              <w:ind w:left="0" w:leftChars="0"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1.</w:t>
            </w:r>
            <w:r>
              <w:rPr>
                <w:rFonts w:hint="default" w:ascii="Times New Roman" w:hAnsi="Times New Roman" w:cs="Times New Roman"/>
                <w:color w:val="000000" w:themeColor="text1"/>
                <w:sz w:val="24"/>
                <w:szCs w:val="24"/>
                <w14:textFill>
                  <w14:solidFill>
                    <w14:schemeClr w14:val="tx1"/>
                  </w14:solidFill>
                </w14:textFill>
              </w:rPr>
              <w:t>建设单位是建设项目竣工环境保护验收的责任主体，应当按照暂行办法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针对本项目，应参照《建设项目竣工环境保护验收技术指南污染影响类》编制验收监测报告。</w:t>
            </w:r>
          </w:p>
          <w:p w14:paraId="57950071">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360" w:lineRule="auto"/>
              <w:ind w:left="0" w:leftChars="0"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验收监测报告编制完成后，建设单位应当根据验收监测报告结论，逐一检查是否存在暂行办法第八条所列验收不合格的情形，提出验收意见。存在问题的，建设单位应当进行整改，整改完成后方可提出验收意见。验收意见包括工程建设基本情况、工程变动情况、环境保护设施落实情况、环境保护设施调试效果、工程建设对环境的影响、验收结论和后续要求等内容，验收结论应当明确该建设项目环境保护设施是否验收合格。建设项目配套建设的环境保护设施经验收合格后，其主体工程方可投入生产或者使用；未经验收或者验收不合格的，不得投入生产或者使用。</w:t>
            </w:r>
          </w:p>
          <w:p w14:paraId="1BB3A60F">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360" w:lineRule="auto"/>
              <w:ind w:left="0" w:leftChars="0"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 xml:space="preserve">存在下列情形之一的建设项目，不得通过竣工环境保护验收： </w:t>
            </w:r>
          </w:p>
          <w:p w14:paraId="6AFF5217">
            <w:pPr>
              <w:pStyle w:val="175"/>
              <w:keepNext w:val="0"/>
              <w:keepLines w:val="0"/>
              <w:pageBreakBefore w:val="0"/>
              <w:widowControl w:val="0"/>
              <w:numPr>
                <w:ilvl w:val="0"/>
                <w:numId w:val="17"/>
              </w:numPr>
              <w:kinsoku/>
              <w:overflowPunct/>
              <w:topLinePunct w:val="0"/>
              <w:autoSpaceDE/>
              <w:autoSpaceDN/>
              <w:bidi w:val="0"/>
              <w:spacing w:before="0" w:after="0" w:line="360" w:lineRule="auto"/>
              <w:ind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未按环境影响报告表及其审批部门审批决定要求建成环境保护设施，或者环境保护设施不能与主体工程同时投产或者使用的；</w:t>
            </w:r>
          </w:p>
          <w:p w14:paraId="7A0CC8E7">
            <w:pPr>
              <w:pStyle w:val="175"/>
              <w:keepNext w:val="0"/>
              <w:keepLines w:val="0"/>
              <w:pageBreakBefore w:val="0"/>
              <w:widowControl w:val="0"/>
              <w:numPr>
                <w:ilvl w:val="0"/>
                <w:numId w:val="17"/>
              </w:numPr>
              <w:kinsoku/>
              <w:overflowPunct/>
              <w:topLinePunct w:val="0"/>
              <w:autoSpaceDE/>
              <w:autoSpaceDN/>
              <w:bidi w:val="0"/>
              <w:spacing w:before="0" w:after="0" w:line="360" w:lineRule="auto"/>
              <w:ind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污染物排放不符合国家和地方相关标准、环境影响报告书及其审批部门审批决定或者重点污染物排放总量控制指标要求的；</w:t>
            </w:r>
          </w:p>
          <w:p w14:paraId="4D533485">
            <w:pPr>
              <w:pStyle w:val="175"/>
              <w:keepNext w:val="0"/>
              <w:keepLines w:val="0"/>
              <w:pageBreakBefore w:val="0"/>
              <w:widowControl w:val="0"/>
              <w:numPr>
                <w:ilvl w:val="0"/>
                <w:numId w:val="17"/>
              </w:numPr>
              <w:kinsoku/>
              <w:overflowPunct/>
              <w:topLinePunct w:val="0"/>
              <w:autoSpaceDE/>
              <w:autoSpaceDN/>
              <w:bidi w:val="0"/>
              <w:spacing w:before="0" w:after="0" w:line="360" w:lineRule="auto"/>
              <w:ind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环境影响报告表经批准后，该建设项目的性质、规模、地点、采用的生产工艺或者防治污染、防止生态破坏的措施发生重大变动，建设单位未重新报批环境影响报告书或者环境影响报告书未经批准的； </w:t>
            </w:r>
          </w:p>
          <w:p w14:paraId="55142E74">
            <w:pPr>
              <w:pStyle w:val="175"/>
              <w:keepNext w:val="0"/>
              <w:keepLines w:val="0"/>
              <w:pageBreakBefore w:val="0"/>
              <w:widowControl w:val="0"/>
              <w:numPr>
                <w:ilvl w:val="0"/>
                <w:numId w:val="17"/>
              </w:numPr>
              <w:kinsoku/>
              <w:overflowPunct/>
              <w:topLinePunct w:val="0"/>
              <w:autoSpaceDE/>
              <w:autoSpaceDN/>
              <w:bidi w:val="0"/>
              <w:spacing w:before="0" w:after="0" w:line="360" w:lineRule="auto"/>
              <w:ind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建设过程中造成重大环境污染未治理完成，或者造成重大生态破坏未恢复的； </w:t>
            </w:r>
          </w:p>
          <w:p w14:paraId="17DA7C17">
            <w:pPr>
              <w:pStyle w:val="175"/>
              <w:keepNext w:val="0"/>
              <w:keepLines w:val="0"/>
              <w:pageBreakBefore w:val="0"/>
              <w:widowControl w:val="0"/>
              <w:numPr>
                <w:ilvl w:val="0"/>
                <w:numId w:val="17"/>
              </w:numPr>
              <w:kinsoku/>
              <w:overflowPunct/>
              <w:topLinePunct w:val="0"/>
              <w:autoSpaceDE/>
              <w:autoSpaceDN/>
              <w:bidi w:val="0"/>
              <w:spacing w:before="0" w:after="0" w:line="360" w:lineRule="auto"/>
              <w:ind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纳入排污许可管理的建设项目，无证排污或者不按证排污的；</w:t>
            </w:r>
          </w:p>
          <w:p w14:paraId="5A98AA6F">
            <w:pPr>
              <w:pStyle w:val="175"/>
              <w:keepNext w:val="0"/>
              <w:keepLines w:val="0"/>
              <w:pageBreakBefore w:val="0"/>
              <w:widowControl w:val="0"/>
              <w:numPr>
                <w:ilvl w:val="0"/>
                <w:numId w:val="17"/>
              </w:numPr>
              <w:kinsoku/>
              <w:overflowPunct/>
              <w:topLinePunct w:val="0"/>
              <w:autoSpaceDE/>
              <w:autoSpaceDN/>
              <w:bidi w:val="0"/>
              <w:spacing w:before="0" w:after="0" w:line="360" w:lineRule="auto"/>
              <w:ind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建设单位因该建设项目违反国家和地方环境保护法律法规受到处罚，被责令改正，尚未改正完成的；</w:t>
            </w:r>
          </w:p>
          <w:p w14:paraId="1A602528">
            <w:pPr>
              <w:pStyle w:val="175"/>
              <w:keepNext w:val="0"/>
              <w:keepLines w:val="0"/>
              <w:pageBreakBefore w:val="0"/>
              <w:widowControl w:val="0"/>
              <w:numPr>
                <w:ilvl w:val="0"/>
                <w:numId w:val="17"/>
              </w:numPr>
              <w:kinsoku/>
              <w:overflowPunct/>
              <w:topLinePunct w:val="0"/>
              <w:autoSpaceDE/>
              <w:autoSpaceDN/>
              <w:bidi w:val="0"/>
              <w:spacing w:before="0" w:after="0" w:line="360" w:lineRule="auto"/>
              <w:ind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验收报告的基础资料数据明显不实，内容存在重大缺项、遗漏，或者验收结论不明确、不合理的。</w:t>
            </w:r>
          </w:p>
          <w:p w14:paraId="4E694CAB">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360" w:lineRule="auto"/>
              <w:ind w:left="0" w:leftChars="0"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4.</w:t>
            </w:r>
            <w:r>
              <w:rPr>
                <w:rFonts w:hint="default" w:ascii="Times New Roman" w:hAnsi="Times New Roman" w:cs="Times New Roman"/>
                <w:color w:val="000000" w:themeColor="text1"/>
                <w:sz w:val="24"/>
                <w:szCs w:val="24"/>
                <w14:textFill>
                  <w14:solidFill>
                    <w14:schemeClr w14:val="tx1"/>
                  </w14:solidFill>
                </w14:textFill>
              </w:rPr>
              <w:t>为提高验收的有效性，在提出验收意见的过程中，建设单位可以组织成立验收工作组，采取现场检查、资料查阅、召开验收会议等方式，协助开展验收工作。验收工作组可以由设计单位、施工单位、环境影响报告书编制机构、验收监测（调查）报告编制机构等单位代表以及专业技术专家等组成，代表范围和人数自定。除按照国家需要保密的情形外，建设单位应当通过其网站或其他便于公众知晓的方式，向社会公开下列信息：</w:t>
            </w:r>
          </w:p>
          <w:p w14:paraId="4BB56606">
            <w:pPr>
              <w:pStyle w:val="175"/>
              <w:keepNext w:val="0"/>
              <w:keepLines w:val="0"/>
              <w:pageBreakBefore w:val="0"/>
              <w:widowControl w:val="0"/>
              <w:numPr>
                <w:ilvl w:val="0"/>
                <w:numId w:val="0"/>
              </w:numPr>
              <w:tabs>
                <w:tab w:val="left" w:pos="0"/>
              </w:tabs>
              <w:kinsoku/>
              <w:overflowPunct/>
              <w:topLinePunct w:val="0"/>
              <w:autoSpaceDE/>
              <w:autoSpaceDN/>
              <w:bidi w:val="0"/>
              <w:spacing w:before="0" w:after="0" w:line="360" w:lineRule="auto"/>
              <w:ind w:left="0" w:leftChars="0" w:firstLine="422"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eastAsia" w:cs="Times New Roman"/>
                <w:b/>
                <w:bCs/>
                <w:color w:val="000000" w:themeColor="text1"/>
                <w:kern w:val="0"/>
                <w:sz w:val="21"/>
                <w:szCs w:val="21"/>
                <w:lang w:val="en-US" w:eastAsia="zh-CN" w:bidi="ar-SA"/>
                <w14:textFill>
                  <w14:solidFill>
                    <w14:schemeClr w14:val="tx1"/>
                  </w14:solidFill>
                </w14:textFill>
              </w:rPr>
              <w:t>①</w:t>
            </w:r>
            <w:r>
              <w:rPr>
                <w:rFonts w:hint="default" w:ascii="Times New Roman" w:hAnsi="Times New Roman" w:cs="Times New Roman"/>
                <w:color w:val="000000" w:themeColor="text1"/>
                <w:sz w:val="24"/>
                <w:szCs w:val="24"/>
                <w14:textFill>
                  <w14:solidFill>
                    <w14:schemeClr w14:val="tx1"/>
                  </w14:solidFill>
                </w14:textFill>
              </w:rPr>
              <w:t>建设项目配套建设的环境保护设施竣工后，公开竣工日期；</w:t>
            </w:r>
          </w:p>
          <w:p w14:paraId="52DA14DD">
            <w:pPr>
              <w:pStyle w:val="175"/>
              <w:keepNext w:val="0"/>
              <w:keepLines w:val="0"/>
              <w:pageBreakBefore w:val="0"/>
              <w:widowControl w:val="0"/>
              <w:numPr>
                <w:ilvl w:val="0"/>
                <w:numId w:val="0"/>
              </w:numPr>
              <w:tabs>
                <w:tab w:val="left" w:pos="0"/>
              </w:tabs>
              <w:kinsoku/>
              <w:overflowPunct/>
              <w:topLinePunct w:val="0"/>
              <w:autoSpaceDE/>
              <w:autoSpaceDN/>
              <w:bidi w:val="0"/>
              <w:spacing w:before="0" w:after="0" w:line="360" w:lineRule="auto"/>
              <w:ind w:left="0" w:leftChars="0" w:firstLine="422"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eastAsia" w:cs="Times New Roman"/>
                <w:b/>
                <w:bCs/>
                <w:color w:val="000000" w:themeColor="text1"/>
                <w:kern w:val="0"/>
                <w:sz w:val="21"/>
                <w:szCs w:val="21"/>
                <w:lang w:val="en-US" w:eastAsia="zh-CN" w:bidi="ar-SA"/>
                <w14:textFill>
                  <w14:solidFill>
                    <w14:schemeClr w14:val="tx1"/>
                  </w14:solidFill>
                </w14:textFill>
              </w:rPr>
              <w:t>②</w:t>
            </w:r>
            <w:r>
              <w:rPr>
                <w:rFonts w:hint="default" w:ascii="Times New Roman" w:hAnsi="Times New Roman" w:cs="Times New Roman"/>
                <w:color w:val="000000" w:themeColor="text1"/>
                <w:sz w:val="24"/>
                <w:szCs w:val="24"/>
                <w14:textFill>
                  <w14:solidFill>
                    <w14:schemeClr w14:val="tx1"/>
                  </w14:solidFill>
                </w14:textFill>
              </w:rPr>
              <w:t>对建设项目配套建设的环境保护设施进行调试前，公开调试的起止日期；</w:t>
            </w:r>
          </w:p>
          <w:p w14:paraId="3F2F3047">
            <w:pPr>
              <w:pStyle w:val="175"/>
              <w:keepNext w:val="0"/>
              <w:keepLines w:val="0"/>
              <w:pageBreakBefore w:val="0"/>
              <w:widowControl w:val="0"/>
              <w:numPr>
                <w:ilvl w:val="0"/>
                <w:numId w:val="0"/>
              </w:numPr>
              <w:tabs>
                <w:tab w:val="left" w:pos="0"/>
              </w:tabs>
              <w:kinsoku/>
              <w:overflowPunct/>
              <w:topLinePunct w:val="0"/>
              <w:autoSpaceDE/>
              <w:autoSpaceDN/>
              <w:bidi w:val="0"/>
              <w:spacing w:before="0" w:after="0" w:line="360" w:lineRule="auto"/>
              <w:ind w:left="0" w:leftChars="0" w:firstLine="422"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eastAsia" w:cs="Times New Roman"/>
                <w:b/>
                <w:bCs/>
                <w:color w:val="000000" w:themeColor="text1"/>
                <w:kern w:val="0"/>
                <w:sz w:val="21"/>
                <w:szCs w:val="21"/>
                <w:lang w:val="en-US" w:eastAsia="zh-CN" w:bidi="ar-SA"/>
                <w14:textFill>
                  <w14:solidFill>
                    <w14:schemeClr w14:val="tx1"/>
                  </w14:solidFill>
                </w14:textFill>
              </w:rPr>
              <w:t>③</w:t>
            </w:r>
            <w:r>
              <w:rPr>
                <w:rFonts w:hint="default" w:ascii="Times New Roman" w:hAnsi="Times New Roman" w:cs="Times New Roman"/>
                <w:color w:val="000000" w:themeColor="text1"/>
                <w:sz w:val="24"/>
                <w:szCs w:val="24"/>
                <w14:textFill>
                  <w14:solidFill>
                    <w14:schemeClr w14:val="tx1"/>
                  </w14:solidFill>
                </w14:textFill>
              </w:rPr>
              <w:t>验收报告编制完成后5个工作日内，公开验收报告，公示的期限不得少于20个工作日。</w:t>
            </w:r>
          </w:p>
          <w:p w14:paraId="763EA423">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360" w:lineRule="auto"/>
              <w:ind w:left="0" w:leftChars="0"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5.</w:t>
            </w:r>
            <w:r>
              <w:rPr>
                <w:rFonts w:hint="default" w:ascii="Times New Roman" w:hAnsi="Times New Roman" w:cs="Times New Roman"/>
                <w:color w:val="000000" w:themeColor="text1"/>
                <w:sz w:val="24"/>
                <w:szCs w:val="24"/>
                <w14:textFill>
                  <w14:solidFill>
                    <w14:schemeClr w14:val="tx1"/>
                  </w14:solidFill>
                </w14:textFill>
              </w:rPr>
              <w:t>验收期限是指自建设项目环境保护设施竣工之日起至建设单位向社会公开验收报告之日止的时间。验收报告公示期满后5个工作日内，建设单位应当登录全国建设项目竣工环境保护验收信息平台，填报建设项目基本信息、环境保护设施验收情况等相关信息，环境保护主管部门对上述信息予以公开。建设单位应当将验收报告以及其他档案资料存档备查。</w:t>
            </w:r>
          </w:p>
          <w:p w14:paraId="6A216999">
            <w:pPr>
              <w:pStyle w:val="175"/>
              <w:keepNext w:val="0"/>
              <w:keepLines w:val="0"/>
              <w:pageBreakBefore w:val="0"/>
              <w:widowControl w:val="0"/>
              <w:kinsoku/>
              <w:overflowPunct/>
              <w:topLinePunct w:val="0"/>
              <w:autoSpaceDE/>
              <w:autoSpaceDN/>
              <w:bidi w:val="0"/>
              <w:spacing w:before="0" w:after="0" w:line="360" w:lineRule="auto"/>
              <w:ind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p>
          <w:p w14:paraId="6D7F7548">
            <w:pPr>
              <w:pStyle w:val="175"/>
              <w:keepNext w:val="0"/>
              <w:keepLines w:val="0"/>
              <w:pageBreakBefore w:val="0"/>
              <w:widowControl w:val="0"/>
              <w:kinsoku/>
              <w:overflowPunct/>
              <w:topLinePunct w:val="0"/>
              <w:autoSpaceDE/>
              <w:autoSpaceDN/>
              <w:bidi w:val="0"/>
              <w:spacing w:before="0" w:after="0" w:line="360" w:lineRule="auto"/>
              <w:jc w:val="both"/>
              <w:textAlignment w:val="auto"/>
              <w:rPr>
                <w:rFonts w:hint="default" w:ascii="Times New Roman" w:hAnsi="Times New Roman" w:cs="Times New Roman"/>
                <w:color w:val="000000" w:themeColor="text1"/>
                <w:sz w:val="24"/>
                <w:szCs w:val="24"/>
                <w14:textFill>
                  <w14:solidFill>
                    <w14:schemeClr w14:val="tx1"/>
                  </w14:solidFill>
                </w14:textFill>
              </w:rPr>
            </w:pPr>
          </w:p>
          <w:p w14:paraId="7826FC5C">
            <w:pPr>
              <w:pStyle w:val="175"/>
              <w:keepNext w:val="0"/>
              <w:keepLines w:val="0"/>
              <w:pageBreakBefore w:val="0"/>
              <w:widowControl w:val="0"/>
              <w:kinsoku/>
              <w:overflowPunct/>
              <w:topLinePunct w:val="0"/>
              <w:autoSpaceDE/>
              <w:autoSpaceDN/>
              <w:bidi w:val="0"/>
              <w:spacing w:before="0" w:after="0" w:line="360" w:lineRule="auto"/>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bl>
    <w:p w14:paraId="4E97CFFA">
      <w:pPr>
        <w:pStyle w:val="41"/>
        <w:jc w:val="center"/>
        <w:outlineLvl w:val="0"/>
        <w:rPr>
          <w:rFonts w:ascii="黑体" w:hAnsi="黑体" w:eastAsia="黑体"/>
          <w:snapToGrid w:val="0"/>
          <w:color w:val="auto"/>
          <w:sz w:val="30"/>
          <w:szCs w:val="30"/>
          <w:highlight w:val="none"/>
        </w:rPr>
      </w:pPr>
      <w:r>
        <w:rPr>
          <w:snapToGrid w:val="0"/>
          <w:color w:val="000000" w:themeColor="text1"/>
          <w:highlight w:val="none"/>
          <w14:textFill>
            <w14:solidFill>
              <w14:schemeClr w14:val="tx1"/>
            </w14:solidFill>
          </w14:textFill>
        </w:rPr>
        <w:br w:type="page"/>
      </w:r>
      <w:bookmarkStart w:id="41" w:name="_Toc7332"/>
      <w:bookmarkStart w:id="42" w:name="_Toc6762"/>
      <w:bookmarkStart w:id="43" w:name="_Toc9674"/>
      <w:bookmarkStart w:id="44" w:name="_Toc22078"/>
      <w:r>
        <w:rPr>
          <w:rFonts w:hint="eastAsia" w:ascii="黑体" w:hAnsi="黑体" w:eastAsia="黑体"/>
          <w:snapToGrid w:val="0"/>
          <w:color w:val="auto"/>
          <w:sz w:val="30"/>
          <w:szCs w:val="30"/>
          <w:highlight w:val="none"/>
        </w:rPr>
        <w:t>六、结论</w:t>
      </w:r>
      <w:bookmarkEnd w:id="41"/>
      <w:bookmarkEnd w:id="42"/>
      <w:bookmarkEnd w:id="43"/>
      <w:bookmarkEnd w:id="44"/>
    </w:p>
    <w:tbl>
      <w:tblPr>
        <w:tblStyle w:val="4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77EACA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91" w:hRule="atLeast"/>
          <w:jc w:val="center"/>
        </w:trPr>
        <w:tc>
          <w:tcPr>
            <w:tcW w:w="8865" w:type="dxa"/>
            <w:noWrap w:val="0"/>
            <w:vAlign w:val="center"/>
          </w:tcPr>
          <w:p w14:paraId="09411B3E">
            <w:pPr>
              <w:spacing w:line="360" w:lineRule="auto"/>
              <w:ind w:firstLine="480" w:firstLineChars="200"/>
              <w:rPr>
                <w:rFonts w:ascii="宋体" w:cs="宋体"/>
                <w:color w:val="auto"/>
                <w:sz w:val="24"/>
                <w:highlight w:val="none"/>
              </w:rPr>
            </w:pPr>
            <w:r>
              <w:rPr>
                <w:rFonts w:hint="eastAsia" w:ascii="宋体" w:cs="宋体"/>
                <w:color w:val="auto"/>
                <w:sz w:val="24"/>
                <w:highlight w:val="none"/>
              </w:rPr>
              <w:t>本项目</w:t>
            </w:r>
            <w:r>
              <w:rPr>
                <w:rFonts w:ascii="宋体" w:cs="宋体"/>
                <w:color w:val="auto"/>
                <w:sz w:val="24"/>
                <w:highlight w:val="none"/>
              </w:rPr>
              <w:t>性质与周边环境功能区划相符，符合规划布局要求，选址合理可行。项目所在区域大气、水、声环境质量现状良好，因此本项目应认真执行环保“三同时”管理规定，把项目对环境的影响控制在最低限度。在切实落实本环评提出的各项有关环保措施，并确保各种治理设施正常</w:t>
            </w:r>
            <w:r>
              <w:rPr>
                <w:rFonts w:hint="eastAsia" w:ascii="宋体" w:cs="宋体"/>
                <w:color w:val="auto"/>
                <w:sz w:val="24"/>
                <w:highlight w:val="none"/>
                <w:lang w:eastAsia="zh-CN"/>
              </w:rPr>
              <w:t>运转</w:t>
            </w:r>
            <w:r>
              <w:rPr>
                <w:rFonts w:ascii="宋体" w:cs="宋体"/>
                <w:color w:val="auto"/>
                <w:sz w:val="24"/>
                <w:highlight w:val="none"/>
              </w:rPr>
              <w:t>以及确保污染物达标排放前提下，项目对周围环境质量的影响不大，从环境保护角度分析，本项目的建设是可行的。</w:t>
            </w:r>
          </w:p>
        </w:tc>
      </w:tr>
    </w:tbl>
    <w:p w14:paraId="24B6D17E">
      <w:pPr>
        <w:rPr>
          <w:rFonts w:ascii="宋体"/>
          <w:color w:val="auto"/>
          <w:highlight w:val="none"/>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67117AEA">
      <w:pPr>
        <w:widowControl/>
        <w:adjustRightInd w:val="0"/>
        <w:snapToGrid w:val="0"/>
        <w:spacing w:before="0" w:beforeAutospacing="0" w:after="0" w:afterAutospacing="0"/>
        <w:jc w:val="left"/>
        <w:outlineLvl w:val="0"/>
        <w:rPr>
          <w:rFonts w:ascii="黑体" w:hAnsi="黑体" w:eastAsia="黑体" w:cs="Times New Roman"/>
          <w:snapToGrid w:val="0"/>
          <w:color w:val="auto"/>
          <w:kern w:val="0"/>
          <w:sz w:val="32"/>
          <w:szCs w:val="32"/>
          <w:highlight w:val="none"/>
          <w:lang w:val="en-US" w:eastAsia="zh-CN" w:bidi="ar-SA"/>
        </w:rPr>
      </w:pPr>
      <w:bookmarkStart w:id="45" w:name="_Toc4000"/>
      <w:bookmarkStart w:id="46" w:name="_Toc10053"/>
      <w:bookmarkStart w:id="47" w:name="_Toc2248"/>
      <w:bookmarkStart w:id="48" w:name="_Toc13894"/>
      <w:r>
        <w:rPr>
          <w:rFonts w:hint="eastAsia" w:ascii="黑体" w:hAnsi="黑体" w:eastAsia="黑体" w:cs="Times New Roman"/>
          <w:snapToGrid w:val="0"/>
          <w:color w:val="auto"/>
          <w:kern w:val="0"/>
          <w:sz w:val="32"/>
          <w:szCs w:val="32"/>
          <w:highlight w:val="none"/>
          <w:lang w:val="en-US" w:eastAsia="zh-CN" w:bidi="ar-SA"/>
        </w:rPr>
        <w:t>附表</w:t>
      </w:r>
      <w:bookmarkEnd w:id="45"/>
      <w:bookmarkEnd w:id="46"/>
      <w:bookmarkEnd w:id="47"/>
      <w:bookmarkEnd w:id="48"/>
    </w:p>
    <w:p w14:paraId="535D65B0">
      <w:pPr>
        <w:widowControl/>
        <w:adjustRightInd w:val="0"/>
        <w:snapToGrid w:val="0"/>
        <w:spacing w:before="0" w:beforeAutospacing="0" w:after="0" w:afterAutospacing="0" w:line="552" w:lineRule="auto"/>
        <w:jc w:val="center"/>
        <w:rPr>
          <w:rFonts w:hint="eastAsia" w:ascii="方正小标宋_GBK" w:hAnsi="黑体" w:eastAsia="方正小标宋_GBK" w:cs="Times New Roman"/>
          <w:snapToGrid w:val="0"/>
          <w:color w:val="auto"/>
          <w:kern w:val="0"/>
          <w:sz w:val="38"/>
          <w:szCs w:val="38"/>
          <w:highlight w:val="none"/>
          <w:lang w:val="en-US" w:eastAsia="zh-CN" w:bidi="ar-SA"/>
        </w:rPr>
      </w:pPr>
      <w:bookmarkStart w:id="49" w:name="_Toc6789"/>
      <w:r>
        <w:rPr>
          <w:rFonts w:hint="eastAsia" w:ascii="方正小标宋_GBK" w:hAnsi="黑体" w:eastAsia="方正小标宋_GBK" w:cs="Times New Roman"/>
          <w:snapToGrid w:val="0"/>
          <w:color w:val="auto"/>
          <w:kern w:val="0"/>
          <w:sz w:val="38"/>
          <w:szCs w:val="38"/>
          <w:highlight w:val="none"/>
          <w:lang w:val="en-US" w:eastAsia="zh-CN" w:bidi="ar-SA"/>
        </w:rPr>
        <w:t>建设项目污染物排放量汇总表</w:t>
      </w:r>
      <w:bookmarkEnd w:id="49"/>
    </w:p>
    <w:tbl>
      <w:tblPr>
        <w:tblStyle w:val="44"/>
        <w:tblW w:w="13957"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795"/>
        <w:gridCol w:w="1704"/>
        <w:gridCol w:w="1356"/>
        <w:gridCol w:w="1644"/>
        <w:gridCol w:w="1488"/>
        <w:gridCol w:w="1620"/>
        <w:gridCol w:w="1932"/>
        <w:gridCol w:w="1456"/>
      </w:tblGrid>
      <w:tr w14:paraId="120917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62" w:type="dxa"/>
            <w:tcBorders>
              <w:tl2br w:val="single" w:color="auto" w:sz="4" w:space="0"/>
            </w:tcBorders>
            <w:noWrap w:val="0"/>
            <w:tcMar>
              <w:left w:w="28" w:type="dxa"/>
              <w:right w:w="28" w:type="dxa"/>
            </w:tcMar>
            <w:vAlign w:val="center"/>
          </w:tcPr>
          <w:p w14:paraId="66D20467">
            <w:pPr>
              <w:widowControl w:val="0"/>
              <w:adjustRightInd w:val="0"/>
              <w:snapToGrid w:val="0"/>
              <w:spacing w:beforeLines="0" w:afterLines="0" w:line="240" w:lineRule="auto"/>
              <w:ind w:firstLine="398" w:firstLineChars="200"/>
              <w:jc w:val="right"/>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t>项目</w:t>
            </w:r>
          </w:p>
          <w:p w14:paraId="60CA1145">
            <w:pPr>
              <w:widowControl w:val="0"/>
              <w:adjustRightInd w:val="0"/>
              <w:snapToGrid w:val="0"/>
              <w:spacing w:beforeLines="0" w:afterLines="0" w:line="240" w:lineRule="auto"/>
              <w:ind w:firstLine="0" w:firstLineChars="0"/>
              <w:jc w:val="left"/>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t>分类</w:t>
            </w:r>
          </w:p>
        </w:tc>
        <w:tc>
          <w:tcPr>
            <w:tcW w:w="1795" w:type="dxa"/>
            <w:noWrap w:val="0"/>
            <w:tcMar>
              <w:left w:w="28" w:type="dxa"/>
              <w:right w:w="28" w:type="dxa"/>
            </w:tcMar>
            <w:vAlign w:val="center"/>
          </w:tcPr>
          <w:p w14:paraId="0F7056BD">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t>污染物名称</w:t>
            </w:r>
          </w:p>
        </w:tc>
        <w:tc>
          <w:tcPr>
            <w:tcW w:w="1704" w:type="dxa"/>
            <w:noWrap w:val="0"/>
            <w:tcMar>
              <w:left w:w="28" w:type="dxa"/>
              <w:right w:w="28" w:type="dxa"/>
            </w:tcMar>
            <w:vAlign w:val="center"/>
          </w:tcPr>
          <w:p w14:paraId="728FC8F5">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t>现有工程排放量（固体废物产生量）</w:t>
            </w: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fldChar w:fldCharType="begin"/>
            </w: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instrText xml:space="preserve"> = 1 \* GB3 \* MERGEFORMAT </w:instrText>
            </w: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fldChar w:fldCharType="separate"/>
            </w: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①</w:t>
            </w: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fldChar w:fldCharType="end"/>
            </w:r>
          </w:p>
        </w:tc>
        <w:tc>
          <w:tcPr>
            <w:tcW w:w="1356" w:type="dxa"/>
            <w:noWrap w:val="0"/>
            <w:tcMar>
              <w:left w:w="28" w:type="dxa"/>
              <w:right w:w="28" w:type="dxa"/>
            </w:tcMar>
            <w:vAlign w:val="center"/>
          </w:tcPr>
          <w:p w14:paraId="4DB37C3A">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t>现有工程许可排放量</w:t>
            </w: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fldChar w:fldCharType="begin"/>
            </w: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instrText xml:space="preserve"> = 2 \* GB3 \* MERGEFORMAT </w:instrText>
            </w: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fldChar w:fldCharType="separate"/>
            </w: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t>②</w:t>
            </w: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fldChar w:fldCharType="end"/>
            </w:r>
          </w:p>
        </w:tc>
        <w:tc>
          <w:tcPr>
            <w:tcW w:w="1644" w:type="dxa"/>
            <w:noWrap w:val="0"/>
            <w:tcMar>
              <w:left w:w="28" w:type="dxa"/>
              <w:right w:w="28" w:type="dxa"/>
            </w:tcMar>
            <w:vAlign w:val="center"/>
          </w:tcPr>
          <w:p w14:paraId="12673731">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t>在建工程排放量（固体废物产生量）</w:t>
            </w: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fldChar w:fldCharType="begin"/>
            </w: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instrText xml:space="preserve"> = 3 \* GB3 \* MERGEFORMAT </w:instrText>
            </w: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fldChar w:fldCharType="separate"/>
            </w: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③</w:t>
            </w: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fldChar w:fldCharType="end"/>
            </w:r>
          </w:p>
        </w:tc>
        <w:tc>
          <w:tcPr>
            <w:tcW w:w="1488" w:type="dxa"/>
            <w:noWrap w:val="0"/>
            <w:tcMar>
              <w:left w:w="28" w:type="dxa"/>
              <w:right w:w="28" w:type="dxa"/>
            </w:tcMar>
            <w:vAlign w:val="center"/>
          </w:tcPr>
          <w:p w14:paraId="45224A23">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t>本项目排放量（固体废物产生量）</w:t>
            </w: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fldChar w:fldCharType="begin"/>
            </w: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instrText xml:space="preserve"> = 4 \* GB3 \* MERGEFORMAT </w:instrText>
            </w: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fldChar w:fldCharType="separate"/>
            </w: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④</w:t>
            </w: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fldChar w:fldCharType="end"/>
            </w:r>
          </w:p>
        </w:tc>
        <w:tc>
          <w:tcPr>
            <w:tcW w:w="1620" w:type="dxa"/>
            <w:noWrap w:val="0"/>
            <w:tcMar>
              <w:left w:w="28" w:type="dxa"/>
              <w:right w:w="28" w:type="dxa"/>
            </w:tcMar>
            <w:vAlign w:val="center"/>
          </w:tcPr>
          <w:p w14:paraId="7A271BF6">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b/>
                <w:bCs/>
                <w:snapToGrid w:val="0"/>
                <w:color w:val="000000" w:themeColor="text1"/>
                <w:spacing w:val="-16"/>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snapToGrid w:val="0"/>
                <w:color w:val="000000" w:themeColor="text1"/>
                <w:spacing w:val="-16"/>
                <w:kern w:val="21"/>
                <w:sz w:val="21"/>
                <w:szCs w:val="21"/>
                <w:highlight w:val="none"/>
                <w:lang w:val="en-US" w:eastAsia="zh-CN" w:bidi="ar-SA"/>
                <w14:textFill>
                  <w14:solidFill>
                    <w14:schemeClr w14:val="tx1"/>
                  </w14:solidFill>
                </w14:textFill>
              </w:rPr>
              <w:t>以新带老削减量（新建项目不填）</w:t>
            </w:r>
            <w:r>
              <w:rPr>
                <w:rFonts w:hint="default" w:ascii="Times New Roman" w:hAnsi="Times New Roman" w:eastAsia="宋体" w:cs="Times New Roman"/>
                <w:b/>
                <w:bCs/>
                <w:snapToGrid w:val="0"/>
                <w:color w:val="000000" w:themeColor="text1"/>
                <w:spacing w:val="-16"/>
                <w:kern w:val="21"/>
                <w:sz w:val="21"/>
                <w:szCs w:val="21"/>
                <w:highlight w:val="none"/>
                <w:lang w:val="en-US" w:eastAsia="zh-CN" w:bidi="ar-SA"/>
                <w14:textFill>
                  <w14:solidFill>
                    <w14:schemeClr w14:val="tx1"/>
                  </w14:solidFill>
                </w14:textFill>
              </w:rPr>
              <w:fldChar w:fldCharType="begin"/>
            </w:r>
            <w:r>
              <w:rPr>
                <w:rFonts w:hint="default" w:ascii="Times New Roman" w:hAnsi="Times New Roman" w:eastAsia="宋体" w:cs="Times New Roman"/>
                <w:b/>
                <w:bCs/>
                <w:snapToGrid w:val="0"/>
                <w:color w:val="000000" w:themeColor="text1"/>
                <w:spacing w:val="-16"/>
                <w:kern w:val="21"/>
                <w:sz w:val="21"/>
                <w:szCs w:val="21"/>
                <w:highlight w:val="none"/>
                <w:lang w:val="en-US" w:eastAsia="zh-CN" w:bidi="ar-SA"/>
                <w14:textFill>
                  <w14:solidFill>
                    <w14:schemeClr w14:val="tx1"/>
                  </w14:solidFill>
                </w14:textFill>
              </w:rPr>
              <w:instrText xml:space="preserve"> = 5 \* GB3 \* MERGEFORMAT </w:instrText>
            </w:r>
            <w:r>
              <w:rPr>
                <w:rFonts w:hint="default" w:ascii="Times New Roman" w:hAnsi="Times New Roman" w:eastAsia="宋体" w:cs="Times New Roman"/>
                <w:b/>
                <w:bCs/>
                <w:snapToGrid w:val="0"/>
                <w:color w:val="000000" w:themeColor="text1"/>
                <w:spacing w:val="-16"/>
                <w:kern w:val="21"/>
                <w:sz w:val="21"/>
                <w:szCs w:val="21"/>
                <w:highlight w:val="none"/>
                <w:lang w:val="en-US" w:eastAsia="zh-CN" w:bidi="ar-SA"/>
                <w14:textFill>
                  <w14:solidFill>
                    <w14:schemeClr w14:val="tx1"/>
                  </w14:solidFill>
                </w14:textFill>
              </w:rPr>
              <w:fldChar w:fldCharType="separate"/>
            </w: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⑤</w:t>
            </w:r>
            <w:r>
              <w:rPr>
                <w:rFonts w:hint="default" w:ascii="Times New Roman" w:hAnsi="Times New Roman" w:eastAsia="宋体" w:cs="Times New Roman"/>
                <w:b/>
                <w:bCs/>
                <w:snapToGrid w:val="0"/>
                <w:color w:val="000000" w:themeColor="text1"/>
                <w:spacing w:val="-16"/>
                <w:kern w:val="21"/>
                <w:sz w:val="21"/>
                <w:szCs w:val="21"/>
                <w:highlight w:val="none"/>
                <w:lang w:val="en-US" w:eastAsia="zh-CN" w:bidi="ar-SA"/>
                <w14:textFill>
                  <w14:solidFill>
                    <w14:schemeClr w14:val="tx1"/>
                  </w14:solidFill>
                </w14:textFill>
              </w:rPr>
              <w:fldChar w:fldCharType="end"/>
            </w:r>
          </w:p>
        </w:tc>
        <w:tc>
          <w:tcPr>
            <w:tcW w:w="1932" w:type="dxa"/>
            <w:noWrap w:val="0"/>
            <w:tcMar>
              <w:left w:w="28" w:type="dxa"/>
              <w:right w:w="28" w:type="dxa"/>
            </w:tcMar>
            <w:vAlign w:val="center"/>
          </w:tcPr>
          <w:p w14:paraId="5359B995">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b/>
                <w:bCs/>
                <w:snapToGrid w:val="0"/>
                <w:color w:val="000000" w:themeColor="text1"/>
                <w:spacing w:val="-16"/>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snapToGrid w:val="0"/>
                <w:color w:val="000000" w:themeColor="text1"/>
                <w:spacing w:val="-16"/>
                <w:kern w:val="21"/>
                <w:sz w:val="21"/>
                <w:szCs w:val="21"/>
                <w:highlight w:val="none"/>
                <w:lang w:val="en-US" w:eastAsia="zh-CN" w:bidi="ar-SA"/>
                <w14:textFill>
                  <w14:solidFill>
                    <w14:schemeClr w14:val="tx1"/>
                  </w14:solidFill>
                </w14:textFill>
              </w:rPr>
              <w:t>本项目建成后全厂排放量（固体废物产生量）</w:t>
            </w:r>
            <w:r>
              <w:rPr>
                <w:rFonts w:hint="default" w:ascii="Times New Roman" w:hAnsi="Times New Roman" w:eastAsia="宋体" w:cs="Times New Roman"/>
                <w:b/>
                <w:bCs/>
                <w:snapToGrid w:val="0"/>
                <w:color w:val="000000" w:themeColor="text1"/>
                <w:spacing w:val="-16"/>
                <w:kern w:val="21"/>
                <w:sz w:val="21"/>
                <w:szCs w:val="21"/>
                <w:highlight w:val="none"/>
                <w:lang w:val="en-US" w:eastAsia="zh-CN" w:bidi="ar-SA"/>
                <w14:textFill>
                  <w14:solidFill>
                    <w14:schemeClr w14:val="tx1"/>
                  </w14:solidFill>
                </w14:textFill>
              </w:rPr>
              <w:fldChar w:fldCharType="begin"/>
            </w:r>
            <w:r>
              <w:rPr>
                <w:rFonts w:hint="default" w:ascii="Times New Roman" w:hAnsi="Times New Roman" w:eastAsia="宋体" w:cs="Times New Roman"/>
                <w:b/>
                <w:bCs/>
                <w:snapToGrid w:val="0"/>
                <w:color w:val="000000" w:themeColor="text1"/>
                <w:spacing w:val="-16"/>
                <w:kern w:val="21"/>
                <w:sz w:val="21"/>
                <w:szCs w:val="21"/>
                <w:highlight w:val="none"/>
                <w:lang w:val="en-US" w:eastAsia="zh-CN" w:bidi="ar-SA"/>
                <w14:textFill>
                  <w14:solidFill>
                    <w14:schemeClr w14:val="tx1"/>
                  </w14:solidFill>
                </w14:textFill>
              </w:rPr>
              <w:instrText xml:space="preserve"> = 6 \* GB3 \* MERGEFORMAT </w:instrText>
            </w:r>
            <w:r>
              <w:rPr>
                <w:rFonts w:hint="default" w:ascii="Times New Roman" w:hAnsi="Times New Roman" w:eastAsia="宋体" w:cs="Times New Roman"/>
                <w:b/>
                <w:bCs/>
                <w:snapToGrid w:val="0"/>
                <w:color w:val="000000" w:themeColor="text1"/>
                <w:spacing w:val="-16"/>
                <w:kern w:val="21"/>
                <w:sz w:val="21"/>
                <w:szCs w:val="21"/>
                <w:highlight w:val="none"/>
                <w:lang w:val="en-US" w:eastAsia="zh-CN" w:bidi="ar-SA"/>
                <w14:textFill>
                  <w14:solidFill>
                    <w14:schemeClr w14:val="tx1"/>
                  </w14:solidFill>
                </w14:textFill>
              </w:rPr>
              <w:fldChar w:fldCharType="separate"/>
            </w: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⑥</w:t>
            </w:r>
            <w:r>
              <w:rPr>
                <w:rFonts w:hint="default" w:ascii="Times New Roman" w:hAnsi="Times New Roman" w:eastAsia="宋体" w:cs="Times New Roman"/>
                <w:b/>
                <w:bCs/>
                <w:snapToGrid w:val="0"/>
                <w:color w:val="000000" w:themeColor="text1"/>
                <w:spacing w:val="-16"/>
                <w:kern w:val="21"/>
                <w:sz w:val="21"/>
                <w:szCs w:val="21"/>
                <w:highlight w:val="none"/>
                <w:lang w:val="en-US" w:eastAsia="zh-CN" w:bidi="ar-SA"/>
                <w14:textFill>
                  <w14:solidFill>
                    <w14:schemeClr w14:val="tx1"/>
                  </w14:solidFill>
                </w14:textFill>
              </w:rPr>
              <w:fldChar w:fldCharType="end"/>
            </w:r>
          </w:p>
        </w:tc>
        <w:tc>
          <w:tcPr>
            <w:tcW w:w="1456" w:type="dxa"/>
            <w:noWrap w:val="0"/>
            <w:tcMar>
              <w:left w:w="28" w:type="dxa"/>
              <w:right w:w="28" w:type="dxa"/>
            </w:tcMar>
            <w:vAlign w:val="center"/>
          </w:tcPr>
          <w:p w14:paraId="02483D4C">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t>变化量</w:t>
            </w: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fldChar w:fldCharType="begin"/>
            </w: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instrText xml:space="preserve"> = 7 \* GB3 \* MERGEFORMAT </w:instrText>
            </w: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fldChar w:fldCharType="separate"/>
            </w: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⑦</w:t>
            </w:r>
            <w:r>
              <w:rPr>
                <w:rFonts w:hint="default" w:ascii="Times New Roman" w:hAnsi="Times New Roman" w:eastAsia="宋体" w:cs="Times New Roman"/>
                <w:b/>
                <w:bCs/>
                <w:snapToGrid w:val="0"/>
                <w:color w:val="000000" w:themeColor="text1"/>
                <w:spacing w:val="-6"/>
                <w:kern w:val="21"/>
                <w:sz w:val="21"/>
                <w:szCs w:val="21"/>
                <w:highlight w:val="none"/>
                <w:lang w:val="en-US" w:eastAsia="zh-CN" w:bidi="ar-SA"/>
                <w14:textFill>
                  <w14:solidFill>
                    <w14:schemeClr w14:val="tx1"/>
                  </w14:solidFill>
                </w14:textFill>
              </w:rPr>
              <w:fldChar w:fldCharType="end"/>
            </w:r>
          </w:p>
        </w:tc>
      </w:tr>
      <w:tr w14:paraId="23395C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restart"/>
            <w:noWrap w:val="0"/>
            <w:vAlign w:val="center"/>
          </w:tcPr>
          <w:p w14:paraId="24BFB1AF">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废气</w:t>
            </w:r>
          </w:p>
        </w:tc>
        <w:tc>
          <w:tcPr>
            <w:tcW w:w="1795" w:type="dxa"/>
            <w:noWrap w:val="0"/>
            <w:vAlign w:val="center"/>
          </w:tcPr>
          <w:p w14:paraId="522510E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废气量</w:t>
            </w:r>
          </w:p>
        </w:tc>
        <w:tc>
          <w:tcPr>
            <w:tcW w:w="1704" w:type="dxa"/>
            <w:noWrap w:val="0"/>
            <w:vAlign w:val="center"/>
          </w:tcPr>
          <w:p w14:paraId="5C24E885">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w:t>
            </w:r>
          </w:p>
        </w:tc>
        <w:tc>
          <w:tcPr>
            <w:tcW w:w="1356" w:type="dxa"/>
            <w:noWrap w:val="0"/>
            <w:vAlign w:val="center"/>
          </w:tcPr>
          <w:p w14:paraId="73D2F389">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w:t>
            </w:r>
          </w:p>
        </w:tc>
        <w:tc>
          <w:tcPr>
            <w:tcW w:w="1644" w:type="dxa"/>
            <w:noWrap w:val="0"/>
            <w:vAlign w:val="center"/>
          </w:tcPr>
          <w:p w14:paraId="699AC119">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w:t>
            </w:r>
          </w:p>
        </w:tc>
        <w:tc>
          <w:tcPr>
            <w:tcW w:w="1488" w:type="dxa"/>
            <w:noWrap w:val="0"/>
            <w:vAlign w:val="center"/>
          </w:tcPr>
          <w:p w14:paraId="7FC4B026">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cs="Times New Roman"/>
                <w:snapToGrid w:val="0"/>
                <w:color w:val="000000" w:themeColor="text1"/>
                <w:kern w:val="21"/>
                <w:sz w:val="21"/>
                <w:szCs w:val="21"/>
                <w:highlight w:val="none"/>
                <w:lang w:val="en-US" w:eastAsia="zh-CN" w:bidi="ar-SA"/>
                <w14:textFill>
                  <w14:solidFill>
                    <w14:schemeClr w14:val="tx1"/>
                  </w14:solidFill>
                </w14:textFill>
              </w:rPr>
              <w:t>48624.16</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万m</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/a</w:t>
            </w:r>
          </w:p>
        </w:tc>
        <w:tc>
          <w:tcPr>
            <w:tcW w:w="1620" w:type="dxa"/>
            <w:noWrap w:val="0"/>
            <w:vAlign w:val="center"/>
          </w:tcPr>
          <w:p w14:paraId="48614F35">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w:t>
            </w:r>
          </w:p>
        </w:tc>
        <w:tc>
          <w:tcPr>
            <w:tcW w:w="1932" w:type="dxa"/>
            <w:noWrap w:val="0"/>
            <w:vAlign w:val="center"/>
          </w:tcPr>
          <w:p w14:paraId="12511351">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cs="Times New Roman"/>
                <w:snapToGrid w:val="0"/>
                <w:color w:val="000000" w:themeColor="text1"/>
                <w:kern w:val="21"/>
                <w:sz w:val="21"/>
                <w:szCs w:val="21"/>
                <w:highlight w:val="none"/>
                <w:lang w:val="en-US" w:eastAsia="zh-CN" w:bidi="ar-SA"/>
                <w14:textFill>
                  <w14:solidFill>
                    <w14:schemeClr w14:val="tx1"/>
                  </w14:solidFill>
                </w14:textFill>
              </w:rPr>
              <w:t>48624.16</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万m</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/a</w:t>
            </w:r>
          </w:p>
        </w:tc>
        <w:tc>
          <w:tcPr>
            <w:tcW w:w="1456" w:type="dxa"/>
            <w:noWrap w:val="0"/>
            <w:vAlign w:val="center"/>
          </w:tcPr>
          <w:p w14:paraId="17962D4E">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w:t>
            </w:r>
            <w:r>
              <w:rPr>
                <w:rFonts w:hint="eastAsia" w:cs="Times New Roman"/>
                <w:snapToGrid w:val="0"/>
                <w:color w:val="000000" w:themeColor="text1"/>
                <w:kern w:val="21"/>
                <w:sz w:val="21"/>
                <w:szCs w:val="21"/>
                <w:highlight w:val="none"/>
                <w:lang w:val="en-US" w:eastAsia="zh-CN" w:bidi="ar-SA"/>
                <w14:textFill>
                  <w14:solidFill>
                    <w14:schemeClr w14:val="tx1"/>
                  </w14:solidFill>
                </w14:textFill>
              </w:rPr>
              <w:t>48624.16</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万m</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/a</w:t>
            </w:r>
          </w:p>
        </w:tc>
      </w:tr>
      <w:tr w14:paraId="7C6663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center"/>
          </w:tcPr>
          <w:p w14:paraId="21309B48">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45FA3B01">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颗粒物</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56A53F9A">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w:t>
            </w:r>
          </w:p>
        </w:tc>
        <w:tc>
          <w:tcPr>
            <w:tcW w:w="1356" w:type="dxa"/>
            <w:noWrap w:val="0"/>
            <w:vAlign w:val="center"/>
          </w:tcPr>
          <w:p w14:paraId="6D44B8AD">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w:t>
            </w:r>
          </w:p>
        </w:tc>
        <w:tc>
          <w:tcPr>
            <w:tcW w:w="1644" w:type="dxa"/>
            <w:noWrap w:val="0"/>
            <w:vAlign w:val="center"/>
          </w:tcPr>
          <w:p w14:paraId="6DF5DC53">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w:t>
            </w:r>
          </w:p>
        </w:tc>
        <w:tc>
          <w:tcPr>
            <w:tcW w:w="1488" w:type="dxa"/>
            <w:noWrap w:val="0"/>
            <w:vAlign w:val="center"/>
          </w:tcPr>
          <w:p w14:paraId="7B682682">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r>
              <w:rPr>
                <w:rFonts w:hint="eastAsia" w:cs="Times New Roman"/>
                <w:i w:val="0"/>
                <w:iCs w:val="0"/>
                <w:color w:val="000000" w:themeColor="text1"/>
                <w:kern w:val="0"/>
                <w:sz w:val="21"/>
                <w:szCs w:val="21"/>
                <w:u w:val="none"/>
                <w:lang w:val="en-US" w:eastAsia="zh-CN" w:bidi="ar"/>
                <w14:textFill>
                  <w14:solidFill>
                    <w14:schemeClr w14:val="tx1"/>
                  </w14:solidFill>
                </w14:textFill>
              </w:rPr>
              <w:t>277</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1620" w:type="dxa"/>
            <w:noWrap w:val="0"/>
            <w:vAlign w:val="center"/>
          </w:tcPr>
          <w:p w14:paraId="07563BE3">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w:t>
            </w:r>
          </w:p>
        </w:tc>
        <w:tc>
          <w:tcPr>
            <w:tcW w:w="1932" w:type="dxa"/>
            <w:noWrap w:val="0"/>
            <w:vAlign w:val="center"/>
          </w:tcPr>
          <w:p w14:paraId="756E39C3">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r>
              <w:rPr>
                <w:rFonts w:hint="eastAsia" w:cs="Times New Roman"/>
                <w:i w:val="0"/>
                <w:iCs w:val="0"/>
                <w:color w:val="000000" w:themeColor="text1"/>
                <w:kern w:val="0"/>
                <w:sz w:val="21"/>
                <w:szCs w:val="21"/>
                <w:u w:val="none"/>
                <w:lang w:val="en-US" w:eastAsia="zh-CN" w:bidi="ar"/>
                <w14:textFill>
                  <w14:solidFill>
                    <w14:schemeClr w14:val="tx1"/>
                  </w14:solidFill>
                </w14:textFill>
              </w:rPr>
              <w:t>277</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1456" w:type="dxa"/>
            <w:noWrap w:val="0"/>
            <w:vAlign w:val="center"/>
          </w:tcPr>
          <w:p w14:paraId="7ED58740">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r>
              <w:rPr>
                <w:rFonts w:hint="eastAsia" w:cs="Times New Roman"/>
                <w:i w:val="0"/>
                <w:iCs w:val="0"/>
                <w:color w:val="000000" w:themeColor="text1"/>
                <w:kern w:val="0"/>
                <w:sz w:val="21"/>
                <w:szCs w:val="21"/>
                <w:u w:val="none"/>
                <w:lang w:val="en-US" w:eastAsia="zh-CN" w:bidi="ar"/>
                <w14:textFill>
                  <w14:solidFill>
                    <w14:schemeClr w14:val="tx1"/>
                  </w14:solidFill>
                </w14:textFill>
              </w:rPr>
              <w:t>277</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r w14:paraId="38F74C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center"/>
          </w:tcPr>
          <w:p w14:paraId="0BCC9117">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3FE3348D">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非甲烷总烃</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7C7D55EF">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0EB46970">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05778036">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3638C84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1.022 </w:t>
            </w:r>
          </w:p>
        </w:tc>
        <w:tc>
          <w:tcPr>
            <w:tcW w:w="1620" w:type="dxa"/>
            <w:noWrap w:val="0"/>
            <w:vAlign w:val="center"/>
          </w:tcPr>
          <w:p w14:paraId="0E6EEF7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1932" w:type="dxa"/>
            <w:noWrap w:val="0"/>
            <w:vAlign w:val="center"/>
          </w:tcPr>
          <w:p w14:paraId="21ADC59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1.022 </w:t>
            </w:r>
          </w:p>
        </w:tc>
        <w:tc>
          <w:tcPr>
            <w:tcW w:w="1456" w:type="dxa"/>
            <w:noWrap w:val="0"/>
            <w:vAlign w:val="center"/>
          </w:tcPr>
          <w:p w14:paraId="2FD3F62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1.022 </w:t>
            </w:r>
          </w:p>
        </w:tc>
      </w:tr>
      <w:tr w14:paraId="1405F0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center"/>
          </w:tcPr>
          <w:p w14:paraId="65DE0A38">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6FC679E0">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苯系物</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3EE74E82">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7D16290B">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1A6D866F">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4E66441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0.483 </w:t>
            </w:r>
          </w:p>
        </w:tc>
        <w:tc>
          <w:tcPr>
            <w:tcW w:w="1620" w:type="dxa"/>
            <w:noWrap w:val="0"/>
            <w:vAlign w:val="center"/>
          </w:tcPr>
          <w:p w14:paraId="0400085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1932" w:type="dxa"/>
            <w:noWrap w:val="0"/>
            <w:vAlign w:val="center"/>
          </w:tcPr>
          <w:p w14:paraId="0DE79F3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0.483 </w:t>
            </w:r>
          </w:p>
        </w:tc>
        <w:tc>
          <w:tcPr>
            <w:tcW w:w="1456" w:type="dxa"/>
            <w:noWrap w:val="0"/>
            <w:vAlign w:val="center"/>
          </w:tcPr>
          <w:p w14:paraId="2710A26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0.483 </w:t>
            </w:r>
          </w:p>
        </w:tc>
      </w:tr>
      <w:tr w14:paraId="2E67F8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center"/>
          </w:tcPr>
          <w:p w14:paraId="627DA445">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00774BBD">
            <w:pPr>
              <w:keepNext w:val="0"/>
              <w:keepLines w:val="0"/>
              <w:widowControl/>
              <w:suppressLineNumbers w:val="0"/>
              <w:jc w:val="center"/>
              <w:textAlignment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SO</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2</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79EA78EA">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7CC18C64">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5293368A">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41FE9D35">
            <w:pPr>
              <w:keepNext w:val="0"/>
              <w:keepLines w:val="0"/>
              <w:widowControl/>
              <w:suppressLineNumbers w:val="0"/>
              <w:jc w:val="center"/>
              <w:textAlignment w:val="center"/>
              <w:rPr>
                <w:rFonts w:hint="default" w:ascii="Times New Roman"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w:t>
            </w:r>
            <w:r>
              <w:rPr>
                <w:rFonts w:hint="eastAsia" w:cs="Times New Roman"/>
                <w:i w:val="0"/>
                <w:iCs w:val="0"/>
                <w:color w:val="000000" w:themeColor="text1"/>
                <w:kern w:val="0"/>
                <w:sz w:val="21"/>
                <w:szCs w:val="21"/>
                <w:u w:val="none"/>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6 </w:t>
            </w:r>
          </w:p>
        </w:tc>
        <w:tc>
          <w:tcPr>
            <w:tcW w:w="1620" w:type="dxa"/>
            <w:noWrap w:val="0"/>
            <w:vAlign w:val="center"/>
          </w:tcPr>
          <w:p w14:paraId="266E9E6A">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1F9F2AAB">
            <w:pPr>
              <w:keepNext w:val="0"/>
              <w:keepLines w:val="0"/>
              <w:widowControl/>
              <w:suppressLineNumbers w:val="0"/>
              <w:jc w:val="center"/>
              <w:textAlignment w:val="center"/>
              <w:rPr>
                <w:rFonts w:hint="eastAsia"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w:t>
            </w:r>
            <w:r>
              <w:rPr>
                <w:rFonts w:hint="eastAsia" w:cs="Times New Roman"/>
                <w:i w:val="0"/>
                <w:iCs w:val="0"/>
                <w:color w:val="000000" w:themeColor="text1"/>
                <w:kern w:val="0"/>
                <w:sz w:val="21"/>
                <w:szCs w:val="21"/>
                <w:u w:val="none"/>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6 </w:t>
            </w:r>
          </w:p>
        </w:tc>
        <w:tc>
          <w:tcPr>
            <w:tcW w:w="1456" w:type="dxa"/>
            <w:noWrap w:val="0"/>
            <w:vAlign w:val="center"/>
          </w:tcPr>
          <w:p w14:paraId="2DC8DEB3">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w:t>
            </w:r>
            <w:r>
              <w:rPr>
                <w:rFonts w:hint="eastAsia" w:cs="Times New Roman"/>
                <w:i w:val="0"/>
                <w:iCs w:val="0"/>
                <w:color w:val="000000" w:themeColor="text1"/>
                <w:kern w:val="0"/>
                <w:sz w:val="21"/>
                <w:szCs w:val="21"/>
                <w:u w:val="none"/>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6 </w:t>
            </w:r>
          </w:p>
        </w:tc>
      </w:tr>
      <w:tr w14:paraId="494D79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62" w:type="dxa"/>
            <w:vMerge w:val="continue"/>
            <w:noWrap w:val="0"/>
            <w:vAlign w:val="center"/>
          </w:tcPr>
          <w:p w14:paraId="4ABCFE98">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4B3EA885">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NO</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X</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178210CE">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3AC09A7E">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5C23DF78">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1232740C">
            <w:pPr>
              <w:keepNext w:val="0"/>
              <w:keepLines w:val="0"/>
              <w:widowControl/>
              <w:suppressLineNumbers w:val="0"/>
              <w:jc w:val="center"/>
              <w:textAlignment w:val="center"/>
              <w:rPr>
                <w:rFonts w:hint="default" w:ascii="Times New Roman"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r>
              <w:rPr>
                <w:rFonts w:hint="eastAsia" w:cs="Times New Roman"/>
                <w:i w:val="0"/>
                <w:iCs w:val="0"/>
                <w:color w:val="000000" w:themeColor="text1"/>
                <w:kern w:val="0"/>
                <w:sz w:val="21"/>
                <w:szCs w:val="21"/>
                <w:u w:val="none"/>
                <w:lang w:val="en-US" w:eastAsia="zh-CN" w:bidi="ar"/>
                <w14:textFill>
                  <w14:solidFill>
                    <w14:schemeClr w14:val="tx1"/>
                  </w14:solidFill>
                </w14:textFill>
              </w:rPr>
              <w:t>341</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1620" w:type="dxa"/>
            <w:noWrap w:val="0"/>
            <w:vAlign w:val="center"/>
          </w:tcPr>
          <w:p w14:paraId="0BEDC251">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42DD45D5">
            <w:pPr>
              <w:keepNext w:val="0"/>
              <w:keepLines w:val="0"/>
              <w:widowControl/>
              <w:suppressLineNumbers w:val="0"/>
              <w:jc w:val="center"/>
              <w:textAlignment w:val="center"/>
              <w:rPr>
                <w:rFonts w:hint="eastAsia"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r>
              <w:rPr>
                <w:rFonts w:hint="eastAsia" w:cs="Times New Roman"/>
                <w:i w:val="0"/>
                <w:iCs w:val="0"/>
                <w:color w:val="000000" w:themeColor="text1"/>
                <w:kern w:val="0"/>
                <w:sz w:val="21"/>
                <w:szCs w:val="21"/>
                <w:u w:val="none"/>
                <w:lang w:val="en-US" w:eastAsia="zh-CN" w:bidi="ar"/>
                <w14:textFill>
                  <w14:solidFill>
                    <w14:schemeClr w14:val="tx1"/>
                  </w14:solidFill>
                </w14:textFill>
              </w:rPr>
              <w:t>341</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1456" w:type="dxa"/>
            <w:noWrap w:val="0"/>
            <w:vAlign w:val="center"/>
          </w:tcPr>
          <w:p w14:paraId="00514957">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r>
              <w:rPr>
                <w:rFonts w:hint="eastAsia" w:cs="Times New Roman"/>
                <w:i w:val="0"/>
                <w:iCs w:val="0"/>
                <w:color w:val="000000" w:themeColor="text1"/>
                <w:kern w:val="0"/>
                <w:sz w:val="21"/>
                <w:szCs w:val="21"/>
                <w:u w:val="none"/>
                <w:lang w:val="en-US" w:eastAsia="zh-CN" w:bidi="ar"/>
                <w14:textFill>
                  <w14:solidFill>
                    <w14:schemeClr w14:val="tx1"/>
                  </w14:solidFill>
                </w14:textFill>
              </w:rPr>
              <w:t>341</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r w14:paraId="05E42A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center"/>
          </w:tcPr>
          <w:p w14:paraId="1DD7E71C">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2B046734">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油烟</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3A470CAB">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76602C18">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26103C65">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587EF8BF">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0.007 </w:t>
            </w:r>
          </w:p>
        </w:tc>
        <w:tc>
          <w:tcPr>
            <w:tcW w:w="1620" w:type="dxa"/>
            <w:noWrap w:val="0"/>
            <w:vAlign w:val="center"/>
          </w:tcPr>
          <w:p w14:paraId="43712542">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7DC487FF">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0.007 </w:t>
            </w:r>
          </w:p>
        </w:tc>
        <w:tc>
          <w:tcPr>
            <w:tcW w:w="1456" w:type="dxa"/>
            <w:noWrap w:val="0"/>
            <w:vAlign w:val="center"/>
          </w:tcPr>
          <w:p w14:paraId="64E2FCBD">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0.007 </w:t>
            </w:r>
          </w:p>
        </w:tc>
      </w:tr>
      <w:tr w14:paraId="55ECCA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restart"/>
            <w:noWrap w:val="0"/>
            <w:vAlign w:val="center"/>
          </w:tcPr>
          <w:p w14:paraId="3FC70EEA">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废水</w:t>
            </w:r>
          </w:p>
        </w:tc>
        <w:tc>
          <w:tcPr>
            <w:tcW w:w="1795" w:type="dxa"/>
            <w:noWrap w:val="0"/>
            <w:vAlign w:val="center"/>
          </w:tcPr>
          <w:p w14:paraId="777B3E98">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废水量</w:t>
            </w:r>
          </w:p>
        </w:tc>
        <w:tc>
          <w:tcPr>
            <w:tcW w:w="1704" w:type="dxa"/>
            <w:noWrap w:val="0"/>
            <w:vAlign w:val="center"/>
          </w:tcPr>
          <w:p w14:paraId="033ED813">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2C989D6D">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6401D37A">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2590948D">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2080</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万</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p>
        </w:tc>
        <w:tc>
          <w:tcPr>
            <w:tcW w:w="1620" w:type="dxa"/>
            <w:noWrap w:val="0"/>
            <w:vAlign w:val="center"/>
          </w:tcPr>
          <w:p w14:paraId="7281DD35">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2E0F3183">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2080</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万</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p>
        </w:tc>
        <w:tc>
          <w:tcPr>
            <w:tcW w:w="1456" w:type="dxa"/>
            <w:noWrap w:val="0"/>
            <w:vAlign w:val="center"/>
          </w:tcPr>
          <w:p w14:paraId="065B04FA">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2080</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万</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p>
        </w:tc>
      </w:tr>
      <w:tr w14:paraId="61C7F5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shd w:val="clear" w:color="auto" w:fill="auto"/>
            <w:noWrap w:val="0"/>
            <w:vAlign w:val="center"/>
          </w:tcPr>
          <w:p w14:paraId="104ED7E6">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shd w:val="clear" w:color="auto" w:fill="auto"/>
            <w:noWrap w:val="0"/>
            <w:vAlign w:val="center"/>
          </w:tcPr>
          <w:p w14:paraId="47261621">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COD</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Cr</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shd w:val="clear" w:color="auto" w:fill="auto"/>
            <w:noWrap w:val="0"/>
            <w:vAlign w:val="center"/>
          </w:tcPr>
          <w:p w14:paraId="5257E73C">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shd w:val="clear" w:color="auto" w:fill="auto"/>
            <w:noWrap w:val="0"/>
            <w:vAlign w:val="center"/>
          </w:tcPr>
          <w:p w14:paraId="3820A623">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shd w:val="clear" w:color="auto" w:fill="auto"/>
            <w:noWrap w:val="0"/>
            <w:vAlign w:val="center"/>
          </w:tcPr>
          <w:p w14:paraId="17C9EE99">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shd w:val="clear" w:color="auto" w:fill="FFFFFF"/>
            <w:noWrap w:val="0"/>
            <w:vAlign w:val="center"/>
          </w:tcPr>
          <w:p w14:paraId="0C6DC3D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1.680 </w:t>
            </w:r>
          </w:p>
        </w:tc>
        <w:tc>
          <w:tcPr>
            <w:tcW w:w="1620" w:type="dxa"/>
            <w:shd w:val="clear" w:color="auto" w:fill="auto"/>
            <w:noWrap w:val="0"/>
            <w:vAlign w:val="center"/>
          </w:tcPr>
          <w:p w14:paraId="1E643B44">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shd w:val="clear" w:color="auto" w:fill="FFFFFF"/>
            <w:noWrap w:val="0"/>
            <w:vAlign w:val="center"/>
          </w:tcPr>
          <w:p w14:paraId="2EAA0FC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1.680 </w:t>
            </w:r>
          </w:p>
        </w:tc>
        <w:tc>
          <w:tcPr>
            <w:tcW w:w="1456" w:type="dxa"/>
            <w:shd w:val="clear" w:color="auto" w:fill="FFFFFF"/>
            <w:noWrap w:val="0"/>
            <w:vAlign w:val="center"/>
          </w:tcPr>
          <w:p w14:paraId="587353D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1.680 </w:t>
            </w:r>
          </w:p>
        </w:tc>
      </w:tr>
      <w:tr w14:paraId="67F1E0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shd w:val="clear" w:color="auto" w:fill="auto"/>
            <w:noWrap w:val="0"/>
            <w:vAlign w:val="center"/>
          </w:tcPr>
          <w:p w14:paraId="15BADE65">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shd w:val="clear" w:color="auto" w:fill="auto"/>
            <w:noWrap w:val="0"/>
            <w:vAlign w:val="center"/>
          </w:tcPr>
          <w:p w14:paraId="1E387E25">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BOD</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5</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shd w:val="clear" w:color="auto" w:fill="auto"/>
            <w:noWrap w:val="0"/>
            <w:vAlign w:val="center"/>
          </w:tcPr>
          <w:p w14:paraId="1A89EB82">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shd w:val="clear" w:color="auto" w:fill="auto"/>
            <w:noWrap w:val="0"/>
            <w:vAlign w:val="center"/>
          </w:tcPr>
          <w:p w14:paraId="617EF17A">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shd w:val="clear" w:color="auto" w:fill="auto"/>
            <w:noWrap w:val="0"/>
            <w:vAlign w:val="center"/>
          </w:tcPr>
          <w:p w14:paraId="779891E9">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shd w:val="clear" w:color="auto" w:fill="FFFFFF"/>
            <w:noWrap w:val="0"/>
            <w:vAlign w:val="center"/>
          </w:tcPr>
          <w:p w14:paraId="1CE1075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0.828 </w:t>
            </w:r>
          </w:p>
        </w:tc>
        <w:tc>
          <w:tcPr>
            <w:tcW w:w="1620" w:type="dxa"/>
            <w:shd w:val="clear" w:color="auto" w:fill="auto"/>
            <w:noWrap w:val="0"/>
            <w:vAlign w:val="center"/>
          </w:tcPr>
          <w:p w14:paraId="4C586B14">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shd w:val="clear" w:color="auto" w:fill="FFFFFF"/>
            <w:noWrap w:val="0"/>
            <w:vAlign w:val="center"/>
          </w:tcPr>
          <w:p w14:paraId="55A8BF4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0.828 </w:t>
            </w:r>
          </w:p>
        </w:tc>
        <w:tc>
          <w:tcPr>
            <w:tcW w:w="1456" w:type="dxa"/>
            <w:shd w:val="clear" w:color="auto" w:fill="FFFFFF"/>
            <w:noWrap w:val="0"/>
            <w:vAlign w:val="center"/>
          </w:tcPr>
          <w:p w14:paraId="121A9F0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0.828 </w:t>
            </w:r>
          </w:p>
        </w:tc>
      </w:tr>
      <w:tr w14:paraId="7F3A05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shd w:val="clear" w:color="auto" w:fill="auto"/>
            <w:noWrap w:val="0"/>
            <w:vAlign w:val="center"/>
          </w:tcPr>
          <w:p w14:paraId="2768DBE1">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shd w:val="clear" w:color="auto" w:fill="auto"/>
            <w:noWrap w:val="0"/>
            <w:vAlign w:val="center"/>
          </w:tcPr>
          <w:p w14:paraId="2023885B">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SS</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shd w:val="clear" w:color="auto" w:fill="auto"/>
            <w:noWrap w:val="0"/>
            <w:vAlign w:val="center"/>
          </w:tcPr>
          <w:p w14:paraId="43286FD4">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shd w:val="clear" w:color="auto" w:fill="auto"/>
            <w:noWrap w:val="0"/>
            <w:vAlign w:val="center"/>
          </w:tcPr>
          <w:p w14:paraId="71BB6473">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shd w:val="clear" w:color="auto" w:fill="auto"/>
            <w:noWrap w:val="0"/>
            <w:vAlign w:val="center"/>
          </w:tcPr>
          <w:p w14:paraId="125FEF6D">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shd w:val="clear" w:color="auto" w:fill="FFFFFF"/>
            <w:noWrap w:val="0"/>
            <w:vAlign w:val="center"/>
          </w:tcPr>
          <w:p w14:paraId="0EB3584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0.226 </w:t>
            </w:r>
          </w:p>
        </w:tc>
        <w:tc>
          <w:tcPr>
            <w:tcW w:w="1620" w:type="dxa"/>
            <w:shd w:val="clear" w:color="auto" w:fill="auto"/>
            <w:noWrap w:val="0"/>
            <w:vAlign w:val="center"/>
          </w:tcPr>
          <w:p w14:paraId="0878B873">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shd w:val="clear" w:color="auto" w:fill="FFFFFF"/>
            <w:noWrap w:val="0"/>
            <w:vAlign w:val="center"/>
          </w:tcPr>
          <w:p w14:paraId="1D104D0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0.226 </w:t>
            </w:r>
          </w:p>
        </w:tc>
        <w:tc>
          <w:tcPr>
            <w:tcW w:w="1456" w:type="dxa"/>
            <w:shd w:val="clear" w:color="auto" w:fill="FFFFFF"/>
            <w:noWrap w:val="0"/>
            <w:vAlign w:val="center"/>
          </w:tcPr>
          <w:p w14:paraId="545092C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0.226 </w:t>
            </w:r>
          </w:p>
        </w:tc>
      </w:tr>
      <w:tr w14:paraId="433333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shd w:val="clear" w:color="auto" w:fill="auto"/>
            <w:noWrap w:val="0"/>
            <w:vAlign w:val="center"/>
          </w:tcPr>
          <w:p w14:paraId="40661DA8">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shd w:val="clear" w:color="auto" w:fill="auto"/>
            <w:noWrap w:val="0"/>
            <w:vAlign w:val="center"/>
          </w:tcPr>
          <w:p w14:paraId="4C87831F">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NH</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-N</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shd w:val="clear" w:color="auto" w:fill="auto"/>
            <w:noWrap w:val="0"/>
            <w:vAlign w:val="center"/>
          </w:tcPr>
          <w:p w14:paraId="3BB3AFC5">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shd w:val="clear" w:color="auto" w:fill="auto"/>
            <w:noWrap w:val="0"/>
            <w:vAlign w:val="center"/>
          </w:tcPr>
          <w:p w14:paraId="3F9997F9">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shd w:val="clear" w:color="auto" w:fill="auto"/>
            <w:noWrap w:val="0"/>
            <w:vAlign w:val="center"/>
          </w:tcPr>
          <w:p w14:paraId="7973E602">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shd w:val="clear" w:color="auto" w:fill="FFFFFF"/>
            <w:noWrap w:val="0"/>
            <w:vAlign w:val="center"/>
          </w:tcPr>
          <w:p w14:paraId="286C233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0.188 </w:t>
            </w:r>
          </w:p>
        </w:tc>
        <w:tc>
          <w:tcPr>
            <w:tcW w:w="1620" w:type="dxa"/>
            <w:shd w:val="clear" w:color="auto" w:fill="auto"/>
            <w:noWrap w:val="0"/>
            <w:vAlign w:val="center"/>
          </w:tcPr>
          <w:p w14:paraId="636482BA">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shd w:val="clear" w:color="auto" w:fill="FFFFFF"/>
            <w:noWrap w:val="0"/>
            <w:vAlign w:val="center"/>
          </w:tcPr>
          <w:p w14:paraId="6501746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0.188 </w:t>
            </w:r>
          </w:p>
        </w:tc>
        <w:tc>
          <w:tcPr>
            <w:tcW w:w="1456" w:type="dxa"/>
            <w:shd w:val="clear" w:color="auto" w:fill="FFFFFF"/>
            <w:noWrap w:val="0"/>
            <w:vAlign w:val="center"/>
          </w:tcPr>
          <w:p w14:paraId="78AE00F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0.188 </w:t>
            </w:r>
          </w:p>
        </w:tc>
      </w:tr>
      <w:tr w14:paraId="3DC17D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shd w:val="clear" w:color="auto" w:fill="auto"/>
            <w:noWrap w:val="0"/>
            <w:vAlign w:val="center"/>
          </w:tcPr>
          <w:p w14:paraId="010ADE8B">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shd w:val="clear" w:color="auto" w:fill="auto"/>
            <w:noWrap w:val="0"/>
            <w:vAlign w:val="center"/>
          </w:tcPr>
          <w:p w14:paraId="6ECE1C0F">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氟化物</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shd w:val="clear" w:color="auto" w:fill="auto"/>
            <w:noWrap w:val="0"/>
            <w:vAlign w:val="center"/>
          </w:tcPr>
          <w:p w14:paraId="36F018DB">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shd w:val="clear" w:color="auto" w:fill="auto"/>
            <w:noWrap w:val="0"/>
            <w:vAlign w:val="center"/>
          </w:tcPr>
          <w:p w14:paraId="5D2AAD86">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shd w:val="clear" w:color="auto" w:fill="auto"/>
            <w:noWrap w:val="0"/>
            <w:vAlign w:val="center"/>
          </w:tcPr>
          <w:p w14:paraId="446094F9">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shd w:val="clear" w:color="auto" w:fill="FFFFFF"/>
            <w:noWrap w:val="0"/>
            <w:vAlign w:val="center"/>
          </w:tcPr>
          <w:p w14:paraId="5367A72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0.098 </w:t>
            </w:r>
          </w:p>
        </w:tc>
        <w:tc>
          <w:tcPr>
            <w:tcW w:w="1620" w:type="dxa"/>
            <w:shd w:val="clear" w:color="auto" w:fill="auto"/>
            <w:noWrap w:val="0"/>
            <w:vAlign w:val="center"/>
          </w:tcPr>
          <w:p w14:paraId="2DE271F5">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shd w:val="clear" w:color="auto" w:fill="FFFFFF"/>
            <w:noWrap w:val="0"/>
            <w:vAlign w:val="center"/>
          </w:tcPr>
          <w:p w14:paraId="598677B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0.098 </w:t>
            </w:r>
          </w:p>
        </w:tc>
        <w:tc>
          <w:tcPr>
            <w:tcW w:w="1456" w:type="dxa"/>
            <w:shd w:val="clear" w:color="auto" w:fill="FFFFFF"/>
            <w:noWrap w:val="0"/>
            <w:vAlign w:val="center"/>
          </w:tcPr>
          <w:p w14:paraId="675641C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0.098 </w:t>
            </w:r>
          </w:p>
        </w:tc>
      </w:tr>
      <w:tr w14:paraId="45F6E6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shd w:val="clear" w:color="auto" w:fill="auto"/>
            <w:noWrap w:val="0"/>
            <w:vAlign w:val="center"/>
          </w:tcPr>
          <w:p w14:paraId="62922C1D">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shd w:val="clear" w:color="auto" w:fill="auto"/>
            <w:noWrap w:val="0"/>
            <w:vAlign w:val="center"/>
          </w:tcPr>
          <w:p w14:paraId="07FEFDB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TP</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shd w:val="clear" w:color="auto" w:fill="auto"/>
            <w:noWrap w:val="0"/>
            <w:vAlign w:val="center"/>
          </w:tcPr>
          <w:p w14:paraId="5391AEAF">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shd w:val="clear" w:color="auto" w:fill="auto"/>
            <w:noWrap w:val="0"/>
            <w:vAlign w:val="center"/>
          </w:tcPr>
          <w:p w14:paraId="5BB7D305">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shd w:val="clear" w:color="auto" w:fill="auto"/>
            <w:noWrap w:val="0"/>
            <w:vAlign w:val="center"/>
          </w:tcPr>
          <w:p w14:paraId="68AD8724">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shd w:val="clear" w:color="auto" w:fill="FFFFFF"/>
            <w:noWrap w:val="0"/>
            <w:vAlign w:val="center"/>
          </w:tcPr>
          <w:p w14:paraId="6D0733C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0.009 </w:t>
            </w:r>
          </w:p>
        </w:tc>
        <w:tc>
          <w:tcPr>
            <w:tcW w:w="1620" w:type="dxa"/>
            <w:shd w:val="clear" w:color="auto" w:fill="auto"/>
            <w:noWrap w:val="0"/>
            <w:vAlign w:val="center"/>
          </w:tcPr>
          <w:p w14:paraId="491D0476">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p>
        </w:tc>
        <w:tc>
          <w:tcPr>
            <w:tcW w:w="1932" w:type="dxa"/>
            <w:shd w:val="clear" w:color="auto" w:fill="FFFFFF"/>
            <w:noWrap w:val="0"/>
            <w:vAlign w:val="center"/>
          </w:tcPr>
          <w:p w14:paraId="4F0DB79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0.009 </w:t>
            </w:r>
          </w:p>
        </w:tc>
        <w:tc>
          <w:tcPr>
            <w:tcW w:w="1456" w:type="dxa"/>
            <w:shd w:val="clear" w:color="auto" w:fill="FFFFFF"/>
            <w:noWrap w:val="0"/>
            <w:vAlign w:val="center"/>
          </w:tcPr>
          <w:p w14:paraId="3E42FC7E">
            <w:pPr>
              <w:keepNext w:val="0"/>
              <w:keepLines w:val="0"/>
              <w:widowControl/>
              <w:suppressLineNumbers w:val="0"/>
              <w:jc w:val="center"/>
              <w:textAlignment w:val="center"/>
              <w:rPr>
                <w:rFonts w:hint="eastAsia"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0.009 </w:t>
            </w:r>
          </w:p>
        </w:tc>
      </w:tr>
      <w:tr w14:paraId="073426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shd w:val="clear" w:color="auto" w:fill="auto"/>
            <w:noWrap w:val="0"/>
            <w:vAlign w:val="center"/>
          </w:tcPr>
          <w:p w14:paraId="09BC374B">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shd w:val="clear" w:color="auto" w:fill="auto"/>
            <w:noWrap w:val="0"/>
            <w:vAlign w:val="center"/>
          </w:tcPr>
          <w:p w14:paraId="47E66AF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TN</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shd w:val="clear" w:color="auto" w:fill="auto"/>
            <w:noWrap w:val="0"/>
            <w:vAlign w:val="center"/>
          </w:tcPr>
          <w:p w14:paraId="25BEB2DF">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shd w:val="clear" w:color="auto" w:fill="auto"/>
            <w:noWrap w:val="0"/>
            <w:vAlign w:val="center"/>
          </w:tcPr>
          <w:p w14:paraId="54EC8375">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shd w:val="clear" w:color="auto" w:fill="auto"/>
            <w:noWrap w:val="0"/>
            <w:vAlign w:val="center"/>
          </w:tcPr>
          <w:p w14:paraId="44948045">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shd w:val="clear" w:color="auto" w:fill="FFFFFF"/>
            <w:noWrap w:val="0"/>
            <w:vAlign w:val="center"/>
          </w:tcPr>
          <w:p w14:paraId="5E9C871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0.377 </w:t>
            </w:r>
          </w:p>
        </w:tc>
        <w:tc>
          <w:tcPr>
            <w:tcW w:w="1620" w:type="dxa"/>
            <w:shd w:val="clear" w:color="auto" w:fill="auto"/>
            <w:noWrap w:val="0"/>
            <w:vAlign w:val="center"/>
          </w:tcPr>
          <w:p w14:paraId="4B3A97B8">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p>
        </w:tc>
        <w:tc>
          <w:tcPr>
            <w:tcW w:w="1932" w:type="dxa"/>
            <w:shd w:val="clear" w:color="auto" w:fill="FFFFFF"/>
            <w:noWrap w:val="0"/>
            <w:vAlign w:val="center"/>
          </w:tcPr>
          <w:p w14:paraId="2124BFE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0.377 </w:t>
            </w:r>
          </w:p>
        </w:tc>
        <w:tc>
          <w:tcPr>
            <w:tcW w:w="1456" w:type="dxa"/>
            <w:shd w:val="clear" w:color="auto" w:fill="FFFFFF"/>
            <w:noWrap w:val="0"/>
            <w:vAlign w:val="center"/>
          </w:tcPr>
          <w:p w14:paraId="733B2866">
            <w:pPr>
              <w:keepNext w:val="0"/>
              <w:keepLines w:val="0"/>
              <w:widowControl/>
              <w:suppressLineNumbers w:val="0"/>
              <w:jc w:val="center"/>
              <w:textAlignment w:val="center"/>
              <w:rPr>
                <w:rFonts w:hint="eastAsia"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0.377 </w:t>
            </w:r>
          </w:p>
        </w:tc>
      </w:tr>
      <w:tr w14:paraId="079085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shd w:val="clear" w:color="auto" w:fill="auto"/>
            <w:noWrap w:val="0"/>
            <w:vAlign w:val="center"/>
          </w:tcPr>
          <w:p w14:paraId="111D1C34">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shd w:val="clear" w:color="auto" w:fill="auto"/>
            <w:noWrap w:val="0"/>
            <w:vAlign w:val="center"/>
          </w:tcPr>
          <w:p w14:paraId="6E36A5E6">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阴离子表面活性剂</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shd w:val="clear" w:color="auto" w:fill="auto"/>
            <w:noWrap w:val="0"/>
            <w:vAlign w:val="center"/>
          </w:tcPr>
          <w:p w14:paraId="07D17A75">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shd w:val="clear" w:color="auto" w:fill="auto"/>
            <w:noWrap w:val="0"/>
            <w:vAlign w:val="center"/>
          </w:tcPr>
          <w:p w14:paraId="3FE2DD9A">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shd w:val="clear" w:color="auto" w:fill="auto"/>
            <w:noWrap w:val="0"/>
            <w:vAlign w:val="center"/>
          </w:tcPr>
          <w:p w14:paraId="1EA1FEB4">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shd w:val="clear" w:color="auto" w:fill="FFFFFF"/>
            <w:noWrap w:val="0"/>
            <w:vAlign w:val="center"/>
          </w:tcPr>
          <w:p w14:paraId="40BF7A9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0.002 </w:t>
            </w:r>
          </w:p>
        </w:tc>
        <w:tc>
          <w:tcPr>
            <w:tcW w:w="1620" w:type="dxa"/>
            <w:shd w:val="clear" w:color="auto" w:fill="auto"/>
            <w:noWrap w:val="0"/>
            <w:vAlign w:val="center"/>
          </w:tcPr>
          <w:p w14:paraId="070289D7">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shd w:val="clear" w:color="auto" w:fill="FFFFFF"/>
            <w:noWrap w:val="0"/>
            <w:vAlign w:val="center"/>
          </w:tcPr>
          <w:p w14:paraId="3008140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0.002 </w:t>
            </w:r>
          </w:p>
        </w:tc>
        <w:tc>
          <w:tcPr>
            <w:tcW w:w="1456" w:type="dxa"/>
            <w:shd w:val="clear" w:color="auto" w:fill="FFFFFF"/>
            <w:noWrap w:val="0"/>
            <w:vAlign w:val="center"/>
          </w:tcPr>
          <w:p w14:paraId="4128556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0.002 </w:t>
            </w:r>
          </w:p>
        </w:tc>
      </w:tr>
      <w:tr w14:paraId="09400E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shd w:val="clear" w:color="auto" w:fill="auto"/>
            <w:noWrap w:val="0"/>
            <w:vAlign w:val="center"/>
          </w:tcPr>
          <w:p w14:paraId="67388763">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shd w:val="clear" w:color="auto" w:fill="auto"/>
            <w:noWrap w:val="0"/>
            <w:vAlign w:val="center"/>
          </w:tcPr>
          <w:p w14:paraId="7E69FA52">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总铝</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shd w:val="clear" w:color="auto" w:fill="auto"/>
            <w:noWrap w:val="0"/>
            <w:vAlign w:val="center"/>
          </w:tcPr>
          <w:p w14:paraId="7E955356">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shd w:val="clear" w:color="auto" w:fill="auto"/>
            <w:noWrap w:val="0"/>
            <w:vAlign w:val="center"/>
          </w:tcPr>
          <w:p w14:paraId="2CB7B84C">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shd w:val="clear" w:color="auto" w:fill="auto"/>
            <w:noWrap w:val="0"/>
            <w:vAlign w:val="center"/>
          </w:tcPr>
          <w:p w14:paraId="62DD095C">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shd w:val="clear" w:color="auto" w:fill="FFFFFF"/>
            <w:noWrap w:val="0"/>
            <w:vAlign w:val="center"/>
          </w:tcPr>
          <w:p w14:paraId="74050AC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0.018 </w:t>
            </w:r>
          </w:p>
        </w:tc>
        <w:tc>
          <w:tcPr>
            <w:tcW w:w="1620" w:type="dxa"/>
            <w:shd w:val="clear" w:color="auto" w:fill="auto"/>
            <w:noWrap w:val="0"/>
            <w:vAlign w:val="center"/>
          </w:tcPr>
          <w:p w14:paraId="44F99842">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shd w:val="clear" w:color="auto" w:fill="FFFFFF"/>
            <w:noWrap w:val="0"/>
            <w:vAlign w:val="center"/>
          </w:tcPr>
          <w:p w14:paraId="5E37304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w:t>
            </w:r>
            <w:r>
              <w:rPr>
                <w:rFonts w:hint="eastAsia" w:cs="Times New Roman"/>
                <w:i w:val="0"/>
                <w:iCs w:val="0"/>
                <w:color w:val="000000" w:themeColor="text1"/>
                <w:kern w:val="0"/>
                <w:sz w:val="21"/>
                <w:szCs w:val="21"/>
                <w:u w:val="none"/>
                <w:lang w:val="en-US" w:eastAsia="zh-CN" w:bidi="ar"/>
                <w14:textFill>
                  <w14:solidFill>
                    <w14:schemeClr w14:val="tx1"/>
                  </w14:solidFill>
                </w14:textFill>
              </w:rPr>
              <w:t>18</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1456" w:type="dxa"/>
            <w:shd w:val="clear" w:color="auto" w:fill="FFFFFF"/>
            <w:noWrap w:val="0"/>
            <w:vAlign w:val="center"/>
          </w:tcPr>
          <w:p w14:paraId="3958D47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w:t>
            </w:r>
            <w:r>
              <w:rPr>
                <w:rFonts w:hint="eastAsia" w:cs="Times New Roman"/>
                <w:i w:val="0"/>
                <w:iCs w:val="0"/>
                <w:color w:val="000000" w:themeColor="text1"/>
                <w:kern w:val="0"/>
                <w:sz w:val="21"/>
                <w:szCs w:val="21"/>
                <w:u w:val="none"/>
                <w:lang w:val="en-US" w:eastAsia="zh-CN" w:bidi="ar"/>
                <w14:textFill>
                  <w14:solidFill>
                    <w14:schemeClr w14:val="tx1"/>
                  </w14:solidFill>
                </w14:textFill>
              </w:rPr>
              <w:t>18</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r w14:paraId="7603DD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962" w:type="dxa"/>
            <w:vMerge w:val="continue"/>
            <w:shd w:val="clear" w:color="auto" w:fill="auto"/>
            <w:noWrap w:val="0"/>
            <w:vAlign w:val="center"/>
          </w:tcPr>
          <w:p w14:paraId="4ADC6133">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shd w:val="clear" w:color="auto" w:fill="auto"/>
            <w:noWrap w:val="0"/>
            <w:vAlign w:val="center"/>
          </w:tcPr>
          <w:p w14:paraId="1DA4E8DE">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石油类</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shd w:val="clear" w:color="auto" w:fill="auto"/>
            <w:noWrap w:val="0"/>
            <w:vAlign w:val="center"/>
          </w:tcPr>
          <w:p w14:paraId="3F1E0373">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shd w:val="clear" w:color="auto" w:fill="auto"/>
            <w:noWrap w:val="0"/>
            <w:vAlign w:val="center"/>
          </w:tcPr>
          <w:p w14:paraId="0A922E42">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shd w:val="clear" w:color="auto" w:fill="auto"/>
            <w:noWrap w:val="0"/>
            <w:vAlign w:val="center"/>
          </w:tcPr>
          <w:p w14:paraId="7172F07B">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shd w:val="clear" w:color="auto" w:fill="FFFFFF"/>
            <w:noWrap w:val="0"/>
            <w:vAlign w:val="center"/>
          </w:tcPr>
          <w:p w14:paraId="553A202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0.041 </w:t>
            </w:r>
          </w:p>
        </w:tc>
        <w:tc>
          <w:tcPr>
            <w:tcW w:w="1620" w:type="dxa"/>
            <w:shd w:val="clear" w:color="auto" w:fill="auto"/>
            <w:noWrap w:val="0"/>
            <w:vAlign w:val="center"/>
          </w:tcPr>
          <w:p w14:paraId="37ACDCED">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shd w:val="clear" w:color="auto" w:fill="FFFFFF"/>
            <w:noWrap w:val="0"/>
            <w:vAlign w:val="center"/>
          </w:tcPr>
          <w:p w14:paraId="3A92E02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0.041 </w:t>
            </w:r>
          </w:p>
        </w:tc>
        <w:tc>
          <w:tcPr>
            <w:tcW w:w="1456" w:type="dxa"/>
            <w:shd w:val="clear" w:color="auto" w:fill="FFFFFF"/>
            <w:noWrap w:val="0"/>
            <w:vAlign w:val="center"/>
          </w:tcPr>
          <w:p w14:paraId="37A6AEF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0.041 </w:t>
            </w:r>
          </w:p>
        </w:tc>
      </w:tr>
      <w:tr w14:paraId="61F3B8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3" w:hRule="exact"/>
        </w:trPr>
        <w:tc>
          <w:tcPr>
            <w:tcW w:w="962" w:type="dxa"/>
            <w:vMerge w:val="continue"/>
            <w:shd w:val="clear" w:color="auto" w:fill="auto"/>
            <w:noWrap w:val="0"/>
            <w:vAlign w:val="center"/>
          </w:tcPr>
          <w:p w14:paraId="2C788499">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shd w:val="clear" w:color="auto" w:fill="auto"/>
            <w:noWrap w:val="0"/>
            <w:vAlign w:val="center"/>
          </w:tcPr>
          <w:p w14:paraId="7637CF21">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动植物油</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shd w:val="clear" w:color="auto" w:fill="auto"/>
            <w:noWrap w:val="0"/>
            <w:vAlign w:val="center"/>
          </w:tcPr>
          <w:p w14:paraId="734E3AF6">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shd w:val="clear" w:color="auto" w:fill="auto"/>
            <w:noWrap w:val="0"/>
            <w:vAlign w:val="center"/>
          </w:tcPr>
          <w:p w14:paraId="3B95330B">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shd w:val="clear" w:color="auto" w:fill="auto"/>
            <w:noWrap w:val="0"/>
            <w:vAlign w:val="center"/>
          </w:tcPr>
          <w:p w14:paraId="0B0D199E">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shd w:val="clear" w:color="auto" w:fill="FFFFFF"/>
            <w:noWrap w:val="0"/>
            <w:vAlign w:val="center"/>
          </w:tcPr>
          <w:p w14:paraId="4D505D8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0.041 </w:t>
            </w:r>
          </w:p>
        </w:tc>
        <w:tc>
          <w:tcPr>
            <w:tcW w:w="1620" w:type="dxa"/>
            <w:shd w:val="clear" w:color="auto" w:fill="auto"/>
            <w:noWrap w:val="0"/>
            <w:vAlign w:val="center"/>
          </w:tcPr>
          <w:p w14:paraId="40D873D4">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shd w:val="clear" w:color="auto" w:fill="FFFFFF"/>
            <w:noWrap w:val="0"/>
            <w:vAlign w:val="center"/>
          </w:tcPr>
          <w:p w14:paraId="3D89429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0.041 </w:t>
            </w:r>
          </w:p>
        </w:tc>
        <w:tc>
          <w:tcPr>
            <w:tcW w:w="1456" w:type="dxa"/>
            <w:shd w:val="clear" w:color="auto" w:fill="FFFFFF"/>
            <w:noWrap w:val="0"/>
            <w:vAlign w:val="center"/>
          </w:tcPr>
          <w:p w14:paraId="3C43665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0.041 </w:t>
            </w:r>
          </w:p>
        </w:tc>
      </w:tr>
      <w:tr w14:paraId="5AB826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restart"/>
            <w:noWrap w:val="0"/>
            <w:vAlign w:val="center"/>
          </w:tcPr>
          <w:p w14:paraId="6CF074DC">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一般工业固体废物</w:t>
            </w:r>
          </w:p>
        </w:tc>
        <w:tc>
          <w:tcPr>
            <w:tcW w:w="1795" w:type="dxa"/>
            <w:noWrap w:val="0"/>
            <w:vAlign w:val="center"/>
          </w:tcPr>
          <w:p w14:paraId="6BF8F8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边角料</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4DBC54EE">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54CCE69F">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5724F5AF">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48BEEAF9">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45.395</w:t>
            </w:r>
          </w:p>
        </w:tc>
        <w:tc>
          <w:tcPr>
            <w:tcW w:w="1620" w:type="dxa"/>
            <w:noWrap w:val="0"/>
            <w:vAlign w:val="center"/>
          </w:tcPr>
          <w:p w14:paraId="045D71AA">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6D9B4BE3">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45.395</w:t>
            </w:r>
          </w:p>
        </w:tc>
        <w:tc>
          <w:tcPr>
            <w:tcW w:w="1456" w:type="dxa"/>
            <w:noWrap w:val="0"/>
            <w:vAlign w:val="center"/>
          </w:tcPr>
          <w:p w14:paraId="2D0D3238">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45.395</w:t>
            </w:r>
          </w:p>
        </w:tc>
      </w:tr>
      <w:tr w14:paraId="471794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center"/>
          </w:tcPr>
          <w:p w14:paraId="58DC6E21">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500D9F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包装废料</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314B55DB">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4BDA528F">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3F53396C">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16B27A3B">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1620" w:type="dxa"/>
            <w:noWrap w:val="0"/>
            <w:vAlign w:val="center"/>
          </w:tcPr>
          <w:p w14:paraId="1B38613C">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7E899AA5">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1456" w:type="dxa"/>
            <w:noWrap w:val="0"/>
            <w:vAlign w:val="center"/>
          </w:tcPr>
          <w:p w14:paraId="19BEA41B">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r>
      <w:tr w14:paraId="3725E9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center"/>
          </w:tcPr>
          <w:p w14:paraId="2724E363">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7F8864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沉降金属粉尘</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7D8AE3AB">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7F72D4D5">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406C0970">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31A1FF59">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11.18</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1620" w:type="dxa"/>
            <w:noWrap w:val="0"/>
            <w:vAlign w:val="center"/>
          </w:tcPr>
          <w:p w14:paraId="06877283">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4D6B795E">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11.18</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1456" w:type="dxa"/>
            <w:noWrap w:val="0"/>
            <w:vAlign w:val="center"/>
          </w:tcPr>
          <w:p w14:paraId="3F876155">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+11.18</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r w14:paraId="4B7698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center"/>
          </w:tcPr>
          <w:p w14:paraId="73D1DBD0">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74A582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cs="Times New Roman"/>
                <w:i w:val="0"/>
                <w:iCs w:val="0"/>
                <w:color w:val="000000" w:themeColor="text1"/>
                <w:sz w:val="21"/>
                <w:szCs w:val="21"/>
                <w:highlight w:val="none"/>
                <w:u w:val="none"/>
                <w:lang w:val="en-US" w:eastAsia="zh-CN"/>
                <w14:textFill>
                  <w14:solidFill>
                    <w14:schemeClr w14:val="tx1"/>
                  </w14:solidFill>
                </w14:textFill>
              </w:rPr>
              <w:t>废滤芯</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40D4A509">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7CEAEA1D">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47EF4FF3">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3A7AF95E">
            <w:pPr>
              <w:keepNext w:val="0"/>
              <w:keepLines w:val="0"/>
              <w:widowControl/>
              <w:suppressLineNumbers w:val="0"/>
              <w:jc w:val="center"/>
              <w:textAlignment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0.18</w:t>
            </w:r>
          </w:p>
        </w:tc>
        <w:tc>
          <w:tcPr>
            <w:tcW w:w="1620" w:type="dxa"/>
            <w:noWrap w:val="0"/>
            <w:vAlign w:val="center"/>
          </w:tcPr>
          <w:p w14:paraId="20B20BED">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67FC4399">
            <w:pPr>
              <w:keepNext w:val="0"/>
              <w:keepLines w:val="0"/>
              <w:widowControl/>
              <w:suppressLineNumbers w:val="0"/>
              <w:jc w:val="center"/>
              <w:textAlignment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0.18</w:t>
            </w:r>
          </w:p>
        </w:tc>
        <w:tc>
          <w:tcPr>
            <w:tcW w:w="1456" w:type="dxa"/>
            <w:noWrap w:val="0"/>
            <w:vAlign w:val="center"/>
          </w:tcPr>
          <w:p w14:paraId="2BA32221">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0.18</w:t>
            </w:r>
          </w:p>
        </w:tc>
      </w:tr>
      <w:tr w14:paraId="3C0E44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restart"/>
            <w:noWrap w:val="0"/>
            <w:vAlign w:val="center"/>
          </w:tcPr>
          <w:p w14:paraId="77B6766B">
            <w:pPr>
              <w:widowControl w:val="0"/>
              <w:adjustRightInd w:val="0"/>
              <w:snapToGrid w:val="0"/>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危险废物</w:t>
            </w:r>
          </w:p>
        </w:tc>
        <w:tc>
          <w:tcPr>
            <w:tcW w:w="1795" w:type="dxa"/>
            <w:noWrap w:val="0"/>
            <w:vAlign w:val="center"/>
          </w:tcPr>
          <w:p w14:paraId="384408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废表面处理剂包装桶</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0B09A218">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61223EA1">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545FB722">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7122807B">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1.658</w:t>
            </w:r>
          </w:p>
        </w:tc>
        <w:tc>
          <w:tcPr>
            <w:tcW w:w="1620" w:type="dxa"/>
            <w:noWrap w:val="0"/>
            <w:vAlign w:val="center"/>
          </w:tcPr>
          <w:p w14:paraId="1C0AF089">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0FDF3014">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1.658</w:t>
            </w:r>
          </w:p>
        </w:tc>
        <w:tc>
          <w:tcPr>
            <w:tcW w:w="1456" w:type="dxa"/>
            <w:noWrap w:val="0"/>
            <w:vAlign w:val="center"/>
          </w:tcPr>
          <w:p w14:paraId="4B991170">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+1.658</w:t>
            </w:r>
          </w:p>
        </w:tc>
      </w:tr>
      <w:tr w14:paraId="5C314C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center"/>
          </w:tcPr>
          <w:p w14:paraId="04D0D320">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6681D8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预处理池泥渣及管道循环装置废物</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4124AE65">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0D70C071">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66977FF3">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7B32F800">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w:t>
            </w:r>
          </w:p>
        </w:tc>
        <w:tc>
          <w:tcPr>
            <w:tcW w:w="1620" w:type="dxa"/>
            <w:noWrap w:val="0"/>
            <w:vAlign w:val="center"/>
          </w:tcPr>
          <w:p w14:paraId="6C88CEA2">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31C03ABD">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w:t>
            </w:r>
          </w:p>
        </w:tc>
        <w:tc>
          <w:tcPr>
            <w:tcW w:w="1456" w:type="dxa"/>
            <w:noWrap w:val="0"/>
            <w:vAlign w:val="center"/>
          </w:tcPr>
          <w:p w14:paraId="6FE0C177">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w:t>
            </w:r>
          </w:p>
        </w:tc>
      </w:tr>
      <w:tr w14:paraId="117A1F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center"/>
          </w:tcPr>
          <w:p w14:paraId="1AE4D216">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1ABF51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无铬钝化池废槽液</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37485DF2">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3DE8F3BA">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17D2BE89">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788E1772">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44.8</w:t>
            </w:r>
          </w:p>
        </w:tc>
        <w:tc>
          <w:tcPr>
            <w:tcW w:w="1620" w:type="dxa"/>
            <w:noWrap w:val="0"/>
            <w:vAlign w:val="center"/>
          </w:tcPr>
          <w:p w14:paraId="2C9EA43D">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235DA77E">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44.8</w:t>
            </w:r>
          </w:p>
        </w:tc>
        <w:tc>
          <w:tcPr>
            <w:tcW w:w="1456" w:type="dxa"/>
            <w:noWrap w:val="0"/>
            <w:vAlign w:val="center"/>
          </w:tcPr>
          <w:p w14:paraId="49784DF5">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44.8</w:t>
            </w:r>
          </w:p>
        </w:tc>
      </w:tr>
      <w:tr w14:paraId="290481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center"/>
          </w:tcPr>
          <w:p w14:paraId="6018132F">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045FCC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废水处理站污泥</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6CF5F4F3">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22BB219E">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7E9753DD">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243FD2B2">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1.985</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1620" w:type="dxa"/>
            <w:noWrap w:val="0"/>
            <w:vAlign w:val="center"/>
          </w:tcPr>
          <w:p w14:paraId="6D45E01B">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50D41781">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1.985</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1456" w:type="dxa"/>
            <w:noWrap w:val="0"/>
            <w:vAlign w:val="center"/>
          </w:tcPr>
          <w:p w14:paraId="7A67E9F1">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+1.985</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r w14:paraId="0BC77D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center"/>
          </w:tcPr>
          <w:p w14:paraId="3D0C5FF9">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1667A1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废pH调整剂包装桶</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32DCC067">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76083702">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3636B894">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22BDD9E8">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0.008</w:t>
            </w:r>
          </w:p>
        </w:tc>
        <w:tc>
          <w:tcPr>
            <w:tcW w:w="1620" w:type="dxa"/>
            <w:noWrap w:val="0"/>
            <w:vAlign w:val="center"/>
          </w:tcPr>
          <w:p w14:paraId="60029287">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4A0D7B85">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0.008</w:t>
            </w:r>
          </w:p>
        </w:tc>
        <w:tc>
          <w:tcPr>
            <w:tcW w:w="1456" w:type="dxa"/>
            <w:noWrap w:val="0"/>
            <w:vAlign w:val="center"/>
          </w:tcPr>
          <w:p w14:paraId="6BC1FF17">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0.008</w:t>
            </w:r>
          </w:p>
        </w:tc>
      </w:tr>
      <w:tr w14:paraId="74D77C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center"/>
          </w:tcPr>
          <w:p w14:paraId="2C177AD1">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6B7DC3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废机油桶</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38139404">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4FA7D95F">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74B3A45F">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2B3DE6A6">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0.02</w:t>
            </w:r>
          </w:p>
        </w:tc>
        <w:tc>
          <w:tcPr>
            <w:tcW w:w="1620" w:type="dxa"/>
            <w:noWrap w:val="0"/>
            <w:vAlign w:val="center"/>
          </w:tcPr>
          <w:p w14:paraId="24978787">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4D3EC44F">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0.02</w:t>
            </w:r>
          </w:p>
        </w:tc>
        <w:tc>
          <w:tcPr>
            <w:tcW w:w="1456" w:type="dxa"/>
            <w:noWrap w:val="0"/>
            <w:vAlign w:val="center"/>
          </w:tcPr>
          <w:p w14:paraId="533A3C84">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0.02</w:t>
            </w:r>
          </w:p>
        </w:tc>
      </w:tr>
      <w:tr w14:paraId="5A9D76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center"/>
          </w:tcPr>
          <w:p w14:paraId="39411895">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6919AF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废机油</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79901949">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6C55C628">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32821D6B">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6DC7DFEA">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w:t>
            </w:r>
          </w:p>
        </w:tc>
        <w:tc>
          <w:tcPr>
            <w:tcW w:w="1620" w:type="dxa"/>
            <w:noWrap w:val="0"/>
            <w:vAlign w:val="center"/>
          </w:tcPr>
          <w:p w14:paraId="04B82AEC">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3EAF8BD9">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w:t>
            </w:r>
          </w:p>
        </w:tc>
        <w:tc>
          <w:tcPr>
            <w:tcW w:w="1456" w:type="dxa"/>
            <w:noWrap w:val="0"/>
            <w:vAlign w:val="center"/>
          </w:tcPr>
          <w:p w14:paraId="6CDE4887">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w:t>
            </w:r>
          </w:p>
        </w:tc>
      </w:tr>
      <w:tr w14:paraId="7E5469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center"/>
          </w:tcPr>
          <w:p w14:paraId="3FD54E75">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3F629C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废含油抹布手套</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61744D7C">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71F4F663">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0250086E">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452F78C3">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0.05</w:t>
            </w:r>
          </w:p>
        </w:tc>
        <w:tc>
          <w:tcPr>
            <w:tcW w:w="1620" w:type="dxa"/>
            <w:noWrap w:val="0"/>
            <w:vAlign w:val="center"/>
          </w:tcPr>
          <w:p w14:paraId="49AC815B">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66C2F421">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0.05</w:t>
            </w:r>
          </w:p>
        </w:tc>
        <w:tc>
          <w:tcPr>
            <w:tcW w:w="1456" w:type="dxa"/>
            <w:noWrap w:val="0"/>
            <w:vAlign w:val="center"/>
          </w:tcPr>
          <w:p w14:paraId="6AADC2A1">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0.05</w:t>
            </w:r>
          </w:p>
        </w:tc>
      </w:tr>
      <w:tr w14:paraId="43EAE3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top"/>
          </w:tcPr>
          <w:p w14:paraId="2C7DA1E2">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0F5B5B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废液压油桶</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6B8FB94D">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0EC9C908">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67092A01">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3AD95F1D">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0.015</w:t>
            </w:r>
          </w:p>
        </w:tc>
        <w:tc>
          <w:tcPr>
            <w:tcW w:w="1620" w:type="dxa"/>
            <w:noWrap w:val="0"/>
            <w:vAlign w:val="center"/>
          </w:tcPr>
          <w:p w14:paraId="77AE3F0B">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08F6CBFF">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0.015</w:t>
            </w:r>
          </w:p>
        </w:tc>
        <w:tc>
          <w:tcPr>
            <w:tcW w:w="1456" w:type="dxa"/>
            <w:noWrap w:val="0"/>
            <w:vAlign w:val="center"/>
          </w:tcPr>
          <w:p w14:paraId="52D75D1D">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0.015</w:t>
            </w:r>
          </w:p>
        </w:tc>
      </w:tr>
      <w:tr w14:paraId="0CC296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top"/>
          </w:tcPr>
          <w:p w14:paraId="078963E5">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6D4094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废液压油</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3AF99320">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20592BE4">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0BB80BB2">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3943E7CD">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w:t>
            </w:r>
          </w:p>
        </w:tc>
        <w:tc>
          <w:tcPr>
            <w:tcW w:w="1620" w:type="dxa"/>
            <w:noWrap w:val="0"/>
            <w:vAlign w:val="center"/>
          </w:tcPr>
          <w:p w14:paraId="49D71156">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7CE26BCA">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w:t>
            </w:r>
          </w:p>
        </w:tc>
        <w:tc>
          <w:tcPr>
            <w:tcW w:w="1456" w:type="dxa"/>
            <w:noWrap w:val="0"/>
            <w:vAlign w:val="center"/>
          </w:tcPr>
          <w:p w14:paraId="49CB5FD0">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w:t>
            </w:r>
          </w:p>
        </w:tc>
      </w:tr>
      <w:tr w14:paraId="05DDE5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top"/>
          </w:tcPr>
          <w:p w14:paraId="11DE84EE">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73B1B45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废原料桶</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053BC3DB">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42A4A400">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2A6108BB">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426BA52D">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0.062</w:t>
            </w:r>
          </w:p>
        </w:tc>
        <w:tc>
          <w:tcPr>
            <w:tcW w:w="1620" w:type="dxa"/>
            <w:noWrap w:val="0"/>
            <w:vAlign w:val="center"/>
          </w:tcPr>
          <w:p w14:paraId="1EEE1B02">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6458CC49">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0.062</w:t>
            </w:r>
          </w:p>
        </w:tc>
        <w:tc>
          <w:tcPr>
            <w:tcW w:w="1456" w:type="dxa"/>
            <w:noWrap w:val="0"/>
            <w:vAlign w:val="center"/>
          </w:tcPr>
          <w:p w14:paraId="190CB1C3">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+0.062</w:t>
            </w:r>
          </w:p>
        </w:tc>
      </w:tr>
      <w:tr w14:paraId="46134B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top"/>
          </w:tcPr>
          <w:p w14:paraId="1AC306B0">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677726E6">
            <w:pPr>
              <w:pageBreakBefore w:val="0"/>
              <w:widowControl w:val="0"/>
              <w:tabs>
                <w:tab w:val="left" w:pos="-2848"/>
              </w:tabs>
              <w:wordWrap w:val="0"/>
              <w:topLinePunct/>
              <w:bidi w:val="0"/>
              <w:adjustRightInd w:val="0"/>
              <w:snapToGrid w:val="0"/>
              <w:spacing w:beforeAutospacing="0" w:afterAutospacing="0"/>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喷枪清洗液</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5AE42E62">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6E2A541A">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650F9493">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60D79A12">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0.045 </w:t>
            </w:r>
          </w:p>
        </w:tc>
        <w:tc>
          <w:tcPr>
            <w:tcW w:w="1620" w:type="dxa"/>
            <w:noWrap w:val="0"/>
            <w:vAlign w:val="center"/>
          </w:tcPr>
          <w:p w14:paraId="3F9BCF92">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0295314C">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0.045 </w:t>
            </w:r>
          </w:p>
        </w:tc>
        <w:tc>
          <w:tcPr>
            <w:tcW w:w="1456" w:type="dxa"/>
            <w:noWrap w:val="0"/>
            <w:vAlign w:val="center"/>
          </w:tcPr>
          <w:p w14:paraId="08D9B426">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0.045 </w:t>
            </w:r>
          </w:p>
        </w:tc>
      </w:tr>
      <w:tr w14:paraId="757C56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top"/>
          </w:tcPr>
          <w:p w14:paraId="5F7CC80A">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79562E76">
            <w:pPr>
              <w:pageBreakBefore w:val="0"/>
              <w:widowControl w:val="0"/>
              <w:tabs>
                <w:tab w:val="left" w:pos="-2848"/>
              </w:tabs>
              <w:wordWrap w:val="0"/>
              <w:topLinePunct/>
              <w:bidi w:val="0"/>
              <w:adjustRightInd w:val="0"/>
              <w:snapToGrid w:val="0"/>
              <w:spacing w:beforeAutospacing="0" w:afterAutospacing="0"/>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废静电喷粉滤芯</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71FA9877">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596D6F76">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1C1FA570">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5DC10EE1">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0.096</w:t>
            </w:r>
          </w:p>
        </w:tc>
        <w:tc>
          <w:tcPr>
            <w:tcW w:w="1620" w:type="dxa"/>
            <w:noWrap w:val="0"/>
            <w:vAlign w:val="center"/>
          </w:tcPr>
          <w:p w14:paraId="47664984">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03BACCA4">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0.096</w:t>
            </w:r>
          </w:p>
        </w:tc>
        <w:tc>
          <w:tcPr>
            <w:tcW w:w="1456" w:type="dxa"/>
            <w:noWrap w:val="0"/>
            <w:vAlign w:val="center"/>
          </w:tcPr>
          <w:p w14:paraId="5204CE76">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0.096</w:t>
            </w:r>
          </w:p>
        </w:tc>
      </w:tr>
      <w:tr w14:paraId="3F2D76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top"/>
          </w:tcPr>
          <w:p w14:paraId="28B29F54">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430E58FA">
            <w:pPr>
              <w:pageBreakBefore w:val="0"/>
              <w:widowControl w:val="0"/>
              <w:tabs>
                <w:tab w:val="left" w:pos="-2848"/>
              </w:tabs>
              <w:wordWrap w:val="0"/>
              <w:topLinePunct/>
              <w:bidi w:val="0"/>
              <w:adjustRightInd w:val="0"/>
              <w:snapToGrid w:val="0"/>
              <w:spacing w:beforeAutospacing="0" w:afterAutospacing="0"/>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废过滤棉</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03654186">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7B65527B">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2700D67E">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3D92CE0F">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0.12</w:t>
            </w:r>
          </w:p>
        </w:tc>
        <w:tc>
          <w:tcPr>
            <w:tcW w:w="1620" w:type="dxa"/>
            <w:noWrap w:val="0"/>
            <w:vAlign w:val="center"/>
          </w:tcPr>
          <w:p w14:paraId="19FAC4E3">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53443610">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0.12</w:t>
            </w:r>
          </w:p>
        </w:tc>
        <w:tc>
          <w:tcPr>
            <w:tcW w:w="1456" w:type="dxa"/>
            <w:noWrap w:val="0"/>
            <w:vAlign w:val="center"/>
          </w:tcPr>
          <w:p w14:paraId="78399230">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0.12</w:t>
            </w:r>
          </w:p>
        </w:tc>
      </w:tr>
      <w:tr w14:paraId="167C93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top"/>
          </w:tcPr>
          <w:p w14:paraId="0A3E0329">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55E6B8C3">
            <w:pPr>
              <w:pageBreakBefore w:val="0"/>
              <w:widowControl w:val="0"/>
              <w:tabs>
                <w:tab w:val="left" w:pos="-2848"/>
              </w:tabs>
              <w:wordWrap w:val="0"/>
              <w:topLinePunct/>
              <w:bidi w:val="0"/>
              <w:adjustRightInd w:val="0"/>
              <w:snapToGrid w:val="0"/>
              <w:spacing w:beforeAutospacing="0" w:afterAutospacing="0"/>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废活性炭</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1BBC9674">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5F92B5E9">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668BE6A8">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68A49A29">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29.027</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1620" w:type="dxa"/>
            <w:noWrap w:val="0"/>
            <w:vAlign w:val="center"/>
          </w:tcPr>
          <w:p w14:paraId="648626B5">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5CE9A4DD">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29.027</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1456" w:type="dxa"/>
            <w:noWrap w:val="0"/>
            <w:vAlign w:val="center"/>
          </w:tcPr>
          <w:p w14:paraId="03B0AC8B">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+29.027</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r w14:paraId="29A351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top"/>
          </w:tcPr>
          <w:p w14:paraId="4F2E8770">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41CC752F">
            <w:pPr>
              <w:pageBreakBefore w:val="0"/>
              <w:widowControl w:val="0"/>
              <w:tabs>
                <w:tab w:val="left" w:pos="-2848"/>
              </w:tabs>
              <w:wordWrap w:val="0"/>
              <w:topLinePunct/>
              <w:bidi w:val="0"/>
              <w:adjustRightInd w:val="0"/>
              <w:snapToGrid w:val="0"/>
              <w:spacing w:beforeAutospacing="0" w:afterAutospacing="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废粉末涂料</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33650B62">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16533221">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1BA98FF8">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16B7333B">
            <w:pPr>
              <w:keepNext w:val="0"/>
              <w:keepLines w:val="0"/>
              <w:widowControl/>
              <w:suppressLineNumbers w:val="0"/>
              <w:jc w:val="center"/>
              <w:textAlignment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3.593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1620" w:type="dxa"/>
            <w:noWrap w:val="0"/>
            <w:vAlign w:val="center"/>
          </w:tcPr>
          <w:p w14:paraId="4B8D6F48">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05873D1B">
            <w:pPr>
              <w:keepNext w:val="0"/>
              <w:keepLines w:val="0"/>
              <w:widowControl/>
              <w:suppressLineNumbers w:val="0"/>
              <w:jc w:val="center"/>
              <w:textAlignment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3.593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1456" w:type="dxa"/>
            <w:noWrap w:val="0"/>
            <w:vAlign w:val="center"/>
          </w:tcPr>
          <w:p w14:paraId="43EBD544">
            <w:pPr>
              <w:keepNext w:val="0"/>
              <w:keepLines w:val="0"/>
              <w:widowControl/>
              <w:suppressLineNumbers w:val="0"/>
              <w:jc w:val="center"/>
              <w:textAlignment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+3.593</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r w14:paraId="4D0BF8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top"/>
          </w:tcPr>
          <w:p w14:paraId="1333C55E">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40973F91">
            <w:pPr>
              <w:pageBreakBefore w:val="0"/>
              <w:widowControl w:val="0"/>
              <w:tabs>
                <w:tab w:val="left" w:pos="-2848"/>
              </w:tabs>
              <w:wordWrap w:val="0"/>
              <w:topLinePunct/>
              <w:bidi w:val="0"/>
              <w:adjustRightInd w:val="0"/>
              <w:snapToGrid w:val="0"/>
              <w:spacing w:beforeAutospacing="0" w:afterAutospacing="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废催化剂</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6058BD63">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4F398BF0">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0218CB5D">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2EB05A14">
            <w:pPr>
              <w:keepNext w:val="0"/>
              <w:keepLines w:val="0"/>
              <w:widowControl/>
              <w:suppressLineNumbers w:val="0"/>
              <w:jc w:val="center"/>
              <w:textAlignment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0.16</w:t>
            </w:r>
          </w:p>
        </w:tc>
        <w:tc>
          <w:tcPr>
            <w:tcW w:w="1620" w:type="dxa"/>
            <w:noWrap w:val="0"/>
            <w:vAlign w:val="center"/>
          </w:tcPr>
          <w:p w14:paraId="27A77A1B">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2E295D5B">
            <w:pPr>
              <w:keepNext w:val="0"/>
              <w:keepLines w:val="0"/>
              <w:widowControl/>
              <w:suppressLineNumbers w:val="0"/>
              <w:jc w:val="center"/>
              <w:textAlignment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0.16</w:t>
            </w:r>
          </w:p>
        </w:tc>
        <w:tc>
          <w:tcPr>
            <w:tcW w:w="1456" w:type="dxa"/>
            <w:noWrap w:val="0"/>
            <w:vAlign w:val="center"/>
          </w:tcPr>
          <w:p w14:paraId="6A5A0D48">
            <w:pPr>
              <w:keepNext w:val="0"/>
              <w:keepLines w:val="0"/>
              <w:widowControl/>
              <w:suppressLineNumbers w:val="0"/>
              <w:jc w:val="center"/>
              <w:textAlignment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+0.16</w:t>
            </w:r>
          </w:p>
        </w:tc>
      </w:tr>
      <w:tr w14:paraId="743FE4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2" w:type="dxa"/>
            <w:vMerge w:val="continue"/>
            <w:noWrap w:val="0"/>
            <w:vAlign w:val="top"/>
          </w:tcPr>
          <w:p w14:paraId="4FD30D63">
            <w:pPr>
              <w:widowControl w:val="0"/>
              <w:adjustRightInd w:val="0"/>
              <w:snapToGrid w:val="0"/>
              <w:spacing w:beforeLines="0" w:afterLines="0" w:line="240" w:lineRule="auto"/>
              <w:ind w:firstLine="420" w:firstLineChars="200"/>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p>
        </w:tc>
        <w:tc>
          <w:tcPr>
            <w:tcW w:w="1795" w:type="dxa"/>
            <w:noWrap w:val="0"/>
            <w:vAlign w:val="center"/>
          </w:tcPr>
          <w:p w14:paraId="2D5A0595">
            <w:pPr>
              <w:pageBreakBefore w:val="0"/>
              <w:widowControl w:val="0"/>
              <w:tabs>
                <w:tab w:val="left" w:pos="-2848"/>
              </w:tabs>
              <w:wordWrap w:val="0"/>
              <w:topLinePunct/>
              <w:bidi w:val="0"/>
              <w:adjustRightInd w:val="0"/>
              <w:snapToGrid w:val="0"/>
              <w:spacing w:beforeAutospacing="0" w:afterAutospacing="0"/>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喷淋废液及沉渣</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t>t/a</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704" w:type="dxa"/>
            <w:noWrap w:val="0"/>
            <w:vAlign w:val="center"/>
          </w:tcPr>
          <w:p w14:paraId="56D983A3">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356" w:type="dxa"/>
            <w:noWrap w:val="0"/>
            <w:vAlign w:val="center"/>
          </w:tcPr>
          <w:p w14:paraId="319C9126">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644" w:type="dxa"/>
            <w:noWrap w:val="0"/>
            <w:vAlign w:val="center"/>
          </w:tcPr>
          <w:p w14:paraId="6E1F11E8">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488" w:type="dxa"/>
            <w:noWrap w:val="0"/>
            <w:vAlign w:val="center"/>
          </w:tcPr>
          <w:p w14:paraId="71DF5AF4">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229.091</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1620" w:type="dxa"/>
            <w:noWrap w:val="0"/>
            <w:vAlign w:val="center"/>
          </w:tcPr>
          <w:p w14:paraId="5778E28A">
            <w:pPr>
              <w:spacing w:beforeLines="0" w:afterLines="0" w:line="240" w:lineRule="auto"/>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w:t>
            </w:r>
          </w:p>
        </w:tc>
        <w:tc>
          <w:tcPr>
            <w:tcW w:w="1932" w:type="dxa"/>
            <w:noWrap w:val="0"/>
            <w:vAlign w:val="center"/>
          </w:tcPr>
          <w:p w14:paraId="610AD5D0">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229.091</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1456" w:type="dxa"/>
            <w:noWrap w:val="0"/>
            <w:vAlign w:val="center"/>
          </w:tcPr>
          <w:p w14:paraId="42A19966">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+229.091</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bl>
    <w:p w14:paraId="2F3DDD2C">
      <w:pPr>
        <w:widowControl w:val="0"/>
        <w:adjustRightInd w:val="0"/>
        <w:snapToGrid w:val="0"/>
        <w:spacing w:before="192" w:beforeLines="80" w:after="24" w:afterLines="10" w:line="259" w:lineRule="auto"/>
        <w:ind w:firstLine="480" w:firstLineChars="200"/>
        <w:jc w:val="left"/>
        <w:rPr>
          <w:rFonts w:hint="eastAsia" w:ascii="宋体" w:hAnsi="Times New Roman" w:eastAsia="宋体" w:cs="Times New Roman"/>
          <w:color w:val="auto"/>
          <w:kern w:val="0"/>
          <w:sz w:val="24"/>
          <w:szCs w:val="20"/>
          <w:highlight w:val="none"/>
          <w:lang w:val="en-US" w:eastAsia="zh-CN" w:bidi="ar-SA"/>
        </w:rPr>
      </w:pPr>
      <w:r>
        <w:rPr>
          <w:rFonts w:ascii="宋体" w:hAnsi="宋体" w:eastAsia="宋体" w:cs="Times New Roman"/>
          <w:snapToGrid w:val="0"/>
          <w:color w:val="auto"/>
          <w:kern w:val="21"/>
          <w:sz w:val="24"/>
          <w:szCs w:val="21"/>
          <w:highlight w:val="none"/>
          <w:lang w:val="en-US" w:eastAsia="zh-CN" w:bidi="ar-SA"/>
        </w:rPr>
        <w:t>注：</w:t>
      </w:r>
      <w:r>
        <w:rPr>
          <w:rFonts w:ascii="宋体" w:hAnsi="宋体" w:eastAsia="宋体" w:cs="Times New Roman"/>
          <w:snapToGrid w:val="0"/>
          <w:color w:val="auto"/>
          <w:spacing w:val="-16"/>
          <w:kern w:val="21"/>
          <w:sz w:val="24"/>
          <w:szCs w:val="21"/>
          <w:highlight w:val="none"/>
          <w:lang w:val="en-US" w:eastAsia="zh-CN" w:bidi="ar-SA"/>
        </w:rPr>
        <w:fldChar w:fldCharType="begin"/>
      </w:r>
      <w:r>
        <w:rPr>
          <w:rFonts w:ascii="宋体" w:hAnsi="宋体" w:eastAsia="宋体" w:cs="Times New Roman"/>
          <w:snapToGrid w:val="0"/>
          <w:color w:val="auto"/>
          <w:spacing w:val="-16"/>
          <w:kern w:val="21"/>
          <w:sz w:val="24"/>
          <w:szCs w:val="21"/>
          <w:highlight w:val="none"/>
          <w:lang w:val="en-US" w:eastAsia="zh-CN" w:bidi="ar-SA"/>
        </w:rPr>
        <w:instrText xml:space="preserve"> = 6 \* GB3 \* MERGEFORMAT </w:instrText>
      </w:r>
      <w:r>
        <w:rPr>
          <w:rFonts w:ascii="宋体" w:hAnsi="宋体" w:eastAsia="宋体" w:cs="Times New Roman"/>
          <w:snapToGrid w:val="0"/>
          <w:color w:val="auto"/>
          <w:spacing w:val="-16"/>
          <w:kern w:val="21"/>
          <w:sz w:val="24"/>
          <w:szCs w:val="21"/>
          <w:highlight w:val="none"/>
          <w:lang w:val="en-US" w:eastAsia="zh-CN" w:bidi="ar-SA"/>
        </w:rPr>
        <w:fldChar w:fldCharType="separate"/>
      </w:r>
      <w:r>
        <w:rPr>
          <w:rFonts w:hint="eastAsia" w:ascii="宋体" w:hAnsi="宋体" w:eastAsia="宋体" w:cs="Times New Roman"/>
          <w:color w:val="auto"/>
          <w:kern w:val="0"/>
          <w:sz w:val="24"/>
          <w:szCs w:val="21"/>
          <w:highlight w:val="none"/>
          <w:lang w:val="en-US" w:eastAsia="zh-CN" w:bidi="ar-SA"/>
        </w:rPr>
        <w:t>⑥</w:t>
      </w:r>
      <w:r>
        <w:rPr>
          <w:rFonts w:ascii="宋体" w:hAnsi="宋体" w:eastAsia="宋体" w:cs="Times New Roman"/>
          <w:snapToGrid w:val="0"/>
          <w:color w:val="auto"/>
          <w:spacing w:val="-16"/>
          <w:kern w:val="21"/>
          <w:sz w:val="24"/>
          <w:szCs w:val="21"/>
          <w:highlight w:val="none"/>
          <w:lang w:val="en-US" w:eastAsia="zh-CN" w:bidi="ar-SA"/>
        </w:rPr>
        <w:fldChar w:fldCharType="end"/>
      </w:r>
      <w:r>
        <w:rPr>
          <w:rFonts w:ascii="宋体" w:hAnsi="宋体" w:eastAsia="宋体" w:cs="Times New Roman"/>
          <w:snapToGrid w:val="0"/>
          <w:color w:val="auto"/>
          <w:spacing w:val="-16"/>
          <w:kern w:val="21"/>
          <w:sz w:val="24"/>
          <w:szCs w:val="21"/>
          <w:highlight w:val="none"/>
          <w:lang w:val="en-US" w:eastAsia="zh-CN" w:bidi="ar-SA"/>
        </w:rPr>
        <w:t>=</w:t>
      </w:r>
      <w:r>
        <w:rPr>
          <w:rFonts w:ascii="宋体" w:hAnsi="宋体" w:eastAsia="宋体" w:cs="Times New Roman"/>
          <w:snapToGrid w:val="0"/>
          <w:color w:val="auto"/>
          <w:spacing w:val="-6"/>
          <w:kern w:val="21"/>
          <w:sz w:val="24"/>
          <w:szCs w:val="21"/>
          <w:highlight w:val="none"/>
          <w:lang w:val="en-US" w:eastAsia="zh-CN" w:bidi="ar-SA"/>
        </w:rPr>
        <w:fldChar w:fldCharType="begin"/>
      </w:r>
      <w:r>
        <w:rPr>
          <w:rFonts w:ascii="宋体" w:hAnsi="宋体" w:eastAsia="宋体" w:cs="Times New Roman"/>
          <w:snapToGrid w:val="0"/>
          <w:color w:val="auto"/>
          <w:spacing w:val="-6"/>
          <w:kern w:val="21"/>
          <w:sz w:val="24"/>
          <w:szCs w:val="21"/>
          <w:highlight w:val="none"/>
          <w:lang w:val="en-US" w:eastAsia="zh-CN" w:bidi="ar-SA"/>
        </w:rPr>
        <w:instrText xml:space="preserve"> = 1 \* GB3 \* MERGEFORMAT </w:instrText>
      </w:r>
      <w:r>
        <w:rPr>
          <w:rFonts w:ascii="宋体" w:hAnsi="宋体" w:eastAsia="宋体" w:cs="Times New Roman"/>
          <w:snapToGrid w:val="0"/>
          <w:color w:val="auto"/>
          <w:spacing w:val="-6"/>
          <w:kern w:val="21"/>
          <w:sz w:val="24"/>
          <w:szCs w:val="21"/>
          <w:highlight w:val="none"/>
          <w:lang w:val="en-US" w:eastAsia="zh-CN" w:bidi="ar-SA"/>
        </w:rPr>
        <w:fldChar w:fldCharType="separate"/>
      </w:r>
      <w:r>
        <w:rPr>
          <w:rFonts w:hint="eastAsia" w:ascii="宋体" w:hAnsi="宋体" w:eastAsia="宋体" w:cs="Times New Roman"/>
          <w:color w:val="auto"/>
          <w:kern w:val="0"/>
          <w:sz w:val="24"/>
          <w:szCs w:val="21"/>
          <w:highlight w:val="none"/>
          <w:lang w:val="en-US" w:eastAsia="zh-CN" w:bidi="ar-SA"/>
        </w:rPr>
        <w:t>①</w:t>
      </w:r>
      <w:r>
        <w:rPr>
          <w:rFonts w:ascii="宋体" w:hAnsi="宋体" w:eastAsia="宋体" w:cs="Times New Roman"/>
          <w:snapToGrid w:val="0"/>
          <w:color w:val="auto"/>
          <w:spacing w:val="-6"/>
          <w:kern w:val="21"/>
          <w:sz w:val="24"/>
          <w:szCs w:val="21"/>
          <w:highlight w:val="none"/>
          <w:lang w:val="en-US" w:eastAsia="zh-CN" w:bidi="ar-SA"/>
        </w:rPr>
        <w:fldChar w:fldCharType="end"/>
      </w:r>
      <w:r>
        <w:rPr>
          <w:rFonts w:ascii="宋体" w:hAnsi="宋体" w:eastAsia="宋体" w:cs="Times New Roman"/>
          <w:snapToGrid w:val="0"/>
          <w:color w:val="auto"/>
          <w:spacing w:val="-6"/>
          <w:kern w:val="21"/>
          <w:sz w:val="24"/>
          <w:szCs w:val="21"/>
          <w:highlight w:val="none"/>
          <w:lang w:val="en-US" w:eastAsia="zh-CN" w:bidi="ar-SA"/>
        </w:rPr>
        <w:t>+</w:t>
      </w:r>
      <w:r>
        <w:rPr>
          <w:rFonts w:ascii="宋体" w:hAnsi="宋体" w:eastAsia="宋体" w:cs="Times New Roman"/>
          <w:snapToGrid w:val="0"/>
          <w:color w:val="auto"/>
          <w:spacing w:val="-6"/>
          <w:kern w:val="21"/>
          <w:sz w:val="24"/>
          <w:szCs w:val="21"/>
          <w:highlight w:val="none"/>
          <w:lang w:val="en-US" w:eastAsia="zh-CN" w:bidi="ar-SA"/>
        </w:rPr>
        <w:fldChar w:fldCharType="begin"/>
      </w:r>
      <w:r>
        <w:rPr>
          <w:rFonts w:ascii="宋体" w:hAnsi="宋体" w:eastAsia="宋体" w:cs="Times New Roman"/>
          <w:snapToGrid w:val="0"/>
          <w:color w:val="auto"/>
          <w:spacing w:val="-6"/>
          <w:kern w:val="21"/>
          <w:sz w:val="24"/>
          <w:szCs w:val="21"/>
          <w:highlight w:val="none"/>
          <w:lang w:val="en-US" w:eastAsia="zh-CN" w:bidi="ar-SA"/>
        </w:rPr>
        <w:instrText xml:space="preserve"> = 3 \* GB3 \* MERGEFORMAT </w:instrText>
      </w:r>
      <w:r>
        <w:rPr>
          <w:rFonts w:ascii="宋体" w:hAnsi="宋体" w:eastAsia="宋体" w:cs="Times New Roman"/>
          <w:snapToGrid w:val="0"/>
          <w:color w:val="auto"/>
          <w:spacing w:val="-6"/>
          <w:kern w:val="21"/>
          <w:sz w:val="24"/>
          <w:szCs w:val="21"/>
          <w:highlight w:val="none"/>
          <w:lang w:val="en-US" w:eastAsia="zh-CN" w:bidi="ar-SA"/>
        </w:rPr>
        <w:fldChar w:fldCharType="separate"/>
      </w:r>
      <w:r>
        <w:rPr>
          <w:rFonts w:hint="eastAsia" w:ascii="宋体" w:hAnsi="宋体" w:eastAsia="宋体" w:cs="Times New Roman"/>
          <w:color w:val="auto"/>
          <w:kern w:val="0"/>
          <w:sz w:val="24"/>
          <w:szCs w:val="21"/>
          <w:highlight w:val="none"/>
          <w:lang w:val="en-US" w:eastAsia="zh-CN" w:bidi="ar-SA"/>
        </w:rPr>
        <w:t>③</w:t>
      </w:r>
      <w:r>
        <w:rPr>
          <w:rFonts w:ascii="宋体" w:hAnsi="宋体" w:eastAsia="宋体" w:cs="Times New Roman"/>
          <w:snapToGrid w:val="0"/>
          <w:color w:val="auto"/>
          <w:spacing w:val="-6"/>
          <w:kern w:val="21"/>
          <w:sz w:val="24"/>
          <w:szCs w:val="21"/>
          <w:highlight w:val="none"/>
          <w:lang w:val="en-US" w:eastAsia="zh-CN" w:bidi="ar-SA"/>
        </w:rPr>
        <w:fldChar w:fldCharType="end"/>
      </w:r>
      <w:r>
        <w:rPr>
          <w:rFonts w:ascii="宋体" w:hAnsi="宋体" w:eastAsia="宋体" w:cs="Times New Roman"/>
          <w:snapToGrid w:val="0"/>
          <w:color w:val="auto"/>
          <w:spacing w:val="-6"/>
          <w:kern w:val="21"/>
          <w:sz w:val="24"/>
          <w:szCs w:val="21"/>
          <w:highlight w:val="none"/>
          <w:lang w:val="en-US" w:eastAsia="zh-CN" w:bidi="ar-SA"/>
        </w:rPr>
        <w:t>+</w:t>
      </w:r>
      <w:r>
        <w:rPr>
          <w:rFonts w:ascii="宋体" w:hAnsi="宋体" w:eastAsia="宋体" w:cs="Times New Roman"/>
          <w:snapToGrid w:val="0"/>
          <w:color w:val="auto"/>
          <w:spacing w:val="-6"/>
          <w:kern w:val="21"/>
          <w:sz w:val="24"/>
          <w:szCs w:val="21"/>
          <w:highlight w:val="none"/>
          <w:lang w:val="en-US" w:eastAsia="zh-CN" w:bidi="ar-SA"/>
        </w:rPr>
        <w:fldChar w:fldCharType="begin"/>
      </w:r>
      <w:r>
        <w:rPr>
          <w:rFonts w:ascii="宋体" w:hAnsi="宋体" w:eastAsia="宋体" w:cs="Times New Roman"/>
          <w:snapToGrid w:val="0"/>
          <w:color w:val="auto"/>
          <w:spacing w:val="-6"/>
          <w:kern w:val="21"/>
          <w:sz w:val="24"/>
          <w:szCs w:val="21"/>
          <w:highlight w:val="none"/>
          <w:lang w:val="en-US" w:eastAsia="zh-CN" w:bidi="ar-SA"/>
        </w:rPr>
        <w:instrText xml:space="preserve"> = 4 \* GB3 \* MERGEFORMAT </w:instrText>
      </w:r>
      <w:r>
        <w:rPr>
          <w:rFonts w:ascii="宋体" w:hAnsi="宋体" w:eastAsia="宋体" w:cs="Times New Roman"/>
          <w:snapToGrid w:val="0"/>
          <w:color w:val="auto"/>
          <w:spacing w:val="-6"/>
          <w:kern w:val="21"/>
          <w:sz w:val="24"/>
          <w:szCs w:val="21"/>
          <w:highlight w:val="none"/>
          <w:lang w:val="en-US" w:eastAsia="zh-CN" w:bidi="ar-SA"/>
        </w:rPr>
        <w:fldChar w:fldCharType="separate"/>
      </w:r>
      <w:r>
        <w:rPr>
          <w:rFonts w:hint="eastAsia" w:ascii="宋体" w:hAnsi="宋体" w:eastAsia="宋体" w:cs="Times New Roman"/>
          <w:color w:val="auto"/>
          <w:kern w:val="0"/>
          <w:sz w:val="24"/>
          <w:szCs w:val="21"/>
          <w:highlight w:val="none"/>
          <w:lang w:val="en-US" w:eastAsia="zh-CN" w:bidi="ar-SA"/>
        </w:rPr>
        <w:t>④</w:t>
      </w:r>
      <w:r>
        <w:rPr>
          <w:rFonts w:ascii="宋体" w:hAnsi="宋体" w:eastAsia="宋体" w:cs="Times New Roman"/>
          <w:snapToGrid w:val="0"/>
          <w:color w:val="auto"/>
          <w:spacing w:val="-6"/>
          <w:kern w:val="21"/>
          <w:sz w:val="24"/>
          <w:szCs w:val="21"/>
          <w:highlight w:val="none"/>
          <w:lang w:val="en-US" w:eastAsia="zh-CN" w:bidi="ar-SA"/>
        </w:rPr>
        <w:fldChar w:fldCharType="end"/>
      </w:r>
      <w:r>
        <w:rPr>
          <w:rFonts w:ascii="宋体" w:hAnsi="宋体" w:eastAsia="宋体" w:cs="Times New Roman"/>
          <w:snapToGrid w:val="0"/>
          <w:color w:val="auto"/>
          <w:spacing w:val="-6"/>
          <w:kern w:val="21"/>
          <w:sz w:val="24"/>
          <w:szCs w:val="21"/>
          <w:highlight w:val="none"/>
          <w:lang w:val="en-US" w:eastAsia="zh-CN" w:bidi="ar-SA"/>
        </w:rPr>
        <w:t>-</w:t>
      </w:r>
      <w:r>
        <w:rPr>
          <w:rFonts w:ascii="宋体" w:hAnsi="宋体" w:eastAsia="宋体" w:cs="Times New Roman"/>
          <w:snapToGrid w:val="0"/>
          <w:color w:val="auto"/>
          <w:spacing w:val="-16"/>
          <w:kern w:val="21"/>
          <w:sz w:val="24"/>
          <w:szCs w:val="21"/>
          <w:highlight w:val="none"/>
          <w:lang w:val="en-US" w:eastAsia="zh-CN" w:bidi="ar-SA"/>
        </w:rPr>
        <w:fldChar w:fldCharType="begin"/>
      </w:r>
      <w:r>
        <w:rPr>
          <w:rFonts w:ascii="宋体" w:hAnsi="宋体" w:eastAsia="宋体" w:cs="Times New Roman"/>
          <w:snapToGrid w:val="0"/>
          <w:color w:val="auto"/>
          <w:spacing w:val="-16"/>
          <w:kern w:val="21"/>
          <w:sz w:val="24"/>
          <w:szCs w:val="21"/>
          <w:highlight w:val="none"/>
          <w:lang w:val="en-US" w:eastAsia="zh-CN" w:bidi="ar-SA"/>
        </w:rPr>
        <w:instrText xml:space="preserve"> = 5 \* GB3 \* MERGEFORMAT </w:instrText>
      </w:r>
      <w:r>
        <w:rPr>
          <w:rFonts w:ascii="宋体" w:hAnsi="宋体" w:eastAsia="宋体" w:cs="Times New Roman"/>
          <w:snapToGrid w:val="0"/>
          <w:color w:val="auto"/>
          <w:spacing w:val="-16"/>
          <w:kern w:val="21"/>
          <w:sz w:val="24"/>
          <w:szCs w:val="21"/>
          <w:highlight w:val="none"/>
          <w:lang w:val="en-US" w:eastAsia="zh-CN" w:bidi="ar-SA"/>
        </w:rPr>
        <w:fldChar w:fldCharType="separate"/>
      </w:r>
      <w:r>
        <w:rPr>
          <w:rFonts w:hint="eastAsia" w:ascii="宋体" w:hAnsi="宋体" w:eastAsia="宋体" w:cs="Times New Roman"/>
          <w:color w:val="auto"/>
          <w:kern w:val="0"/>
          <w:sz w:val="24"/>
          <w:szCs w:val="21"/>
          <w:highlight w:val="none"/>
          <w:lang w:val="en-US" w:eastAsia="zh-CN" w:bidi="ar-SA"/>
        </w:rPr>
        <w:t>⑤</w:t>
      </w:r>
      <w:r>
        <w:rPr>
          <w:rFonts w:ascii="宋体" w:hAnsi="宋体" w:eastAsia="宋体" w:cs="Times New Roman"/>
          <w:snapToGrid w:val="0"/>
          <w:color w:val="auto"/>
          <w:spacing w:val="-16"/>
          <w:kern w:val="21"/>
          <w:sz w:val="24"/>
          <w:szCs w:val="21"/>
          <w:highlight w:val="none"/>
          <w:lang w:val="en-US" w:eastAsia="zh-CN" w:bidi="ar-SA"/>
        </w:rPr>
        <w:fldChar w:fldCharType="end"/>
      </w:r>
      <w:r>
        <w:rPr>
          <w:rFonts w:ascii="宋体" w:hAnsi="宋体" w:eastAsia="宋体" w:cs="Times New Roman"/>
          <w:snapToGrid w:val="0"/>
          <w:color w:val="auto"/>
          <w:spacing w:val="-16"/>
          <w:kern w:val="21"/>
          <w:sz w:val="24"/>
          <w:szCs w:val="21"/>
          <w:highlight w:val="none"/>
          <w:lang w:val="en-US" w:eastAsia="zh-CN" w:bidi="ar-SA"/>
        </w:rPr>
        <w:t>；</w:t>
      </w:r>
      <w:r>
        <w:rPr>
          <w:rFonts w:ascii="宋体" w:hAnsi="宋体" w:eastAsia="宋体" w:cs="Times New Roman"/>
          <w:snapToGrid w:val="0"/>
          <w:color w:val="auto"/>
          <w:spacing w:val="-6"/>
          <w:kern w:val="21"/>
          <w:sz w:val="24"/>
          <w:szCs w:val="21"/>
          <w:highlight w:val="none"/>
          <w:lang w:val="en-US" w:eastAsia="zh-CN" w:bidi="ar-SA"/>
        </w:rPr>
        <w:fldChar w:fldCharType="begin"/>
      </w:r>
      <w:r>
        <w:rPr>
          <w:rFonts w:ascii="宋体" w:hAnsi="宋体" w:eastAsia="宋体" w:cs="Times New Roman"/>
          <w:snapToGrid w:val="0"/>
          <w:color w:val="auto"/>
          <w:spacing w:val="-6"/>
          <w:kern w:val="21"/>
          <w:sz w:val="24"/>
          <w:szCs w:val="21"/>
          <w:highlight w:val="none"/>
          <w:lang w:val="en-US" w:eastAsia="zh-CN" w:bidi="ar-SA"/>
        </w:rPr>
        <w:instrText xml:space="preserve"> = 7 \* GB3 \* MERGEFORMAT </w:instrText>
      </w:r>
      <w:r>
        <w:rPr>
          <w:rFonts w:ascii="宋体" w:hAnsi="宋体" w:eastAsia="宋体" w:cs="Times New Roman"/>
          <w:snapToGrid w:val="0"/>
          <w:color w:val="auto"/>
          <w:spacing w:val="-6"/>
          <w:kern w:val="21"/>
          <w:sz w:val="24"/>
          <w:szCs w:val="21"/>
          <w:highlight w:val="none"/>
          <w:lang w:val="en-US" w:eastAsia="zh-CN" w:bidi="ar-SA"/>
        </w:rPr>
        <w:fldChar w:fldCharType="separate"/>
      </w:r>
      <w:r>
        <w:rPr>
          <w:rFonts w:hint="eastAsia" w:ascii="宋体" w:hAnsi="宋体" w:eastAsia="宋体" w:cs="Times New Roman"/>
          <w:color w:val="auto"/>
          <w:kern w:val="0"/>
          <w:sz w:val="24"/>
          <w:szCs w:val="21"/>
          <w:highlight w:val="none"/>
          <w:lang w:val="en-US" w:eastAsia="zh-CN" w:bidi="ar-SA"/>
        </w:rPr>
        <w:t>⑦</w:t>
      </w:r>
      <w:r>
        <w:rPr>
          <w:rFonts w:ascii="宋体" w:hAnsi="宋体" w:eastAsia="宋体" w:cs="Times New Roman"/>
          <w:snapToGrid w:val="0"/>
          <w:color w:val="auto"/>
          <w:spacing w:val="-6"/>
          <w:kern w:val="21"/>
          <w:sz w:val="24"/>
          <w:szCs w:val="21"/>
          <w:highlight w:val="none"/>
          <w:lang w:val="en-US" w:eastAsia="zh-CN" w:bidi="ar-SA"/>
        </w:rPr>
        <w:fldChar w:fldCharType="end"/>
      </w:r>
      <w:r>
        <w:rPr>
          <w:rFonts w:ascii="宋体" w:hAnsi="宋体" w:eastAsia="宋体" w:cs="Times New Roman"/>
          <w:snapToGrid w:val="0"/>
          <w:color w:val="auto"/>
          <w:spacing w:val="-6"/>
          <w:kern w:val="21"/>
          <w:sz w:val="24"/>
          <w:szCs w:val="21"/>
          <w:highlight w:val="none"/>
          <w:lang w:val="en-US" w:eastAsia="zh-CN" w:bidi="ar-SA"/>
        </w:rPr>
        <w:t>=</w:t>
      </w:r>
      <w:r>
        <w:rPr>
          <w:rFonts w:ascii="宋体" w:hAnsi="宋体" w:eastAsia="宋体" w:cs="Times New Roman"/>
          <w:snapToGrid w:val="0"/>
          <w:color w:val="auto"/>
          <w:spacing w:val="-16"/>
          <w:kern w:val="21"/>
          <w:sz w:val="24"/>
          <w:szCs w:val="21"/>
          <w:highlight w:val="none"/>
          <w:lang w:val="en-US" w:eastAsia="zh-CN" w:bidi="ar-SA"/>
        </w:rPr>
        <w:fldChar w:fldCharType="begin"/>
      </w:r>
      <w:r>
        <w:rPr>
          <w:rFonts w:ascii="宋体" w:hAnsi="宋体" w:eastAsia="宋体" w:cs="Times New Roman"/>
          <w:snapToGrid w:val="0"/>
          <w:color w:val="auto"/>
          <w:spacing w:val="-16"/>
          <w:kern w:val="21"/>
          <w:sz w:val="24"/>
          <w:szCs w:val="21"/>
          <w:highlight w:val="none"/>
          <w:lang w:val="en-US" w:eastAsia="zh-CN" w:bidi="ar-SA"/>
        </w:rPr>
        <w:instrText xml:space="preserve"> = 6 \* GB3 \* MERGEFORMAT </w:instrText>
      </w:r>
      <w:r>
        <w:rPr>
          <w:rFonts w:ascii="宋体" w:hAnsi="宋体" w:eastAsia="宋体" w:cs="Times New Roman"/>
          <w:snapToGrid w:val="0"/>
          <w:color w:val="auto"/>
          <w:spacing w:val="-16"/>
          <w:kern w:val="21"/>
          <w:sz w:val="24"/>
          <w:szCs w:val="21"/>
          <w:highlight w:val="none"/>
          <w:lang w:val="en-US" w:eastAsia="zh-CN" w:bidi="ar-SA"/>
        </w:rPr>
        <w:fldChar w:fldCharType="separate"/>
      </w:r>
      <w:r>
        <w:rPr>
          <w:rFonts w:hint="eastAsia" w:ascii="宋体" w:hAnsi="宋体" w:eastAsia="宋体" w:cs="Times New Roman"/>
          <w:color w:val="auto"/>
          <w:kern w:val="0"/>
          <w:sz w:val="24"/>
          <w:szCs w:val="21"/>
          <w:highlight w:val="none"/>
          <w:lang w:val="en-US" w:eastAsia="zh-CN" w:bidi="ar-SA"/>
        </w:rPr>
        <w:t>⑥</w:t>
      </w:r>
      <w:r>
        <w:rPr>
          <w:rFonts w:ascii="宋体" w:hAnsi="宋体" w:eastAsia="宋体" w:cs="Times New Roman"/>
          <w:snapToGrid w:val="0"/>
          <w:color w:val="auto"/>
          <w:spacing w:val="-16"/>
          <w:kern w:val="21"/>
          <w:sz w:val="24"/>
          <w:szCs w:val="21"/>
          <w:highlight w:val="none"/>
          <w:lang w:val="en-US" w:eastAsia="zh-CN" w:bidi="ar-SA"/>
        </w:rPr>
        <w:fldChar w:fldCharType="end"/>
      </w:r>
      <w:r>
        <w:rPr>
          <w:rFonts w:ascii="宋体" w:hAnsi="宋体" w:eastAsia="宋体" w:cs="Times New Roman"/>
          <w:snapToGrid w:val="0"/>
          <w:color w:val="auto"/>
          <w:spacing w:val="-16"/>
          <w:kern w:val="21"/>
          <w:sz w:val="24"/>
          <w:szCs w:val="21"/>
          <w:highlight w:val="none"/>
          <w:lang w:val="en-US" w:eastAsia="zh-CN" w:bidi="ar-SA"/>
        </w:rPr>
        <w:t>-</w:t>
      </w:r>
      <w:r>
        <w:rPr>
          <w:rFonts w:ascii="宋体" w:hAnsi="宋体" w:eastAsia="宋体" w:cs="Times New Roman"/>
          <w:snapToGrid w:val="0"/>
          <w:color w:val="auto"/>
          <w:spacing w:val="-6"/>
          <w:kern w:val="21"/>
          <w:sz w:val="24"/>
          <w:szCs w:val="21"/>
          <w:highlight w:val="none"/>
          <w:lang w:val="en-US" w:eastAsia="zh-CN" w:bidi="ar-SA"/>
        </w:rPr>
        <w:fldChar w:fldCharType="begin"/>
      </w:r>
      <w:r>
        <w:rPr>
          <w:rFonts w:ascii="宋体" w:hAnsi="宋体" w:eastAsia="宋体" w:cs="Times New Roman"/>
          <w:snapToGrid w:val="0"/>
          <w:color w:val="auto"/>
          <w:spacing w:val="-6"/>
          <w:kern w:val="21"/>
          <w:sz w:val="24"/>
          <w:szCs w:val="21"/>
          <w:highlight w:val="none"/>
          <w:lang w:val="en-US" w:eastAsia="zh-CN" w:bidi="ar-SA"/>
        </w:rPr>
        <w:instrText xml:space="preserve"> = 1 \* GB3 \* MERGEFORMAT </w:instrText>
      </w:r>
      <w:r>
        <w:rPr>
          <w:rFonts w:ascii="宋体" w:hAnsi="宋体" w:eastAsia="宋体" w:cs="Times New Roman"/>
          <w:snapToGrid w:val="0"/>
          <w:color w:val="auto"/>
          <w:spacing w:val="-6"/>
          <w:kern w:val="21"/>
          <w:sz w:val="24"/>
          <w:szCs w:val="21"/>
          <w:highlight w:val="none"/>
          <w:lang w:val="en-US" w:eastAsia="zh-CN" w:bidi="ar-SA"/>
        </w:rPr>
        <w:fldChar w:fldCharType="separate"/>
      </w:r>
      <w:r>
        <w:rPr>
          <w:rFonts w:hint="eastAsia" w:ascii="宋体" w:hAnsi="宋体" w:eastAsia="宋体" w:cs="Times New Roman"/>
          <w:color w:val="auto"/>
          <w:kern w:val="0"/>
          <w:sz w:val="24"/>
          <w:szCs w:val="21"/>
          <w:highlight w:val="none"/>
          <w:lang w:val="en-US" w:eastAsia="zh-CN" w:bidi="ar-SA"/>
        </w:rPr>
        <w:t>①</w:t>
      </w:r>
      <w:r>
        <w:rPr>
          <w:rFonts w:ascii="宋体" w:hAnsi="宋体" w:eastAsia="宋体" w:cs="Times New Roman"/>
          <w:snapToGrid w:val="0"/>
          <w:color w:val="auto"/>
          <w:spacing w:val="-6"/>
          <w:kern w:val="21"/>
          <w:sz w:val="24"/>
          <w:szCs w:val="21"/>
          <w:highlight w:val="none"/>
          <w:lang w:val="en-US" w:eastAsia="zh-CN" w:bidi="ar-SA"/>
        </w:rPr>
        <w:fldChar w:fldCharType="end"/>
      </w:r>
    </w:p>
    <w:p w14:paraId="0115BCF2">
      <w:pPr>
        <w:rPr>
          <w:color w:val="auto"/>
          <w:highlight w:val="none"/>
        </w:rPr>
        <w:sectPr>
          <w:headerReference r:id="rId14" w:type="default"/>
          <w:footerReference r:id="rId15" w:type="default"/>
          <w:type w:val="continuous"/>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p w14:paraId="67C95FBF">
      <w:pPr>
        <w:widowControl/>
        <w:snapToGrid w:val="0"/>
        <w:spacing w:before="60" w:after="0" w:line="240" w:lineRule="auto"/>
        <w:ind w:right="113"/>
        <w:jc w:val="center"/>
        <w:rPr>
          <w:rFonts w:hint="eastAsia" w:ascii="Times New Roman" w:hAnsi="Times New Roman" w:eastAsia="宋体" w:cs="Times New Roman"/>
          <w:b/>
          <w:color w:val="auto"/>
          <w:kern w:val="0"/>
          <w:sz w:val="28"/>
          <w:szCs w:val="28"/>
          <w:highlight w:val="none"/>
          <w:lang w:val="en-US" w:eastAsia="zh-CN" w:bidi="ar-SA"/>
        </w:rPr>
      </w:pPr>
      <w:bookmarkStart w:id="50" w:name="_Toc18569"/>
      <w:bookmarkStart w:id="51" w:name="_Toc10618"/>
      <w:bookmarkStart w:id="52" w:name="_Toc32557"/>
      <w:bookmarkStart w:id="53" w:name="_Toc9175"/>
      <w:bookmarkStart w:id="54" w:name="_Toc29450"/>
      <w:r>
        <w:rPr>
          <w:rFonts w:ascii="Times New Roman" w:hAnsi="Times New Roman" w:eastAsia="宋体" w:cs="Times New Roman"/>
          <w:color w:val="auto"/>
          <w:kern w:val="0"/>
          <w:sz w:val="24"/>
          <w:szCs w:val="20"/>
          <w:highlight w:val="none"/>
          <w:lang w:val="en-US" w:eastAsia="zh-CN" w:bidi="ar-SA"/>
        </w:rPr>
        <mc:AlternateContent>
          <mc:Choice Requires="wps">
            <w:drawing>
              <wp:anchor distT="0" distB="0" distL="114300" distR="114300" simplePos="0" relativeHeight="251670528" behindDoc="0" locked="0" layoutInCell="1" allowOverlap="1">
                <wp:simplePos x="0" y="0"/>
                <wp:positionH relativeFrom="column">
                  <wp:posOffset>1771650</wp:posOffset>
                </wp:positionH>
                <wp:positionV relativeFrom="paragraph">
                  <wp:posOffset>1002030</wp:posOffset>
                </wp:positionV>
                <wp:extent cx="771525" cy="336550"/>
                <wp:effectExtent l="5080" t="4445" r="423545" b="535305"/>
                <wp:wrapNone/>
                <wp:docPr id="14" name="自选图形 1026"/>
                <wp:cNvGraphicFramePr/>
                <a:graphic xmlns:a="http://schemas.openxmlformats.org/drawingml/2006/main">
                  <a:graphicData uri="http://schemas.microsoft.com/office/word/2010/wordprocessingShape">
                    <wps:wsp>
                      <wps:cNvSpPr/>
                      <wps:spPr>
                        <a:xfrm>
                          <a:off x="0" y="0"/>
                          <a:ext cx="771525" cy="336550"/>
                        </a:xfrm>
                        <a:prstGeom prst="wedgeRoundRectCallout">
                          <a:avLst>
                            <a:gd name="adj1" fmla="val 99301"/>
                            <a:gd name="adj2" fmla="val 200000"/>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20BDF635">
                            <w:pPr>
                              <w:rPr>
                                <w:b/>
                                <w:bCs/>
                                <w:color w:val="FF0000"/>
                              </w:rPr>
                            </w:pPr>
                            <w:r>
                              <w:rPr>
                                <w:rFonts w:hint="eastAsia"/>
                                <w:b/>
                                <w:bCs/>
                                <w:color w:val="FF0000"/>
                              </w:rPr>
                              <w:t>项目选址</w:t>
                            </w:r>
                          </w:p>
                        </w:txbxContent>
                      </wps:txbx>
                      <wps:bodyPr vert="horz" wrap="square" anchor="t" anchorCtr="0" upright="1"/>
                    </wps:wsp>
                  </a:graphicData>
                </a:graphic>
              </wp:anchor>
            </w:drawing>
          </mc:Choice>
          <mc:Fallback>
            <w:pict>
              <v:shape id="自选图形 1026" o:spid="_x0000_s1026" o:spt="62" type="#_x0000_t62" style="position:absolute;left:0pt;margin-left:139.5pt;margin-top:78.9pt;height:26.5pt;width:60.75pt;z-index:251670528;mso-width-relative:page;mso-height-relative:page;" fillcolor="#FFFFFF" filled="t" stroked="t" coordsize="21600,21600" o:gfxdata="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KTzlBPZAAAACwEAAA8AAAAAAAAAAQAgAAAAIgAAAGRycy9kb3ducmV2LnhtbFBL&#10;AQIUABQAAAAIAIdO4kAAvj+AZwIAAOwEAAAOAAAAAAAAAAEAIAAAACgBAABkcnMvZTJvRG9jLnht&#10;bFBLBQYAAAAABgAGAFkBAAABBgAAAAA=&#10;" adj="32249,54000,14400">
                <v:fill on="t" focussize="0,0"/>
                <v:stroke color="#000000" joinstyle="miter"/>
                <v:imagedata o:title=""/>
                <o:lock v:ext="edit" aspectratio="f"/>
                <v:textbox>
                  <w:txbxContent>
                    <w:p w14:paraId="20BDF635">
                      <w:pPr>
                        <w:rPr>
                          <w:b/>
                          <w:bCs/>
                          <w:color w:val="FF0000"/>
                        </w:rPr>
                      </w:pPr>
                      <w:r>
                        <w:rPr>
                          <w:rFonts w:hint="eastAsia"/>
                          <w:b/>
                          <w:bCs/>
                          <w:color w:val="FF0000"/>
                        </w:rPr>
                        <w:t>项目选址</w:t>
                      </w:r>
                    </w:p>
                  </w:txbxContent>
                </v:textbox>
              </v:shape>
            </w:pict>
          </mc:Fallback>
        </mc:AlternateContent>
      </w:r>
      <w:r>
        <w:rPr>
          <w:rFonts w:ascii="Times New Roman" w:hAnsi="Times New Roman" w:eastAsia="宋体" w:cs="Times New Roman"/>
          <w:color w:val="auto"/>
          <w:kern w:val="0"/>
          <w:sz w:val="18"/>
          <w:szCs w:val="20"/>
          <w:highlight w:val="none"/>
          <w:lang w:val="en-US" w:eastAsia="zh-CN" w:bidi="ar-SA"/>
        </w:rPr>
        <mc:AlternateContent>
          <mc:Choice Requires="wps">
            <w:drawing>
              <wp:anchor distT="0" distB="0" distL="114300" distR="114300" simplePos="0" relativeHeight="251669504" behindDoc="0" locked="0" layoutInCell="1" allowOverlap="1">
                <wp:simplePos x="0" y="0"/>
                <wp:positionH relativeFrom="column">
                  <wp:posOffset>2900045</wp:posOffset>
                </wp:positionH>
                <wp:positionV relativeFrom="paragraph">
                  <wp:posOffset>1793875</wp:posOffset>
                </wp:positionV>
                <wp:extent cx="76200" cy="76200"/>
                <wp:effectExtent l="4445" t="4445" r="14605" b="14605"/>
                <wp:wrapNone/>
                <wp:docPr id="13" name="自选图形 1027"/>
                <wp:cNvGraphicFramePr/>
                <a:graphic xmlns:a="http://schemas.openxmlformats.org/drawingml/2006/main">
                  <a:graphicData uri="http://schemas.microsoft.com/office/word/2010/wordprocessingShape">
                    <wps:wsp>
                      <wps:cNvSpPr/>
                      <wps:spPr>
                        <a:xfrm>
                          <a:off x="0" y="0"/>
                          <a:ext cx="76200" cy="76200"/>
                        </a:xfrm>
                        <a:prstGeom prst="flowChartSummingJunction">
                          <a:avLst/>
                        </a:prstGeom>
                        <a:solidFill>
                          <a:srgbClr val="FF0000"/>
                        </a:solidFill>
                        <a:ln w="9525" cap="flat" cmpd="sng">
                          <a:solidFill>
                            <a:srgbClr val="000000"/>
                          </a:solidFill>
                          <a:prstDash val="solid"/>
                          <a:headEnd type="none" w="med" len="med"/>
                          <a:tailEnd type="none" w="med" len="med"/>
                        </a:ln>
                      </wps:spPr>
                      <wps:bodyPr vert="horz" wrap="square" anchor="t" anchorCtr="0" upright="1"/>
                    </wps:wsp>
                  </a:graphicData>
                </a:graphic>
              </wp:anchor>
            </w:drawing>
          </mc:Choice>
          <mc:Fallback>
            <w:pict>
              <v:shape id="自选图形 1027" o:spid="_x0000_s1026" o:spt="123" type="#_x0000_t123" style="position:absolute;left:0pt;margin-left:228.35pt;margin-top:141.25pt;height:6pt;width:6pt;z-index:251669504;mso-width-relative:page;mso-height-relative:page;" fillcolor="#FF0000" filled="t" stroked="t" coordsize="21600,21600" o:gfxdata="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8l/QR2gAAAAsBAAAPAAAAAAAAAAEAIAAAACIAAABkcnMvZG93bnJldi54bWxQ&#10;SwECFAAUAAAACACHTuJACKJ2wS4CAABiBAAADgAAAAAAAAABACAAAAApAQAAZHJzL2Uyb0RvYy54&#10;bWxQSwUGAAAAAAYABgBZAQAAyQUAAAAA&#10;">
                <v:fill on="t" focussize="0,0"/>
                <v:stroke color="#000000" joinstyle="round"/>
                <v:imagedata o:title=""/>
                <o:lock v:ext="edit" aspectratio="f"/>
              </v:shape>
            </w:pict>
          </mc:Fallback>
        </mc:AlternateContent>
      </w:r>
      <w:r>
        <w:rPr>
          <w:rFonts w:ascii="Times New Roman" w:hAnsi="Times New Roman" w:eastAsia="宋体" w:cs="Times New Roman"/>
          <w:color w:val="auto"/>
          <w:kern w:val="0"/>
          <w:sz w:val="18"/>
          <w:szCs w:val="20"/>
          <w:highlight w:val="none"/>
          <w:lang w:val="en-US" w:eastAsia="zh-CN" w:bidi="ar-SA"/>
        </w:rPr>
        <w:drawing>
          <wp:anchor distT="0" distB="0" distL="114300" distR="114300" simplePos="0" relativeHeight="251689984" behindDoc="0" locked="0" layoutInCell="1" allowOverlap="1">
            <wp:simplePos x="0" y="0"/>
            <wp:positionH relativeFrom="column">
              <wp:posOffset>7146290</wp:posOffset>
            </wp:positionH>
            <wp:positionV relativeFrom="paragraph">
              <wp:posOffset>304165</wp:posOffset>
            </wp:positionV>
            <wp:extent cx="1391920" cy="1304925"/>
            <wp:effectExtent l="0" t="0" r="17780" b="9525"/>
            <wp:wrapNone/>
            <wp:docPr id="35" name="图片 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885"/>
                    <pic:cNvPicPr>
                      <a:picLocks noChangeAspect="1"/>
                    </pic:cNvPicPr>
                  </pic:nvPicPr>
                  <pic:blipFill>
                    <a:blip r:embed="rId55"/>
                    <a:stretch>
                      <a:fillRect/>
                    </a:stretch>
                  </pic:blipFill>
                  <pic:spPr>
                    <a:xfrm>
                      <a:off x="0" y="0"/>
                      <a:ext cx="1391920" cy="1304925"/>
                    </a:xfrm>
                    <a:prstGeom prst="rect">
                      <a:avLst/>
                    </a:prstGeom>
                    <a:noFill/>
                    <a:ln>
                      <a:noFill/>
                    </a:ln>
                  </pic:spPr>
                </pic:pic>
              </a:graphicData>
            </a:graphic>
          </wp:anchor>
        </w:drawing>
      </w:r>
      <w:r>
        <w:rPr>
          <w:rFonts w:ascii="Times New Roman" w:hAnsi="Times New Roman" w:eastAsia="宋体" w:cs="Times New Roman"/>
          <w:color w:val="auto"/>
          <w:kern w:val="0"/>
          <w:sz w:val="24"/>
          <w:szCs w:val="20"/>
          <w:highlight w:val="none"/>
          <w:lang w:val="en-US" w:eastAsia="zh-CN" w:bidi="ar-SA"/>
        </w:rPr>
        <mc:AlternateContent>
          <mc:Choice Requires="wps">
            <w:drawing>
              <wp:anchor distT="0" distB="0" distL="114300" distR="114300" simplePos="0" relativeHeight="251661312" behindDoc="0" locked="0" layoutInCell="1" allowOverlap="1">
                <wp:simplePos x="0" y="0"/>
                <wp:positionH relativeFrom="column">
                  <wp:posOffset>3693795</wp:posOffset>
                </wp:positionH>
                <wp:positionV relativeFrom="paragraph">
                  <wp:posOffset>2029460</wp:posOffset>
                </wp:positionV>
                <wp:extent cx="1876425" cy="1600835"/>
                <wp:effectExtent l="0" t="4445" r="9525" b="13970"/>
                <wp:wrapNone/>
                <wp:docPr id="2" name="任意多边形 1028"/>
                <wp:cNvGraphicFramePr/>
                <a:graphic xmlns:a="http://schemas.openxmlformats.org/drawingml/2006/main">
                  <a:graphicData uri="http://schemas.microsoft.com/office/word/2010/wordprocessingShape">
                    <wps:wsp>
                      <wps:cNvSpPr/>
                      <wps:spPr>
                        <a:xfrm rot="10800000">
                          <a:off x="0" y="0"/>
                          <a:ext cx="1876425" cy="1600835"/>
                        </a:xfrm>
                        <a:custGeom>
                          <a:avLst/>
                          <a:gdLst/>
                          <a:ahLst/>
                          <a:cxnLst/>
                          <a:pathLst>
                            <a:path w="2550" h="2280">
                              <a:moveTo>
                                <a:pt x="0" y="0"/>
                              </a:moveTo>
                              <a:lnTo>
                                <a:pt x="675" y="2280"/>
                              </a:lnTo>
                              <a:lnTo>
                                <a:pt x="2550" y="2280"/>
                              </a:lnTo>
                            </a:path>
                          </a:pathLst>
                        </a:custGeom>
                        <a:noFill/>
                        <a:ln w="9525" cap="flat" cmpd="sng">
                          <a:solidFill>
                            <a:srgbClr val="FF0000"/>
                          </a:solidFill>
                          <a:prstDash val="solid"/>
                          <a:headEnd type="none" w="med" len="med"/>
                          <a:tailEnd type="none" w="med" len="med"/>
                        </a:ln>
                      </wps:spPr>
                      <wps:bodyPr vert="horz" wrap="square" anchor="t" anchorCtr="0" upright="1"/>
                    </wps:wsp>
                  </a:graphicData>
                </a:graphic>
              </wp:anchor>
            </w:drawing>
          </mc:Choice>
          <mc:Fallback>
            <w:pict>
              <v:shape id="任意多边形 1028" o:spid="_x0000_s1026" o:spt="100" style="position:absolute;left:0pt;margin-left:290.85pt;margin-top:159.8pt;height:126.05pt;width:147.75pt;rotation:11796480f;z-index:251661312;mso-width-relative:page;mso-height-relative:page;" filled="f" stroked="t" coordsize="2550,2280" o:gfxdata="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10NG02AAAAAsBAAAPAAAAAAAAAAEAIAAAACIAAABkcnMvZG93bnJl&#10;di54bWxQSwECFAAUAAAACACHTuJA9AzZqW8CAAACBQAADgAAAAAAAAABACAAAAAnAQAAZHJzL2Uy&#10;b0RvYy54bWxQSwUGAAAAAAYABgBZAQAACAYAAAAA&#10;" path="m0,0l675,2280,2550,2280e">
                <v:fill on="f" focussize="0,0"/>
                <v:stroke color="#FF0000" joinstyle="round"/>
                <v:imagedata o:title=""/>
                <o:lock v:ext="edit" aspectratio="f"/>
              </v:shape>
            </w:pict>
          </mc:Fallback>
        </mc:AlternateContent>
      </w:r>
      <w:r>
        <w:rPr>
          <w:rFonts w:ascii="Times New Roman" w:hAnsi="Times New Roman" w:eastAsia="宋体" w:cs="Times New Roman"/>
          <w:color w:val="auto"/>
          <w:kern w:val="0"/>
          <w:sz w:val="18"/>
          <w:szCs w:val="20"/>
          <w:highlight w:val="none"/>
          <w:lang w:val="en-US" w:eastAsia="zh-CN" w:bidi="ar-SA"/>
        </w:rPr>
        <w:drawing>
          <wp:anchor distT="0" distB="0" distL="114300" distR="114300" simplePos="0" relativeHeight="251668480" behindDoc="0" locked="0" layoutInCell="1" allowOverlap="1">
            <wp:simplePos x="0" y="0"/>
            <wp:positionH relativeFrom="column">
              <wp:posOffset>409575</wp:posOffset>
            </wp:positionH>
            <wp:positionV relativeFrom="paragraph">
              <wp:posOffset>614045</wp:posOffset>
            </wp:positionV>
            <wp:extent cx="3284855" cy="3117850"/>
            <wp:effectExtent l="9525" t="9525" r="20320" b="15875"/>
            <wp:wrapNone/>
            <wp:docPr id="12" name="图片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29"/>
                    <pic:cNvPicPr>
                      <a:picLocks noChangeAspect="1"/>
                    </pic:cNvPicPr>
                  </pic:nvPicPr>
                  <pic:blipFill>
                    <a:blip r:embed="rId56"/>
                    <a:stretch>
                      <a:fillRect/>
                    </a:stretch>
                  </pic:blipFill>
                  <pic:spPr>
                    <a:xfrm>
                      <a:off x="0" y="0"/>
                      <a:ext cx="3284855" cy="3117850"/>
                    </a:xfrm>
                    <a:prstGeom prst="rect">
                      <a:avLst/>
                    </a:prstGeom>
                    <a:noFill/>
                    <a:ln w="9525" cap="flat" cmpd="sng">
                      <a:solidFill>
                        <a:srgbClr val="FF0000"/>
                      </a:solidFill>
                      <a:prstDash val="solid"/>
                      <a:miter/>
                      <a:headEnd type="none" w="med" len="med"/>
                      <a:tailEnd type="none" w="med" len="med"/>
                    </a:ln>
                  </pic:spPr>
                </pic:pic>
              </a:graphicData>
            </a:graphic>
          </wp:anchor>
        </w:drawing>
      </w:r>
      <w:r>
        <w:rPr>
          <w:rFonts w:ascii="Times New Roman" w:hAnsi="Times New Roman" w:eastAsia="宋体" w:cs="Times New Roman"/>
          <w:color w:val="auto"/>
          <w:kern w:val="0"/>
          <w:sz w:val="24"/>
          <w:szCs w:val="20"/>
          <w:highlight w:val="none"/>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5107940</wp:posOffset>
                </wp:positionH>
                <wp:positionV relativeFrom="paragraph">
                  <wp:posOffset>3618865</wp:posOffset>
                </wp:positionV>
                <wp:extent cx="922655" cy="862965"/>
                <wp:effectExtent l="5080" t="4445" r="5715" b="8890"/>
                <wp:wrapNone/>
                <wp:docPr id="1" name="矩形 1030"/>
                <wp:cNvGraphicFramePr/>
                <a:graphic xmlns:a="http://schemas.openxmlformats.org/drawingml/2006/main">
                  <a:graphicData uri="http://schemas.microsoft.com/office/word/2010/wordprocessingShape">
                    <wps:wsp>
                      <wps:cNvSpPr/>
                      <wps:spPr>
                        <a:xfrm>
                          <a:off x="0" y="0"/>
                          <a:ext cx="922655" cy="862965"/>
                        </a:xfrm>
                        <a:prstGeom prst="rect">
                          <a:avLst/>
                        </a:prstGeom>
                        <a:noFill/>
                        <a:ln w="9525" cap="flat" cmpd="sng">
                          <a:solidFill>
                            <a:srgbClr val="FF0000"/>
                          </a:solidFill>
                          <a:prstDash val="solid"/>
                          <a:miter/>
                          <a:headEnd type="none" w="med" len="med"/>
                          <a:tailEnd type="none" w="med" len="med"/>
                        </a:ln>
                      </wps:spPr>
                      <wps:bodyPr vert="horz" wrap="square" anchor="t" anchorCtr="0" upright="1"/>
                    </wps:wsp>
                  </a:graphicData>
                </a:graphic>
              </wp:anchor>
            </w:drawing>
          </mc:Choice>
          <mc:Fallback>
            <w:pict>
              <v:rect id="矩形 1030" o:spid="_x0000_s1026" o:spt="1" style="position:absolute;left:0pt;margin-left:402.2pt;margin-top:284.95pt;height:67.95pt;width:72.65pt;z-index:251660288;mso-width-relative:page;mso-height-relative:page;" filled="f" stroked="t" coordsize="21600,21600" o:gfxdata="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ORDyF3AAAAAsBAAAP&#10;AAAAAAAAAAEAIAAAACIAAABkcnMvZG93bnJldi54bWxQSwECFAAUAAAACACHTuJAPEoYtBQCAAAq&#10;BAAADgAAAAAAAAABACAAAAArAQAAZHJzL2Uyb0RvYy54bWxQSwUGAAAAAAYABgBZAQAAsQUAAAAA&#10;">
                <v:fill on="f" focussize="0,0"/>
                <v:stroke color="#FF0000" joinstyle="miter"/>
                <v:imagedata o:title=""/>
                <o:lock v:ext="edit" aspectratio="f"/>
              </v:rect>
            </w:pict>
          </mc:Fallback>
        </mc:AlternateContent>
      </w:r>
      <w:r>
        <w:rPr>
          <w:rFonts w:hint="eastAsia" w:ascii="Times New Roman" w:hAnsi="Times New Roman" w:eastAsia="宋体" w:cs="Times New Roman"/>
          <w:b/>
          <w:color w:val="auto"/>
          <w:kern w:val="0"/>
          <w:sz w:val="28"/>
          <w:szCs w:val="28"/>
          <w:highlight w:val="none"/>
          <w:lang w:val="en-US" w:eastAsia="zh-CN" w:bidi="ar-SA"/>
        </w:rPr>
        <w:drawing>
          <wp:inline distT="0" distB="0" distL="114300" distR="114300">
            <wp:extent cx="8583930" cy="5890260"/>
            <wp:effectExtent l="0" t="0" r="7620" b="15240"/>
            <wp:docPr id="106" name="图片 395" descr="4开乐昌市地图有邻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395" descr="4开乐昌市地图有邻区"/>
                    <pic:cNvPicPr>
                      <a:picLocks noChangeAspect="1"/>
                    </pic:cNvPicPr>
                  </pic:nvPicPr>
                  <pic:blipFill>
                    <a:blip r:embed="rId57"/>
                    <a:srcRect l="2934" t="3183" r="3163" b="4150"/>
                    <a:stretch>
                      <a:fillRect/>
                    </a:stretch>
                  </pic:blipFill>
                  <pic:spPr>
                    <a:xfrm>
                      <a:off x="0" y="0"/>
                      <a:ext cx="8583930" cy="5890260"/>
                    </a:xfrm>
                    <a:prstGeom prst="rect">
                      <a:avLst/>
                    </a:prstGeom>
                    <a:noFill/>
                    <a:ln>
                      <a:noFill/>
                    </a:ln>
                  </pic:spPr>
                </pic:pic>
              </a:graphicData>
            </a:graphic>
          </wp:inline>
        </w:drawing>
      </w:r>
    </w:p>
    <w:p w14:paraId="26F464A9">
      <w:pPr>
        <w:widowControl/>
        <w:snapToGrid w:val="0"/>
        <w:spacing w:before="60" w:after="0" w:line="240" w:lineRule="auto"/>
        <w:ind w:right="113"/>
        <w:jc w:val="center"/>
        <w:outlineLvl w:val="0"/>
        <w:rPr>
          <w:rFonts w:hint="default" w:ascii="Times New Roman" w:hAnsi="Times New Roman" w:eastAsia="宋体" w:cs="Times New Roman"/>
          <w:b/>
          <w:color w:val="auto"/>
          <w:kern w:val="0"/>
          <w:sz w:val="24"/>
          <w:szCs w:val="24"/>
          <w:highlight w:val="none"/>
          <w:lang w:val="en-US" w:eastAsia="zh-CN" w:bidi="ar-SA"/>
        </w:rPr>
      </w:pPr>
      <w:bookmarkStart w:id="55" w:name="_Toc8498"/>
      <w:bookmarkStart w:id="56" w:name="_Toc2694"/>
      <w:bookmarkStart w:id="57" w:name="_Toc19765"/>
      <w:bookmarkStart w:id="58" w:name="_Toc18338"/>
      <w:r>
        <w:rPr>
          <w:rFonts w:hint="default" w:ascii="Times New Roman" w:hAnsi="Times New Roman" w:eastAsia="宋体" w:cs="Times New Roman"/>
          <w:b/>
          <w:color w:val="auto"/>
          <w:kern w:val="0"/>
          <w:sz w:val="24"/>
          <w:szCs w:val="24"/>
          <w:highlight w:val="none"/>
          <w:lang w:val="en-US" w:eastAsia="zh-CN" w:bidi="ar-SA"/>
        </w:rPr>
        <w:t>附图1 项目地理位置图</w:t>
      </w:r>
      <w:bookmarkEnd w:id="55"/>
      <w:bookmarkEnd w:id="56"/>
      <w:bookmarkEnd w:id="57"/>
      <w:bookmarkEnd w:id="58"/>
    </w:p>
    <w:p w14:paraId="277B20FC">
      <w:pPr>
        <w:rPr>
          <w:rFonts w:hint="default" w:ascii="Times New Roman" w:hAnsi="Times New Roman" w:cs="Times New Roman"/>
          <w:color w:val="auto"/>
          <w:sz w:val="24"/>
          <w:highlight w:val="none"/>
        </w:rPr>
        <w:sectPr>
          <w:pgSz w:w="16838" w:h="11906" w:orient="landscape"/>
          <w:pgMar w:top="737" w:right="1417" w:bottom="737" w:left="1417" w:header="567" w:footer="794" w:gutter="340"/>
          <w:pgBorders>
            <w:top w:val="none" w:sz="0" w:space="0"/>
            <w:left w:val="none" w:sz="0" w:space="0"/>
            <w:bottom w:val="none" w:sz="0" w:space="0"/>
            <w:right w:val="none" w:sz="0" w:space="0"/>
          </w:pgBorders>
          <w:pgNumType w:fmt="decimal"/>
          <w:cols w:space="720" w:num="1"/>
          <w:docGrid w:type="lines" w:linePitch="412" w:charSpace="0"/>
        </w:sectPr>
      </w:pPr>
    </w:p>
    <w:p w14:paraId="45F5CA67">
      <w:pPr>
        <w:widowControl/>
        <w:snapToGrid w:val="0"/>
        <w:spacing w:before="60" w:after="0" w:line="240" w:lineRule="auto"/>
        <w:ind w:right="113"/>
        <w:jc w:val="center"/>
        <w:outlineLvl w:val="9"/>
        <w:rPr>
          <w:rFonts w:ascii="宋体" w:hAnsi="Times New Roman" w:eastAsia="宋体" w:cs="Times New Roman"/>
          <w:b/>
          <w:bCs/>
          <w:color w:val="auto"/>
          <w:kern w:val="2"/>
          <w:sz w:val="32"/>
          <w:szCs w:val="32"/>
          <w:highlight w:val="none"/>
          <w:lang w:val="en-US" w:eastAsia="zh-CN" w:bidi="ar-SA"/>
        </w:rPr>
      </w:pPr>
      <w:r>
        <w:rPr>
          <w:rFonts w:ascii="Times New Roman" w:hAnsi="Times New Roman" w:eastAsia="宋体" w:cs="Times New Roman"/>
          <w:kern w:val="0"/>
          <w:sz w:val="18"/>
          <w:szCs w:val="20"/>
          <w:lang w:val="en-US" w:eastAsia="zh-CN" w:bidi="ar-SA"/>
        </w:rPr>
        <w:drawing>
          <wp:anchor distT="0" distB="0" distL="114300" distR="114300" simplePos="0" relativeHeight="251769856" behindDoc="0" locked="0" layoutInCell="1" allowOverlap="1">
            <wp:simplePos x="0" y="0"/>
            <wp:positionH relativeFrom="column">
              <wp:posOffset>27940</wp:posOffset>
            </wp:positionH>
            <wp:positionV relativeFrom="paragraph">
              <wp:posOffset>6012815</wp:posOffset>
            </wp:positionV>
            <wp:extent cx="676275" cy="533400"/>
            <wp:effectExtent l="0" t="0" r="9525" b="0"/>
            <wp:wrapNone/>
            <wp:docPr id="27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12"/>
                    <pic:cNvPicPr>
                      <a:picLocks noChangeAspect="1"/>
                    </pic:cNvPicPr>
                  </pic:nvPicPr>
                  <pic:blipFill>
                    <a:blip r:embed="rId58">
                      <a:clrChange>
                        <a:clrFrom>
                          <a:srgbClr val="506B64">
                            <a:alpha val="100000"/>
                          </a:srgbClr>
                        </a:clrFrom>
                        <a:clrTo>
                          <a:srgbClr val="506B64">
                            <a:alpha val="100000"/>
                            <a:alpha val="0"/>
                          </a:srgbClr>
                        </a:clrTo>
                      </a:clrChange>
                    </a:blip>
                    <a:stretch>
                      <a:fillRect/>
                    </a:stretch>
                  </pic:blipFill>
                  <pic:spPr>
                    <a:xfrm>
                      <a:off x="0" y="0"/>
                      <a:ext cx="676275" cy="533400"/>
                    </a:xfrm>
                    <a:prstGeom prst="rect">
                      <a:avLst/>
                    </a:prstGeom>
                    <a:noFill/>
                    <a:ln>
                      <a:noFill/>
                    </a:ln>
                  </pic:spPr>
                </pic:pic>
              </a:graphicData>
            </a:graphic>
          </wp:anchor>
        </w:drawing>
      </w:r>
      <w:r>
        <w:rPr>
          <w:rFonts w:ascii="Times New Roman" w:hAnsi="Times New Roman" w:eastAsia="宋体" w:cs="Times New Roman"/>
          <w:color w:val="auto"/>
          <w:kern w:val="0"/>
          <w:sz w:val="18"/>
          <w:szCs w:val="20"/>
          <w:highlight w:val="none"/>
          <w:lang w:val="en-US" w:eastAsia="zh-CN" w:bidi="ar-SA"/>
        </w:rPr>
        <mc:AlternateContent>
          <mc:Choice Requires="wps">
            <w:drawing>
              <wp:anchor distT="0" distB="0" distL="114300" distR="114300" simplePos="0" relativeHeight="251680768" behindDoc="0" locked="0" layoutInCell="1" allowOverlap="1">
                <wp:simplePos x="0" y="0"/>
                <wp:positionH relativeFrom="column">
                  <wp:posOffset>5469255</wp:posOffset>
                </wp:positionH>
                <wp:positionV relativeFrom="paragraph">
                  <wp:posOffset>2213610</wp:posOffset>
                </wp:positionV>
                <wp:extent cx="444500" cy="557530"/>
                <wp:effectExtent l="0" t="0" r="0" b="0"/>
                <wp:wrapNone/>
                <wp:docPr id="24" name="文本框 1873"/>
                <wp:cNvGraphicFramePr/>
                <a:graphic xmlns:a="http://schemas.openxmlformats.org/drawingml/2006/main">
                  <a:graphicData uri="http://schemas.microsoft.com/office/word/2010/wordprocessingShape">
                    <wps:wsp>
                      <wps:cNvSpPr txBox="1"/>
                      <wps:spPr>
                        <a:xfrm>
                          <a:off x="0" y="0"/>
                          <a:ext cx="444500" cy="557530"/>
                        </a:xfrm>
                        <a:prstGeom prst="rect">
                          <a:avLst/>
                        </a:prstGeom>
                        <a:noFill/>
                        <a:ln>
                          <a:noFill/>
                        </a:ln>
                      </wps:spPr>
                      <wps:txbx>
                        <w:txbxContent>
                          <w:p w14:paraId="30E0EB7B">
                            <w:pPr>
                              <w:rPr>
                                <w:rFonts w:hint="default" w:eastAsia="宋体"/>
                                <w:b/>
                                <w:bCs/>
                                <w:color w:val="auto"/>
                                <w:sz w:val="24"/>
                                <w:szCs w:val="24"/>
                                <w:lang w:val="en-US" w:eastAsia="zh-CN"/>
                              </w:rPr>
                            </w:pPr>
                            <w:r>
                              <w:rPr>
                                <w:rFonts w:hint="eastAsia" w:ascii="Times New Roman" w:eastAsia="宋体"/>
                                <w:b/>
                                <w:bCs/>
                                <w:color w:val="auto"/>
                                <w:sz w:val="24"/>
                                <w:szCs w:val="24"/>
                                <w:lang w:val="en-US" w:eastAsia="zh-CN"/>
                              </w:rPr>
                              <w:t>道路</w:t>
                            </w:r>
                          </w:p>
                        </w:txbxContent>
                      </wps:txbx>
                      <wps:bodyPr vert="horz" wrap="square" anchor="t" anchorCtr="0" upright="1"/>
                    </wps:wsp>
                  </a:graphicData>
                </a:graphic>
              </wp:anchor>
            </w:drawing>
          </mc:Choice>
          <mc:Fallback>
            <w:pict>
              <v:shape id="文本框 1873" o:spid="_x0000_s1026" o:spt="202" type="#_x0000_t202" style="position:absolute;left:0pt;margin-left:430.65pt;margin-top:174.3pt;height:43.9pt;width:35pt;z-index:251680768;mso-width-relative:page;mso-height-relative:page;" filled="f" stroked="f" coordsize="21600,21600" o:gfxdata="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N202SzYAAAACwEAAA8AAAAAAAAAAQAgAAAAIgAA&#10;AGRycy9kb3ducmV2LnhtbFBLAQIUABQAAAAIAIdO4kAi/mrWzwEAAIQDAAAOAAAAAAAAAAEAIAAA&#10;ACcBAABkcnMvZTJvRG9jLnhtbFBLBQYAAAAABgAGAFkBAABoBQAAAAA=&#10;">
                <v:fill on="f" focussize="0,0"/>
                <v:stroke on="f"/>
                <v:imagedata o:title=""/>
                <o:lock v:ext="edit" aspectratio="f"/>
                <v:textbox>
                  <w:txbxContent>
                    <w:p w14:paraId="30E0EB7B">
                      <w:pPr>
                        <w:rPr>
                          <w:rFonts w:hint="default" w:eastAsia="宋体"/>
                          <w:b/>
                          <w:bCs/>
                          <w:color w:val="auto"/>
                          <w:sz w:val="24"/>
                          <w:szCs w:val="24"/>
                          <w:lang w:val="en-US" w:eastAsia="zh-CN"/>
                        </w:rPr>
                      </w:pPr>
                      <w:r>
                        <w:rPr>
                          <w:rFonts w:hint="eastAsia" w:ascii="Times New Roman" w:eastAsia="宋体"/>
                          <w:b/>
                          <w:bCs/>
                          <w:color w:val="auto"/>
                          <w:sz w:val="24"/>
                          <w:szCs w:val="24"/>
                          <w:lang w:val="en-US" w:eastAsia="zh-CN"/>
                        </w:rPr>
                        <w:t>道路</w:t>
                      </w:r>
                    </w:p>
                  </w:txbxContent>
                </v:textbox>
              </v:shape>
            </w:pict>
          </mc:Fallback>
        </mc:AlternateContent>
      </w:r>
      <w:r>
        <w:rPr>
          <w:rFonts w:ascii="宋体" w:hAnsi="Times New Roman" w:eastAsia="宋体" w:cs="Times New Roman"/>
          <w:b/>
          <w:bCs/>
          <w:color w:val="auto"/>
          <w:kern w:val="2"/>
          <w:sz w:val="32"/>
          <w:szCs w:val="32"/>
          <w:highlight w:val="none"/>
          <w:lang w:val="en-US" w:eastAsia="zh-CN" w:bidi="ar-SA"/>
        </w:rPr>
        <mc:AlternateContent>
          <mc:Choice Requires="wps">
            <w:drawing>
              <wp:anchor distT="0" distB="0" distL="114300" distR="114300" simplePos="0" relativeHeight="251720704" behindDoc="0" locked="0" layoutInCell="1" allowOverlap="1">
                <wp:simplePos x="0" y="0"/>
                <wp:positionH relativeFrom="column">
                  <wp:posOffset>5539105</wp:posOffset>
                </wp:positionH>
                <wp:positionV relativeFrom="paragraph">
                  <wp:posOffset>2889250</wp:posOffset>
                </wp:positionV>
                <wp:extent cx="539750" cy="914400"/>
                <wp:effectExtent l="0" t="0" r="0" b="0"/>
                <wp:wrapNone/>
                <wp:docPr id="236" name="文本框 236"/>
                <wp:cNvGraphicFramePr/>
                <a:graphic xmlns:a="http://schemas.openxmlformats.org/drawingml/2006/main">
                  <a:graphicData uri="http://schemas.microsoft.com/office/word/2010/wordprocessingShape">
                    <wps:wsp>
                      <wps:cNvSpPr txBox="1"/>
                      <wps:spPr>
                        <a:xfrm>
                          <a:off x="0" y="0"/>
                          <a:ext cx="539750" cy="914400"/>
                        </a:xfrm>
                        <a:prstGeom prst="rect">
                          <a:avLst/>
                        </a:prstGeom>
                        <a:noFill/>
                        <a:ln w="6350">
                          <a:noFill/>
                        </a:ln>
                        <a:effectLst/>
                      </wps:spPr>
                      <wps:txbx>
                        <w:txbxContent>
                          <w:p w14:paraId="223064B9">
                            <w:pPr>
                              <w:keepNext w:val="0"/>
                              <w:keepLines w:val="0"/>
                              <w:pageBreakBefore w:val="0"/>
                              <w:widowControl w:val="0"/>
                              <w:kinsoku/>
                              <w:wordWrap/>
                              <w:overflowPunct/>
                              <w:topLinePunct w:val="0"/>
                              <w:bidi w:val="0"/>
                              <w:adjustRightInd/>
                              <w:snapToGrid/>
                              <w:spacing w:line="240" w:lineRule="auto"/>
                              <w:textAlignment w:val="auto"/>
                              <w:rPr>
                                <w:rFonts w:hint="default" w:ascii="Times New Roman" w:hAnsi="Times New Roman" w:eastAsia="宋体" w:cs="Times New Roman"/>
                                <w:b w:val="0"/>
                                <w:bCs w:val="0"/>
                                <w:sz w:val="21"/>
                                <w:szCs w:val="21"/>
                                <w:highlight w:val="lightGray"/>
                                <w:lang w:val="en-US" w:eastAsia="zh-CN"/>
                              </w:rPr>
                            </w:pPr>
                            <w:r>
                              <w:rPr>
                                <w:rFonts w:hint="eastAsia" w:ascii="Times New Roman" w:hAnsi="Times New Roman" w:eastAsia="宋体" w:cs="Times New Roman"/>
                                <w:b w:val="0"/>
                                <w:bCs w:val="0"/>
                                <w:sz w:val="21"/>
                                <w:szCs w:val="21"/>
                                <w:highlight w:val="lightGray"/>
                                <w:lang w:val="en-US" w:eastAsia="zh-CN"/>
                              </w:rPr>
                              <w:t>空地</w:t>
                            </w:r>
                          </w:p>
                        </w:txbxContent>
                      </wps:txbx>
                      <wps:bodyPr rot="0" spcFirstLastPara="0" vertOverflow="overflow" horzOverflow="overflow" vert="horz" wrap="square" lIns="91440" tIns="45720" rIns="91440" bIns="4572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36.15pt;margin-top:227.5pt;height:72pt;width:42.5pt;z-index:251720704;mso-width-relative:page;mso-height-relative:page;" filled="f" stroked="f" coordsize="21600,21600" o:gfxdata="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Lwo66LXAAAACwEAAA8AAAAAAAAAAQAg&#10;AAAAIgAAAGRycy9kb3ducmV2LnhtbFBLAQIUABQAAAAIAIdO4kCeioWpSAIAAIMEAAAOAAAAAAAA&#10;AAEAIAAAACYBAABkcnMvZTJvRG9jLnhtbFBLBQYAAAAABgAGAFkBAADgBQAAAAA=&#10;">
                <v:fill on="f" focussize="0,0"/>
                <v:stroke on="f" weight="0.5pt"/>
                <v:imagedata o:title=""/>
                <o:lock v:ext="edit" aspectratio="f"/>
                <v:textbox style="mso-fit-shape-to-text:t;">
                  <w:txbxContent>
                    <w:p w14:paraId="223064B9">
                      <w:pPr>
                        <w:keepNext w:val="0"/>
                        <w:keepLines w:val="0"/>
                        <w:pageBreakBefore w:val="0"/>
                        <w:widowControl w:val="0"/>
                        <w:kinsoku/>
                        <w:wordWrap/>
                        <w:overflowPunct/>
                        <w:topLinePunct w:val="0"/>
                        <w:bidi w:val="0"/>
                        <w:adjustRightInd/>
                        <w:snapToGrid/>
                        <w:spacing w:line="240" w:lineRule="auto"/>
                        <w:textAlignment w:val="auto"/>
                        <w:rPr>
                          <w:rFonts w:hint="default" w:ascii="Times New Roman" w:hAnsi="Times New Roman" w:eastAsia="宋体" w:cs="Times New Roman"/>
                          <w:b w:val="0"/>
                          <w:bCs w:val="0"/>
                          <w:sz w:val="21"/>
                          <w:szCs w:val="21"/>
                          <w:highlight w:val="lightGray"/>
                          <w:lang w:val="en-US" w:eastAsia="zh-CN"/>
                        </w:rPr>
                      </w:pPr>
                      <w:r>
                        <w:rPr>
                          <w:rFonts w:hint="eastAsia" w:ascii="Times New Roman" w:hAnsi="Times New Roman" w:eastAsia="宋体" w:cs="Times New Roman"/>
                          <w:b w:val="0"/>
                          <w:bCs w:val="0"/>
                          <w:sz w:val="21"/>
                          <w:szCs w:val="21"/>
                          <w:highlight w:val="lightGray"/>
                          <w:lang w:val="en-US" w:eastAsia="zh-CN"/>
                        </w:rPr>
                        <w:t>空地</w:t>
                      </w:r>
                    </w:p>
                  </w:txbxContent>
                </v:textbox>
              </v:shape>
            </w:pict>
          </mc:Fallback>
        </mc:AlternateContent>
      </w:r>
      <w:r>
        <w:rPr>
          <w:rFonts w:ascii="Times New Roman" w:hAnsi="Times New Roman" w:eastAsia="宋体" w:cs="Times New Roman"/>
          <w:color w:val="auto"/>
          <w:kern w:val="0"/>
          <w:sz w:val="18"/>
          <w:szCs w:val="20"/>
          <w:highlight w:val="none"/>
          <w:lang w:val="en-US" w:eastAsia="zh-CN" w:bidi="ar-SA"/>
        </w:rPr>
        <mc:AlternateContent>
          <mc:Choice Requires="wps">
            <w:drawing>
              <wp:anchor distT="0" distB="0" distL="114300" distR="114300" simplePos="0" relativeHeight="251730944" behindDoc="0" locked="0" layoutInCell="1" allowOverlap="1">
                <wp:simplePos x="0" y="0"/>
                <wp:positionH relativeFrom="column">
                  <wp:posOffset>5306695</wp:posOffset>
                </wp:positionH>
                <wp:positionV relativeFrom="paragraph">
                  <wp:posOffset>869950</wp:posOffset>
                </wp:positionV>
                <wp:extent cx="154305" cy="3429635"/>
                <wp:effectExtent l="360680" t="0" r="361315" b="0"/>
                <wp:wrapNone/>
                <wp:docPr id="63" name="矩形 1872"/>
                <wp:cNvGraphicFramePr/>
                <a:graphic xmlns:a="http://schemas.openxmlformats.org/drawingml/2006/main">
                  <a:graphicData uri="http://schemas.microsoft.com/office/word/2010/wordprocessingShape">
                    <wps:wsp>
                      <wps:cNvSpPr/>
                      <wps:spPr>
                        <a:xfrm rot="720000">
                          <a:off x="0" y="0"/>
                          <a:ext cx="154305" cy="3429635"/>
                        </a:xfrm>
                        <a:prstGeom prst="rect">
                          <a:avLst/>
                        </a:prstGeom>
                        <a:pattFill prst="openDmnd">
                          <a:fgClr>
                            <a:srgbClr val="000000"/>
                          </a:fgClr>
                          <a:bgClr>
                            <a:srgbClr val="FFFFFF"/>
                          </a:bgClr>
                        </a:patt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矩形 1872" o:spid="_x0000_s1026" o:spt="1" style="position:absolute;left:0pt;margin-left:417.85pt;margin-top:68.5pt;height:270.05pt;width:12.15pt;rotation:786432f;z-index:251730944;mso-width-relative:page;mso-height-relative:page;" fillcolor="#000000" filled="t" stroked="t" coordsize="21600,21600" o:gfxdata="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PBvLgtoAAAALAQAADwAAAAAAAAABACAAAAAi&#10;AAAAZHJzL2Rvd25yZXYueG1sUEsBAhQAFAAAAAgAh07iQP8R6ZxBAgAArwQAAA4AAAAAAAAAAQAg&#10;AAAAKQEAAGRycy9lMm9Eb2MueG1sUEsFBgAAAAAGAAYAWQEAANwFAAAAAA==&#10;">
                <v:fill type="pattern" on="t" color2="#FFFFFF" o:title="轮廓式菱形" focussize="0,0" r:id="rId59"/>
                <v:stroke color="#000000" joinstyle="miter"/>
                <v:imagedata o:title=""/>
                <o:lock v:ext="edit" aspectratio="f"/>
              </v:rect>
            </w:pict>
          </mc:Fallback>
        </mc:AlternateContent>
      </w:r>
      <w:r>
        <w:rPr>
          <w:rFonts w:ascii="宋体" w:hAnsi="Times New Roman" w:eastAsia="宋体" w:cs="Times New Roman"/>
          <w:b/>
          <w:bCs/>
          <w:color w:val="auto"/>
          <w:kern w:val="2"/>
          <w:sz w:val="32"/>
          <w:szCs w:val="32"/>
          <w:highlight w:val="none"/>
          <w:lang w:val="en-US" w:eastAsia="zh-CN" w:bidi="ar-SA"/>
        </w:rPr>
        <mc:AlternateContent>
          <mc:Choice Requires="wps">
            <w:drawing>
              <wp:anchor distT="0" distB="0" distL="114300" distR="114300" simplePos="0" relativeHeight="251719680" behindDoc="0" locked="0" layoutInCell="1" allowOverlap="1">
                <wp:simplePos x="0" y="0"/>
                <wp:positionH relativeFrom="column">
                  <wp:posOffset>4298315</wp:posOffset>
                </wp:positionH>
                <wp:positionV relativeFrom="paragraph">
                  <wp:posOffset>1969135</wp:posOffset>
                </wp:positionV>
                <wp:extent cx="855345" cy="914400"/>
                <wp:effectExtent l="0" t="0" r="0" b="0"/>
                <wp:wrapNone/>
                <wp:docPr id="235" name="文本框 235"/>
                <wp:cNvGraphicFramePr/>
                <a:graphic xmlns:a="http://schemas.openxmlformats.org/drawingml/2006/main">
                  <a:graphicData uri="http://schemas.microsoft.com/office/word/2010/wordprocessingShape">
                    <wps:wsp>
                      <wps:cNvSpPr txBox="1"/>
                      <wps:spPr>
                        <a:xfrm>
                          <a:off x="0" y="0"/>
                          <a:ext cx="855345" cy="914400"/>
                        </a:xfrm>
                        <a:prstGeom prst="rect">
                          <a:avLst/>
                        </a:prstGeom>
                        <a:noFill/>
                        <a:ln w="6350">
                          <a:noFill/>
                        </a:ln>
                        <a:effectLst/>
                      </wps:spPr>
                      <wps:txbx>
                        <w:txbxContent>
                          <w:p w14:paraId="32D0FF13">
                            <w:pPr>
                              <w:keepNext w:val="0"/>
                              <w:keepLines w:val="0"/>
                              <w:pageBreakBefore w:val="0"/>
                              <w:widowControl w:val="0"/>
                              <w:kinsoku/>
                              <w:wordWrap/>
                              <w:overflowPunct/>
                              <w:topLinePunct w:val="0"/>
                              <w:bidi w:val="0"/>
                              <w:adjustRightInd/>
                              <w:snapToGrid/>
                              <w:spacing w:line="240" w:lineRule="auto"/>
                              <w:textAlignment w:val="auto"/>
                              <w:rPr>
                                <w:rFonts w:hint="default" w:ascii="Times New Roman" w:hAnsi="Times New Roman" w:eastAsia="宋体" w:cs="Times New Roman"/>
                                <w:b w:val="0"/>
                                <w:bCs w:val="0"/>
                                <w:color w:val="FF0000"/>
                                <w:sz w:val="21"/>
                                <w:szCs w:val="21"/>
                                <w:highlight w:val="lightGray"/>
                                <w:lang w:val="en-US" w:eastAsia="zh-CN"/>
                              </w:rPr>
                            </w:pPr>
                            <w:r>
                              <w:rPr>
                                <w:rFonts w:hint="eastAsia" w:ascii="Times New Roman" w:hAnsi="Times New Roman" w:eastAsia="宋体" w:cs="Times New Roman"/>
                                <w:b w:val="0"/>
                                <w:bCs w:val="0"/>
                                <w:color w:val="FF0000"/>
                                <w:sz w:val="21"/>
                                <w:szCs w:val="21"/>
                                <w:highlight w:val="lightGray"/>
                                <w:lang w:val="en-US" w:eastAsia="zh-CN"/>
                              </w:rPr>
                              <w:t>建设项目</w:t>
                            </w:r>
                          </w:p>
                        </w:txbxContent>
                      </wps:txbx>
                      <wps:bodyPr rot="0" spcFirstLastPara="0" vertOverflow="overflow" horzOverflow="overflow" vert="horz" wrap="square" lIns="91440" tIns="45720" rIns="91440" bIns="4572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38.45pt;margin-top:155.05pt;height:72pt;width:67.35pt;z-index:251719680;mso-width-relative:page;mso-height-relative:page;" filled="f" stroked="f" coordsize="21600,21600" o:gfxdata="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e+cE61wAAAAsBAAAPAAAAAAAAAAEA&#10;IAAAACIAAABkcnMvZG93bnJldi54bWxQSwECFAAUAAAACACHTuJAZCP6KkkCAACDBAAADgAAAAAA&#10;AAABACAAAAAmAQAAZHJzL2Uyb0RvYy54bWxQSwUGAAAAAAYABgBZAQAA4QUAAAAA&#10;">
                <v:fill on="f" focussize="0,0"/>
                <v:stroke on="f" weight="0.5pt"/>
                <v:imagedata o:title=""/>
                <o:lock v:ext="edit" aspectratio="f"/>
                <v:textbox style="mso-fit-shape-to-text:t;">
                  <w:txbxContent>
                    <w:p w14:paraId="32D0FF13">
                      <w:pPr>
                        <w:keepNext w:val="0"/>
                        <w:keepLines w:val="0"/>
                        <w:pageBreakBefore w:val="0"/>
                        <w:widowControl w:val="0"/>
                        <w:kinsoku/>
                        <w:wordWrap/>
                        <w:overflowPunct/>
                        <w:topLinePunct w:val="0"/>
                        <w:bidi w:val="0"/>
                        <w:adjustRightInd/>
                        <w:snapToGrid/>
                        <w:spacing w:line="240" w:lineRule="auto"/>
                        <w:textAlignment w:val="auto"/>
                        <w:rPr>
                          <w:rFonts w:hint="default" w:ascii="Times New Roman" w:hAnsi="Times New Roman" w:eastAsia="宋体" w:cs="Times New Roman"/>
                          <w:b w:val="0"/>
                          <w:bCs w:val="0"/>
                          <w:color w:val="FF0000"/>
                          <w:sz w:val="21"/>
                          <w:szCs w:val="21"/>
                          <w:highlight w:val="lightGray"/>
                          <w:lang w:val="en-US" w:eastAsia="zh-CN"/>
                        </w:rPr>
                      </w:pPr>
                      <w:r>
                        <w:rPr>
                          <w:rFonts w:hint="eastAsia" w:ascii="Times New Roman" w:hAnsi="Times New Roman" w:eastAsia="宋体" w:cs="Times New Roman"/>
                          <w:b w:val="0"/>
                          <w:bCs w:val="0"/>
                          <w:color w:val="FF0000"/>
                          <w:sz w:val="21"/>
                          <w:szCs w:val="21"/>
                          <w:highlight w:val="lightGray"/>
                          <w:lang w:val="en-US" w:eastAsia="zh-CN"/>
                        </w:rPr>
                        <w:t>建设项目</w:t>
                      </w:r>
                    </w:p>
                  </w:txbxContent>
                </v:textbox>
              </v:shape>
            </w:pict>
          </mc:Fallback>
        </mc:AlternateContent>
      </w:r>
      <w:r>
        <w:rPr>
          <w:rFonts w:ascii="宋体" w:hAnsi="Times New Roman" w:eastAsia="宋体" w:cs="Times New Roman"/>
          <w:b/>
          <w:bCs/>
          <w:color w:val="auto"/>
          <w:kern w:val="2"/>
          <w:sz w:val="32"/>
          <w:szCs w:val="32"/>
          <w:highlight w:val="none"/>
          <w:lang w:val="en-US" w:eastAsia="zh-CN" w:bidi="ar-SA"/>
        </w:rPr>
        <mc:AlternateContent>
          <mc:Choice Requires="wps">
            <w:drawing>
              <wp:anchor distT="0" distB="0" distL="114300" distR="114300" simplePos="0" relativeHeight="251729920" behindDoc="0" locked="0" layoutInCell="1" allowOverlap="1">
                <wp:simplePos x="0" y="0"/>
                <wp:positionH relativeFrom="column">
                  <wp:posOffset>3975100</wp:posOffset>
                </wp:positionH>
                <wp:positionV relativeFrom="paragraph">
                  <wp:posOffset>920115</wp:posOffset>
                </wp:positionV>
                <wp:extent cx="539750" cy="914400"/>
                <wp:effectExtent l="0" t="0" r="0" b="0"/>
                <wp:wrapNone/>
                <wp:docPr id="268" name="文本框 268"/>
                <wp:cNvGraphicFramePr/>
                <a:graphic xmlns:a="http://schemas.openxmlformats.org/drawingml/2006/main">
                  <a:graphicData uri="http://schemas.microsoft.com/office/word/2010/wordprocessingShape">
                    <wps:wsp>
                      <wps:cNvSpPr txBox="1"/>
                      <wps:spPr>
                        <a:xfrm>
                          <a:off x="0" y="0"/>
                          <a:ext cx="539750" cy="914400"/>
                        </a:xfrm>
                        <a:prstGeom prst="rect">
                          <a:avLst/>
                        </a:prstGeom>
                        <a:noFill/>
                        <a:ln w="6350">
                          <a:noFill/>
                        </a:ln>
                        <a:effectLst/>
                      </wps:spPr>
                      <wps:txbx>
                        <w:txbxContent>
                          <w:p w14:paraId="04E72E2A">
                            <w:pPr>
                              <w:keepNext w:val="0"/>
                              <w:keepLines w:val="0"/>
                              <w:pageBreakBefore w:val="0"/>
                              <w:widowControl w:val="0"/>
                              <w:kinsoku/>
                              <w:wordWrap/>
                              <w:overflowPunct/>
                              <w:topLinePunct w:val="0"/>
                              <w:bidi w:val="0"/>
                              <w:adjustRightInd/>
                              <w:snapToGrid/>
                              <w:spacing w:line="240" w:lineRule="auto"/>
                              <w:textAlignment w:val="auto"/>
                              <w:rPr>
                                <w:rFonts w:hint="eastAsia" w:ascii="Times New Roman" w:hAnsi="Times New Roman" w:eastAsia="宋体" w:cs="Times New Roman"/>
                                <w:b w:val="0"/>
                                <w:bCs w:val="0"/>
                                <w:sz w:val="21"/>
                                <w:szCs w:val="21"/>
                                <w:highlight w:val="lightGray"/>
                                <w:lang w:val="en-US" w:eastAsia="zh-CN"/>
                              </w:rPr>
                            </w:pPr>
                            <w:r>
                              <w:rPr>
                                <w:rFonts w:hint="eastAsia" w:ascii="Times New Roman" w:hAnsi="Times New Roman" w:eastAsia="宋体" w:cs="Times New Roman"/>
                                <w:b w:val="0"/>
                                <w:bCs w:val="0"/>
                                <w:sz w:val="21"/>
                                <w:szCs w:val="21"/>
                                <w:highlight w:val="lightGray"/>
                                <w:lang w:val="en-US" w:eastAsia="zh-CN"/>
                              </w:rPr>
                              <w:t>空地</w:t>
                            </w:r>
                          </w:p>
                        </w:txbxContent>
                      </wps:txbx>
                      <wps:bodyPr rot="0" spcFirstLastPara="0" vertOverflow="overflow" horzOverflow="overflow" vert="horz" wrap="square" lIns="91440" tIns="45720" rIns="91440" bIns="4572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13pt;margin-top:72.45pt;height:72pt;width:42.5pt;z-index:251729920;mso-width-relative:page;mso-height-relative:page;" filled="f" stroked="f" coordsize="21600,21600" o:gfxdata="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IGaYTHXAAAACwEAAA8AAAAAAAAAAQAg&#10;AAAAIgAAAGRycy9kb3ducmV2LnhtbFBLAQIUABQAAAAIAIdO4kBrWYN8SAIAAIMEAAAOAAAAAAAA&#10;AAEAIAAAACYBAABkcnMvZTJvRG9jLnhtbFBLBQYAAAAABgAGAFkBAADgBQAAAAA=&#10;">
                <v:fill on="f" focussize="0,0"/>
                <v:stroke on="f" weight="0.5pt"/>
                <v:imagedata o:title=""/>
                <o:lock v:ext="edit" aspectratio="f"/>
                <v:textbox style="mso-fit-shape-to-text:t;">
                  <w:txbxContent>
                    <w:p w14:paraId="04E72E2A">
                      <w:pPr>
                        <w:keepNext w:val="0"/>
                        <w:keepLines w:val="0"/>
                        <w:pageBreakBefore w:val="0"/>
                        <w:widowControl w:val="0"/>
                        <w:kinsoku/>
                        <w:wordWrap/>
                        <w:overflowPunct/>
                        <w:topLinePunct w:val="0"/>
                        <w:bidi w:val="0"/>
                        <w:adjustRightInd/>
                        <w:snapToGrid/>
                        <w:spacing w:line="240" w:lineRule="auto"/>
                        <w:textAlignment w:val="auto"/>
                        <w:rPr>
                          <w:rFonts w:hint="eastAsia" w:ascii="Times New Roman" w:hAnsi="Times New Roman" w:eastAsia="宋体" w:cs="Times New Roman"/>
                          <w:b w:val="0"/>
                          <w:bCs w:val="0"/>
                          <w:sz w:val="21"/>
                          <w:szCs w:val="21"/>
                          <w:highlight w:val="lightGray"/>
                          <w:lang w:val="en-US" w:eastAsia="zh-CN"/>
                        </w:rPr>
                      </w:pPr>
                      <w:r>
                        <w:rPr>
                          <w:rFonts w:hint="eastAsia" w:ascii="Times New Roman" w:hAnsi="Times New Roman" w:eastAsia="宋体" w:cs="Times New Roman"/>
                          <w:b w:val="0"/>
                          <w:bCs w:val="0"/>
                          <w:sz w:val="21"/>
                          <w:szCs w:val="21"/>
                          <w:highlight w:val="lightGray"/>
                          <w:lang w:val="en-US" w:eastAsia="zh-CN"/>
                        </w:rPr>
                        <w:t>空地</w:t>
                      </w:r>
                    </w:p>
                  </w:txbxContent>
                </v:textbox>
              </v:shape>
            </w:pict>
          </mc:Fallback>
        </mc:AlternateContent>
      </w:r>
      <w:r>
        <w:rPr>
          <w:rFonts w:ascii="Times New Roman" w:hAnsi="Times New Roman" w:eastAsia="宋体" w:cs="Times New Roman"/>
          <w:color w:val="auto"/>
          <w:kern w:val="0"/>
          <w:sz w:val="18"/>
          <w:szCs w:val="20"/>
          <w:highlight w:val="none"/>
          <w:lang w:val="en-US" w:eastAsia="zh-CN" w:bidi="ar-SA"/>
        </w:rPr>
        <mc:AlternateContent>
          <mc:Choice Requires="wps">
            <w:drawing>
              <wp:anchor distT="0" distB="0" distL="114300" distR="114300" simplePos="0" relativeHeight="251732992" behindDoc="0" locked="0" layoutInCell="1" allowOverlap="1">
                <wp:simplePos x="0" y="0"/>
                <wp:positionH relativeFrom="column">
                  <wp:posOffset>3254375</wp:posOffset>
                </wp:positionH>
                <wp:positionV relativeFrom="paragraph">
                  <wp:posOffset>227965</wp:posOffset>
                </wp:positionV>
                <wp:extent cx="2378710" cy="2263775"/>
                <wp:effectExtent l="4445" t="4445" r="17145" b="17780"/>
                <wp:wrapNone/>
                <wp:docPr id="66" name="任意多边形 146"/>
                <wp:cNvGraphicFramePr/>
                <a:graphic xmlns:a="http://schemas.openxmlformats.org/drawingml/2006/main">
                  <a:graphicData uri="http://schemas.microsoft.com/office/word/2010/wordprocessingShape">
                    <wps:wsp>
                      <wps:cNvSpPr/>
                      <wps:spPr>
                        <a:xfrm>
                          <a:off x="0" y="0"/>
                          <a:ext cx="2378710" cy="2263775"/>
                        </a:xfrm>
                        <a:custGeom>
                          <a:avLst/>
                          <a:gdLst/>
                          <a:ahLst/>
                          <a:cxnLst/>
                          <a:pathLst>
                            <a:path w="3854" h="3565">
                              <a:moveTo>
                                <a:pt x="0" y="33"/>
                              </a:moveTo>
                              <a:lnTo>
                                <a:pt x="2677" y="0"/>
                              </a:lnTo>
                              <a:lnTo>
                                <a:pt x="3854" y="1361"/>
                              </a:lnTo>
                              <a:lnTo>
                                <a:pt x="3497" y="2341"/>
                              </a:lnTo>
                              <a:lnTo>
                                <a:pt x="3300" y="2076"/>
                              </a:lnTo>
                              <a:lnTo>
                                <a:pt x="1177" y="2123"/>
                              </a:lnTo>
                              <a:lnTo>
                                <a:pt x="1200" y="3565"/>
                              </a:lnTo>
                              <a:lnTo>
                                <a:pt x="35" y="3368"/>
                              </a:lnTo>
                              <a:lnTo>
                                <a:pt x="0" y="33"/>
                              </a:lnTo>
                              <a:close/>
                            </a:path>
                          </a:pathLst>
                        </a:custGeom>
                        <a:noFill/>
                        <a:ln w="9525" cap="flat" cmpd="sng">
                          <a:solidFill>
                            <a:srgbClr val="000000"/>
                          </a:solidFill>
                          <a:prstDash val="solid"/>
                          <a:headEnd type="none" w="med" len="med"/>
                          <a:tailEnd type="none" w="med" len="med"/>
                        </a:ln>
                      </wps:spPr>
                      <wps:bodyPr vert="horz" wrap="square" anchor="t" anchorCtr="0" upright="1"/>
                    </wps:wsp>
                  </a:graphicData>
                </a:graphic>
              </wp:anchor>
            </w:drawing>
          </mc:Choice>
          <mc:Fallback>
            <w:pict>
              <v:shape id="任意多边形 146" o:spid="_x0000_s1026" o:spt="100" style="position:absolute;left:0pt;margin-left:256.25pt;margin-top:17.95pt;height:178.25pt;width:187.3pt;z-index:251732992;mso-width-relative:page;mso-height-relative:page;" filled="f" stroked="t" coordsize="3854,3565" o:gfxdata="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" path="m0,33l2677,0,3854,1361,3497,2341,3300,2076,1177,2123,1200,3565,35,3368,0,33xe">
                <v:fill on="f" focussize="0,0"/>
                <v:stroke color="#000000" joinstyle="round"/>
                <v:imagedata o:title=""/>
                <o:lock v:ext="edit" aspectratio="f"/>
              </v:shape>
            </w:pict>
          </mc:Fallback>
        </mc:AlternateContent>
      </w:r>
      <w:r>
        <w:rPr>
          <w:rFonts w:ascii="Times New Roman" w:hAnsi="Times New Roman" w:eastAsia="宋体" w:cs="Times New Roman"/>
          <w:color w:val="auto"/>
          <w:kern w:val="0"/>
          <w:sz w:val="18"/>
          <w:szCs w:val="20"/>
          <w:highlight w:val="none"/>
          <w:lang w:val="en-US" w:eastAsia="zh-CN" w:bidi="ar-SA"/>
        </w:rPr>
        <mc:AlternateContent>
          <mc:Choice Requires="wps">
            <w:drawing>
              <wp:anchor distT="0" distB="0" distL="114300" distR="114300" simplePos="0" relativeHeight="251731968" behindDoc="0" locked="0" layoutInCell="1" allowOverlap="1">
                <wp:simplePos x="0" y="0"/>
                <wp:positionH relativeFrom="column">
                  <wp:posOffset>4082415</wp:posOffset>
                </wp:positionH>
                <wp:positionV relativeFrom="paragraph">
                  <wp:posOffset>1612900</wp:posOffset>
                </wp:positionV>
                <wp:extent cx="1311910" cy="1031875"/>
                <wp:effectExtent l="9525" t="9525" r="12065" b="25400"/>
                <wp:wrapNone/>
                <wp:docPr id="65" name="任意多边形 145"/>
                <wp:cNvGraphicFramePr/>
                <a:graphic xmlns:a="http://schemas.openxmlformats.org/drawingml/2006/main">
                  <a:graphicData uri="http://schemas.microsoft.com/office/word/2010/wordprocessingShape">
                    <wps:wsp>
                      <wps:cNvSpPr/>
                      <wps:spPr>
                        <a:xfrm>
                          <a:off x="0" y="0"/>
                          <a:ext cx="1311910" cy="1031875"/>
                        </a:xfrm>
                        <a:custGeom>
                          <a:avLst/>
                          <a:gdLst/>
                          <a:ahLst/>
                          <a:cxnLst/>
                          <a:pathLst>
                            <a:path w="2066" h="1625">
                              <a:moveTo>
                                <a:pt x="0" y="1407"/>
                              </a:moveTo>
                              <a:lnTo>
                                <a:pt x="1696" y="1625"/>
                              </a:lnTo>
                              <a:lnTo>
                                <a:pt x="2066" y="195"/>
                              </a:lnTo>
                              <a:lnTo>
                                <a:pt x="1927" y="0"/>
                              </a:lnTo>
                              <a:lnTo>
                                <a:pt x="70" y="22"/>
                              </a:lnTo>
                              <a:lnTo>
                                <a:pt x="0" y="1407"/>
                              </a:lnTo>
                              <a:close/>
                            </a:path>
                          </a:pathLst>
                        </a:custGeom>
                        <a:noFill/>
                        <a:ln w="19050" cap="flat" cmpd="sng">
                          <a:solidFill>
                            <a:srgbClr val="FF0000"/>
                          </a:solidFill>
                          <a:prstDash val="solid"/>
                          <a:headEnd type="none" w="med" len="med"/>
                          <a:tailEnd type="none" w="med" len="med"/>
                        </a:ln>
                      </wps:spPr>
                      <wps:bodyPr vert="horz" wrap="square" anchor="t" anchorCtr="0" upright="1"/>
                    </wps:wsp>
                  </a:graphicData>
                </a:graphic>
              </wp:anchor>
            </w:drawing>
          </mc:Choice>
          <mc:Fallback>
            <w:pict>
              <v:shape id="任意多边形 145" o:spid="_x0000_s1026" o:spt="100" style="position:absolute;left:0pt;margin-left:321.45pt;margin-top:127pt;height:81.25pt;width:103.3pt;z-index:251731968;mso-width-relative:page;mso-height-relative:page;" filled="f" stroked="t" coordsize="2066,1625" o:gfxdata="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N004J/b&#10;AAAACwEAAA8AAAAAAAAAAQAgAAAAIgAAAGRycy9kb3ducmV2LnhtbFBLAQIUABQAAAAIAIdO4kDN&#10;FtXZjwIAAHUFAAAOAAAAAAAAAAEAIAAAACoBAABkcnMvZTJvRG9jLnhtbFBLBQYAAAAABgAGAFkB&#10;AAArBgAAAAA=&#10;" path="m0,1407l1696,1625,2066,195,1927,0,70,22,0,1407xe">
                <v:fill on="f" focussize="0,0"/>
                <v:stroke weight="1.5pt" color="#FF0000" joinstyle="round"/>
                <v:imagedata o:title=""/>
                <o:lock v:ext="edit" aspectratio="f"/>
              </v:shape>
            </w:pict>
          </mc:Fallback>
        </mc:AlternateContent>
      </w:r>
      <w:r>
        <w:rPr>
          <w:rFonts w:ascii="Times New Roman" w:hAnsi="Times New Roman" w:eastAsia="宋体" w:cs="Times New Roman"/>
          <w:color w:val="auto"/>
          <w:kern w:val="0"/>
          <w:sz w:val="18"/>
          <w:szCs w:val="20"/>
          <w:highlight w:val="none"/>
          <w:lang w:val="en-US" w:eastAsia="zh-CN" w:bidi="ar-SA"/>
        </w:rPr>
        <w:drawing>
          <wp:anchor distT="0" distB="0" distL="114300" distR="114300" simplePos="0" relativeHeight="251691008" behindDoc="0" locked="0" layoutInCell="1" allowOverlap="1">
            <wp:simplePos x="0" y="0"/>
            <wp:positionH relativeFrom="column">
              <wp:posOffset>19685</wp:posOffset>
            </wp:positionH>
            <wp:positionV relativeFrom="paragraph">
              <wp:posOffset>117475</wp:posOffset>
            </wp:positionV>
            <wp:extent cx="1076325" cy="1009015"/>
            <wp:effectExtent l="0" t="0" r="9525" b="635"/>
            <wp:wrapNone/>
            <wp:docPr id="36" name="图片 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886"/>
                    <pic:cNvPicPr>
                      <a:picLocks noChangeAspect="1"/>
                    </pic:cNvPicPr>
                  </pic:nvPicPr>
                  <pic:blipFill>
                    <a:blip r:embed="rId60"/>
                    <a:stretch>
                      <a:fillRect/>
                    </a:stretch>
                  </pic:blipFill>
                  <pic:spPr>
                    <a:xfrm>
                      <a:off x="0" y="0"/>
                      <a:ext cx="1076325" cy="1009015"/>
                    </a:xfrm>
                    <a:prstGeom prst="rect">
                      <a:avLst/>
                    </a:prstGeom>
                    <a:noFill/>
                    <a:ln>
                      <a:noFill/>
                    </a:ln>
                  </pic:spPr>
                </pic:pic>
              </a:graphicData>
            </a:graphic>
          </wp:anchor>
        </w:drawing>
      </w:r>
      <w:r>
        <w:rPr>
          <w:rFonts w:ascii="宋体" w:hAnsi="Times New Roman" w:eastAsia="宋体" w:cs="Times New Roman"/>
          <w:b/>
          <w:bCs/>
          <w:color w:val="auto"/>
          <w:kern w:val="2"/>
          <w:sz w:val="32"/>
          <w:szCs w:val="32"/>
          <w:highlight w:val="none"/>
          <w:lang w:val="en-US" w:eastAsia="zh-CN" w:bidi="ar-SA"/>
        </w:rPr>
        <mc:AlternateContent>
          <mc:Choice Requires="wps">
            <w:drawing>
              <wp:anchor distT="0" distB="0" distL="114300" distR="114300" simplePos="0" relativeHeight="251722752" behindDoc="0" locked="0" layoutInCell="1" allowOverlap="1">
                <wp:simplePos x="0" y="0"/>
                <wp:positionH relativeFrom="column">
                  <wp:posOffset>4133850</wp:posOffset>
                </wp:positionH>
                <wp:positionV relativeFrom="paragraph">
                  <wp:posOffset>5144135</wp:posOffset>
                </wp:positionV>
                <wp:extent cx="1044575" cy="527050"/>
                <wp:effectExtent l="0" t="0" r="0" b="0"/>
                <wp:wrapNone/>
                <wp:docPr id="254" name="文本框 254"/>
                <wp:cNvGraphicFramePr/>
                <a:graphic xmlns:a="http://schemas.openxmlformats.org/drawingml/2006/main">
                  <a:graphicData uri="http://schemas.microsoft.com/office/word/2010/wordprocessingShape">
                    <wps:wsp>
                      <wps:cNvSpPr txBox="1"/>
                      <wps:spPr>
                        <a:xfrm>
                          <a:off x="0" y="0"/>
                          <a:ext cx="1044575" cy="527050"/>
                        </a:xfrm>
                        <a:prstGeom prst="rect">
                          <a:avLst/>
                        </a:prstGeom>
                        <a:noFill/>
                        <a:ln w="6350">
                          <a:noFill/>
                        </a:ln>
                        <a:effectLst/>
                      </wps:spPr>
                      <wps:txbx>
                        <w:txbxContent>
                          <w:p w14:paraId="50AC1B08">
                            <w:pPr>
                              <w:keepNext w:val="0"/>
                              <w:keepLines w:val="0"/>
                              <w:pageBreakBefore w:val="0"/>
                              <w:widowControl w:val="0"/>
                              <w:kinsoku/>
                              <w:wordWrap/>
                              <w:overflowPunct/>
                              <w:topLinePunct w:val="0"/>
                              <w:bidi w:val="0"/>
                              <w:adjustRightInd/>
                              <w:snapToGrid/>
                              <w:spacing w:line="240" w:lineRule="auto"/>
                              <w:textAlignment w:val="auto"/>
                              <w:rPr>
                                <w:rFonts w:hint="eastAsia" w:ascii="Times New Roman" w:hAnsi="Times New Roman" w:eastAsia="宋体" w:cs="Times New Roman"/>
                                <w:sz w:val="21"/>
                                <w:szCs w:val="21"/>
                                <w:highlight w:val="lightGray"/>
                              </w:rPr>
                            </w:pPr>
                            <w:r>
                              <w:rPr>
                                <w:rFonts w:hint="eastAsia" w:ascii="Times New Roman" w:hAnsi="Times New Roman" w:eastAsia="宋体" w:cs="Times New Roman"/>
                                <w:sz w:val="21"/>
                                <w:szCs w:val="21"/>
                                <w:highlight w:val="lightGray"/>
                              </w:rPr>
                              <w:t>冠荣科技(韶关)有限公司</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25.5pt;margin-top:405.05pt;height:41.5pt;width:82.25pt;z-index:251722752;mso-width-relative:page;mso-height-relative:page;" filled="f" stroked="f" coordsize="21600,21600" o:gfxdata="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miUFKdwAAAALAQAADwAAAAAA&#10;AAABACAAAAAiAAAAZHJzL2Rvd25yZXYueG1sUEsBAhQAFAAAAAgAh07iQATh8E5IAgAAhAQAAA4A&#10;AAAAAAAAAQAgAAAAKwEAAGRycy9lMm9Eb2MueG1sUEsFBgAAAAAGAAYAWQEAAOUFAAAAAA==&#10;">
                <v:fill on="f" focussize="0,0"/>
                <v:stroke on="f" weight="0.5pt"/>
                <v:imagedata o:title=""/>
                <o:lock v:ext="edit" aspectratio="f"/>
                <v:textbox>
                  <w:txbxContent>
                    <w:p w14:paraId="50AC1B08">
                      <w:pPr>
                        <w:keepNext w:val="0"/>
                        <w:keepLines w:val="0"/>
                        <w:pageBreakBefore w:val="0"/>
                        <w:widowControl w:val="0"/>
                        <w:kinsoku/>
                        <w:wordWrap/>
                        <w:overflowPunct/>
                        <w:topLinePunct w:val="0"/>
                        <w:bidi w:val="0"/>
                        <w:adjustRightInd/>
                        <w:snapToGrid/>
                        <w:spacing w:line="240" w:lineRule="auto"/>
                        <w:textAlignment w:val="auto"/>
                        <w:rPr>
                          <w:rFonts w:hint="eastAsia" w:ascii="Times New Roman" w:hAnsi="Times New Roman" w:eastAsia="宋体" w:cs="Times New Roman"/>
                          <w:sz w:val="21"/>
                          <w:szCs w:val="21"/>
                          <w:highlight w:val="lightGray"/>
                        </w:rPr>
                      </w:pPr>
                      <w:r>
                        <w:rPr>
                          <w:rFonts w:hint="eastAsia" w:ascii="Times New Roman" w:hAnsi="Times New Roman" w:eastAsia="宋体" w:cs="Times New Roman"/>
                          <w:sz w:val="21"/>
                          <w:szCs w:val="21"/>
                          <w:highlight w:val="lightGray"/>
                        </w:rPr>
                        <w:t>冠荣科技(韶关)有限公司</w:t>
                      </w:r>
                    </w:p>
                  </w:txbxContent>
                </v:textbox>
              </v:shape>
            </w:pict>
          </mc:Fallback>
        </mc:AlternateContent>
      </w:r>
      <w:r>
        <w:rPr>
          <w:rFonts w:ascii="宋体" w:hAnsi="Times New Roman" w:eastAsia="宋体" w:cs="Times New Roman"/>
          <w:b/>
          <w:bCs/>
          <w:color w:val="auto"/>
          <w:kern w:val="2"/>
          <w:sz w:val="32"/>
          <w:szCs w:val="32"/>
          <w:highlight w:val="none"/>
          <w:lang w:val="en-US" w:eastAsia="zh-CN" w:bidi="ar-SA"/>
        </w:rPr>
        <mc:AlternateContent>
          <mc:Choice Requires="wps">
            <w:drawing>
              <wp:anchor distT="0" distB="0" distL="114300" distR="114300" simplePos="0" relativeHeight="251728896" behindDoc="0" locked="0" layoutInCell="1" allowOverlap="1">
                <wp:simplePos x="0" y="0"/>
                <wp:positionH relativeFrom="column">
                  <wp:posOffset>1729105</wp:posOffset>
                </wp:positionH>
                <wp:positionV relativeFrom="paragraph">
                  <wp:posOffset>3715385</wp:posOffset>
                </wp:positionV>
                <wp:extent cx="1240790" cy="633095"/>
                <wp:effectExtent l="0" t="0" r="0" b="0"/>
                <wp:wrapNone/>
                <wp:docPr id="266" name="文本框 266"/>
                <wp:cNvGraphicFramePr/>
                <a:graphic xmlns:a="http://schemas.openxmlformats.org/drawingml/2006/main">
                  <a:graphicData uri="http://schemas.microsoft.com/office/word/2010/wordprocessingShape">
                    <wps:wsp>
                      <wps:cNvSpPr txBox="1"/>
                      <wps:spPr>
                        <a:xfrm>
                          <a:off x="0" y="0"/>
                          <a:ext cx="1240790" cy="633095"/>
                        </a:xfrm>
                        <a:prstGeom prst="rect">
                          <a:avLst/>
                        </a:prstGeom>
                        <a:noFill/>
                        <a:ln w="6350">
                          <a:noFill/>
                        </a:ln>
                        <a:effectLst/>
                      </wps:spPr>
                      <wps:txbx>
                        <w:txbxContent>
                          <w:p w14:paraId="028088D8">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仿宋_GB2312" w:hAnsi="Times New Roman" w:eastAsia="仿宋_GB2312" w:cs="Times New Roman"/>
                                <w:b w:val="0"/>
                                <w:bCs w:val="0"/>
                                <w:color w:val="auto"/>
                                <w:sz w:val="21"/>
                                <w:szCs w:val="21"/>
                                <w:highlight w:val="lightGray"/>
                                <w:u w:val="none"/>
                                <w:lang w:val="en-US" w:eastAsia="zh-CN"/>
                              </w:rPr>
                            </w:pPr>
                            <w:r>
                              <w:rPr>
                                <w:rFonts w:hint="eastAsia" w:ascii="仿宋_GB2312" w:hAnsi="Times New Roman" w:eastAsia="仿宋_GB2312" w:cs="Times New Roman"/>
                                <w:b w:val="0"/>
                                <w:bCs w:val="0"/>
                                <w:color w:val="auto"/>
                                <w:sz w:val="21"/>
                                <w:szCs w:val="21"/>
                                <w:highlight w:val="lightGray"/>
                                <w:u w:val="none"/>
                                <w:lang w:val="en-US" w:eastAsia="zh-CN"/>
                              </w:rPr>
                              <w:t>广东骏维新材料科技有限公司</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36.15pt;margin-top:292.55pt;height:49.85pt;width:97.7pt;z-index:251728896;mso-width-relative:page;mso-height-relative:page;" filled="f" stroked="f" coordsize="21600,21600" o:gfxdata="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NNxHq3QAAAAsBAAAPAAAA&#10;AAAAAAEAIAAAACIAAABkcnMvZG93bnJldi54bWxQSwECFAAUAAAACACHTuJAxY1xFEkCAACEBAAA&#10;DgAAAAAAAAABACAAAAAsAQAAZHJzL2Uyb0RvYy54bWxQSwUGAAAAAAYABgBZAQAA5wUAAAAA&#10;">
                <v:fill on="f" focussize="0,0"/>
                <v:stroke on="f" weight="0.5pt"/>
                <v:imagedata o:title=""/>
                <o:lock v:ext="edit" aspectratio="f"/>
                <v:textbox>
                  <w:txbxContent>
                    <w:p w14:paraId="028088D8">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仿宋_GB2312" w:hAnsi="Times New Roman" w:eastAsia="仿宋_GB2312" w:cs="Times New Roman"/>
                          <w:b w:val="0"/>
                          <w:bCs w:val="0"/>
                          <w:color w:val="auto"/>
                          <w:sz w:val="21"/>
                          <w:szCs w:val="21"/>
                          <w:highlight w:val="lightGray"/>
                          <w:u w:val="none"/>
                          <w:lang w:val="en-US" w:eastAsia="zh-CN"/>
                        </w:rPr>
                      </w:pPr>
                      <w:r>
                        <w:rPr>
                          <w:rFonts w:hint="eastAsia" w:ascii="仿宋_GB2312" w:hAnsi="Times New Roman" w:eastAsia="仿宋_GB2312" w:cs="Times New Roman"/>
                          <w:b w:val="0"/>
                          <w:bCs w:val="0"/>
                          <w:color w:val="auto"/>
                          <w:sz w:val="21"/>
                          <w:szCs w:val="21"/>
                          <w:highlight w:val="lightGray"/>
                          <w:u w:val="none"/>
                          <w:lang w:val="en-US" w:eastAsia="zh-CN"/>
                        </w:rPr>
                        <w:t>广东骏维新材料科技有限公司</w:t>
                      </w:r>
                    </w:p>
                  </w:txbxContent>
                </v:textbox>
              </v:shape>
            </w:pict>
          </mc:Fallback>
        </mc:AlternateContent>
      </w:r>
      <w:r>
        <w:rPr>
          <w:rFonts w:ascii="宋体" w:hAnsi="Times New Roman" w:eastAsia="宋体" w:cs="Times New Roman"/>
          <w:b/>
          <w:bCs/>
          <w:color w:val="auto"/>
          <w:kern w:val="2"/>
          <w:sz w:val="32"/>
          <w:szCs w:val="32"/>
          <w:highlight w:val="none"/>
          <w:lang w:val="en-US" w:eastAsia="zh-CN" w:bidi="ar-SA"/>
        </w:rPr>
        <mc:AlternateContent>
          <mc:Choice Requires="wps">
            <w:drawing>
              <wp:anchor distT="0" distB="0" distL="114300" distR="114300" simplePos="0" relativeHeight="251727872" behindDoc="0" locked="0" layoutInCell="1" allowOverlap="1">
                <wp:simplePos x="0" y="0"/>
                <wp:positionH relativeFrom="column">
                  <wp:posOffset>1687830</wp:posOffset>
                </wp:positionH>
                <wp:positionV relativeFrom="paragraph">
                  <wp:posOffset>3390265</wp:posOffset>
                </wp:positionV>
                <wp:extent cx="1405255" cy="1282700"/>
                <wp:effectExtent l="6350" t="6350" r="17145" b="25400"/>
                <wp:wrapNone/>
                <wp:docPr id="265" name="任意多边形 265"/>
                <wp:cNvGraphicFramePr/>
                <a:graphic xmlns:a="http://schemas.openxmlformats.org/drawingml/2006/main">
                  <a:graphicData uri="http://schemas.microsoft.com/office/word/2010/wordprocessingShape">
                    <wps:wsp>
                      <wps:cNvSpPr/>
                      <wps:spPr>
                        <a:xfrm>
                          <a:off x="2587625" y="4290060"/>
                          <a:ext cx="1405255" cy="1282700"/>
                        </a:xfrm>
                        <a:custGeom>
                          <a:avLst/>
                          <a:gdLst>
                            <a:gd name="connisteX0" fmla="*/ 37465 w 1405255"/>
                            <a:gd name="connsiteY0" fmla="*/ 1273175 h 1282700"/>
                            <a:gd name="connisteX1" fmla="*/ 1376680 w 1405255"/>
                            <a:gd name="connsiteY1" fmla="*/ 1000125 h 1282700"/>
                            <a:gd name="connisteX2" fmla="*/ 1405255 w 1405255"/>
                            <a:gd name="connsiteY2" fmla="*/ 0 h 1282700"/>
                            <a:gd name="connisteX3" fmla="*/ 9525 w 1405255"/>
                            <a:gd name="connsiteY3" fmla="*/ 9525 h 1282700"/>
                            <a:gd name="connisteX4" fmla="*/ 0 w 1405255"/>
                            <a:gd name="connsiteY4" fmla="*/ 1282700 h 1282700"/>
                            <a:gd name="connisteX5" fmla="*/ 37465 w 1405255"/>
                            <a:gd name="connsiteY5" fmla="*/ 1273175 h 128270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w="1405255" h="1282700">
                              <a:moveTo>
                                <a:pt x="37465" y="1273175"/>
                              </a:moveTo>
                              <a:lnTo>
                                <a:pt x="1376680" y="1000125"/>
                              </a:lnTo>
                              <a:lnTo>
                                <a:pt x="1405255" y="0"/>
                              </a:lnTo>
                              <a:lnTo>
                                <a:pt x="9525" y="9525"/>
                              </a:lnTo>
                              <a:lnTo>
                                <a:pt x="0" y="1282700"/>
                              </a:lnTo>
                              <a:lnTo>
                                <a:pt x="37465" y="1273175"/>
                              </a:lnTo>
                              <a:close/>
                            </a:path>
                          </a:pathLst>
                        </a:custGeom>
                        <a:noFill/>
                        <a:ln w="12700" cap="flat" cmpd="sng" algn="ctr">
                          <a:solidFill>
                            <a:sysClr val="windowText" lastClr="000000"/>
                          </a:solidFill>
                          <a:prstDash val="solid"/>
                          <a:miter lim="800000"/>
                        </a:ln>
                        <a:effectLst/>
                      </wps:spPr>
                      <wps:bodyPr vert="horz" wrap="square" anchor="t" anchorCtr="0"/>
                    </wps:wsp>
                  </a:graphicData>
                </a:graphic>
              </wp:anchor>
            </w:drawing>
          </mc:Choice>
          <mc:Fallback>
            <w:pict>
              <v:shape id="_x0000_s1026" o:spid="_x0000_s1026" o:spt="100" style="position:absolute;left:0pt;margin-left:132.9pt;margin-top:266.95pt;height:101pt;width:110.65pt;z-index:251727872;mso-width-relative:page;mso-height-relative:page;" filled="f" stroked="t" coordsize="1405255,1282700" o:gfxdata="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" path="m37465,1273175l1376680,1000125,1405255,0,9525,9525,0,1282700,37465,1273175xe">
                <v:path o:connectlocs="37465,1273175;1376680,1000125;1405255,0;9525,9525;0,1282700;37465,1273175" o:connectangles="0,0,0,0,0,0"/>
                <v:fill on="f" focussize="0,0"/>
                <v:stroke weight="1pt" color="#000000" miterlimit="8" joinstyle="miter"/>
                <v:imagedata o:title=""/>
                <o:lock v:ext="edit" aspectratio="f"/>
              </v:shape>
            </w:pict>
          </mc:Fallback>
        </mc:AlternateContent>
      </w:r>
      <w:r>
        <w:rPr>
          <w:rFonts w:ascii="宋体" w:hAnsi="Times New Roman" w:eastAsia="宋体" w:cs="Times New Roman"/>
          <w:b/>
          <w:bCs/>
          <w:color w:val="auto"/>
          <w:kern w:val="2"/>
          <w:sz w:val="32"/>
          <w:szCs w:val="32"/>
          <w:highlight w:val="none"/>
          <w:lang w:val="en-US" w:eastAsia="zh-CN" w:bidi="ar-SA"/>
        </w:rPr>
        <mc:AlternateContent>
          <mc:Choice Requires="wps">
            <w:drawing>
              <wp:anchor distT="0" distB="0" distL="114300" distR="114300" simplePos="0" relativeHeight="251718656" behindDoc="0" locked="0" layoutInCell="1" allowOverlap="1">
                <wp:simplePos x="0" y="0"/>
                <wp:positionH relativeFrom="column">
                  <wp:posOffset>3811270</wp:posOffset>
                </wp:positionH>
                <wp:positionV relativeFrom="paragraph">
                  <wp:posOffset>3288030</wp:posOffset>
                </wp:positionV>
                <wp:extent cx="709295" cy="914400"/>
                <wp:effectExtent l="0" t="0" r="0" b="0"/>
                <wp:wrapNone/>
                <wp:docPr id="234" name="文本框 234"/>
                <wp:cNvGraphicFramePr/>
                <a:graphic xmlns:a="http://schemas.openxmlformats.org/drawingml/2006/main">
                  <a:graphicData uri="http://schemas.microsoft.com/office/word/2010/wordprocessingShape">
                    <wps:wsp>
                      <wps:cNvSpPr txBox="1"/>
                      <wps:spPr>
                        <a:xfrm>
                          <a:off x="0" y="0"/>
                          <a:ext cx="709295" cy="914400"/>
                        </a:xfrm>
                        <a:prstGeom prst="rect">
                          <a:avLst/>
                        </a:prstGeom>
                        <a:noFill/>
                        <a:ln w="6350">
                          <a:noFill/>
                        </a:ln>
                        <a:effectLst/>
                      </wps:spPr>
                      <wps:txbx>
                        <w:txbxContent>
                          <w:p w14:paraId="57501CB9">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b w:val="0"/>
                                <w:bCs w:val="0"/>
                                <w:sz w:val="21"/>
                                <w:szCs w:val="21"/>
                                <w:highlight w:val="lightGray"/>
                                <w:lang w:val="en-US" w:eastAsia="zh-CN"/>
                              </w:rPr>
                            </w:pPr>
                            <w:r>
                              <w:rPr>
                                <w:rFonts w:hint="eastAsia" w:ascii="Times New Roman" w:hAnsi="Times New Roman" w:eastAsia="宋体" w:cs="Times New Roman"/>
                                <w:b w:val="0"/>
                                <w:bCs w:val="0"/>
                                <w:sz w:val="21"/>
                                <w:szCs w:val="21"/>
                                <w:highlight w:val="lightGray"/>
                                <w:lang w:val="en-US" w:eastAsia="zh-CN"/>
                              </w:rPr>
                              <w:t>空地</w:t>
                            </w:r>
                          </w:p>
                        </w:txbxContent>
                      </wps:txbx>
                      <wps:bodyPr rot="0" spcFirstLastPara="0" vertOverflow="overflow" horzOverflow="overflow" vert="horz" wrap="square" lIns="91440" tIns="45720" rIns="91440" bIns="4572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00.1pt;margin-top:258.9pt;height:72pt;width:55.85pt;z-index:251718656;mso-width-relative:page;mso-height-relative:page;" filled="f" stroked="f" coordsize="21600,21600" o:gfxdata="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AtmZB9YAAAALAQAADwAAAAAAAAAB&#10;ACAAAAAiAAAAZHJzL2Rvd25yZXYueG1sUEsBAhQAFAAAAAgAh07iQMgqxuJLAgAAgwQAAA4AAAAA&#10;AAAAAQAgAAAAJQEAAGRycy9lMm9Eb2MueG1sUEsFBgAAAAAGAAYAWQEAAOIFAAAAAA==&#10;">
                <v:fill on="f" focussize="0,0"/>
                <v:stroke on="f" weight="0.5pt"/>
                <v:imagedata o:title=""/>
                <o:lock v:ext="edit" aspectratio="f"/>
                <v:textbox style="mso-fit-shape-to-text:t;">
                  <w:txbxContent>
                    <w:p w14:paraId="57501CB9">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b w:val="0"/>
                          <w:bCs w:val="0"/>
                          <w:sz w:val="21"/>
                          <w:szCs w:val="21"/>
                          <w:highlight w:val="lightGray"/>
                          <w:lang w:val="en-US" w:eastAsia="zh-CN"/>
                        </w:rPr>
                      </w:pPr>
                      <w:r>
                        <w:rPr>
                          <w:rFonts w:hint="eastAsia" w:ascii="Times New Roman" w:hAnsi="Times New Roman" w:eastAsia="宋体" w:cs="Times New Roman"/>
                          <w:b w:val="0"/>
                          <w:bCs w:val="0"/>
                          <w:sz w:val="21"/>
                          <w:szCs w:val="21"/>
                          <w:highlight w:val="lightGray"/>
                          <w:lang w:val="en-US" w:eastAsia="zh-CN"/>
                        </w:rPr>
                        <w:t>空地</w:t>
                      </w:r>
                    </w:p>
                  </w:txbxContent>
                </v:textbox>
              </v:shape>
            </w:pict>
          </mc:Fallback>
        </mc:AlternateContent>
      </w:r>
      <w:r>
        <w:rPr>
          <w:rFonts w:ascii="宋体" w:hAnsi="Times New Roman" w:eastAsia="宋体" w:cs="Times New Roman"/>
          <w:b/>
          <w:bCs/>
          <w:color w:val="auto"/>
          <w:kern w:val="2"/>
          <w:sz w:val="32"/>
          <w:szCs w:val="32"/>
          <w:highlight w:val="none"/>
          <w:lang w:val="en-US" w:eastAsia="zh-CN" w:bidi="ar-SA"/>
        </w:rPr>
        <mc:AlternateContent>
          <mc:Choice Requires="wps">
            <w:drawing>
              <wp:anchor distT="0" distB="0" distL="114300" distR="114300" simplePos="0" relativeHeight="251726848" behindDoc="0" locked="0" layoutInCell="1" allowOverlap="1">
                <wp:simplePos x="0" y="0"/>
                <wp:positionH relativeFrom="column">
                  <wp:posOffset>940435</wp:posOffset>
                </wp:positionH>
                <wp:positionV relativeFrom="paragraph">
                  <wp:posOffset>4934585</wp:posOffset>
                </wp:positionV>
                <wp:extent cx="1890395" cy="416560"/>
                <wp:effectExtent l="0" t="0" r="0" b="0"/>
                <wp:wrapNone/>
                <wp:docPr id="264" name="文本框 264"/>
                <wp:cNvGraphicFramePr/>
                <a:graphic xmlns:a="http://schemas.openxmlformats.org/drawingml/2006/main">
                  <a:graphicData uri="http://schemas.microsoft.com/office/word/2010/wordprocessingShape">
                    <wps:wsp>
                      <wps:cNvSpPr txBox="1"/>
                      <wps:spPr>
                        <a:xfrm rot="21000000">
                          <a:off x="0" y="0"/>
                          <a:ext cx="1890395" cy="416560"/>
                        </a:xfrm>
                        <a:prstGeom prst="rect">
                          <a:avLst/>
                        </a:prstGeom>
                        <a:noFill/>
                        <a:ln w="6350">
                          <a:noFill/>
                        </a:ln>
                        <a:effectLst/>
                      </wps:spPr>
                      <wps:txbx>
                        <w:txbxContent>
                          <w:p w14:paraId="3845D7CC">
                            <w:pPr>
                              <w:spacing w:line="360" w:lineRule="auto"/>
                              <w:rPr>
                                <w:rFonts w:ascii="Times New Roman" w:hAnsi="Times New Roman" w:eastAsia="宋体" w:cs="Times New Roman"/>
                                <w:sz w:val="24"/>
                              </w:rPr>
                            </w:pPr>
                            <w:r>
                              <w:rPr>
                                <w:rFonts w:hint="eastAsia" w:ascii="仿宋_GB2312" w:hAnsi="Times New Roman" w:eastAsia="仿宋_GB2312" w:cs="Times New Roman"/>
                                <w:b w:val="0"/>
                                <w:bCs w:val="0"/>
                                <w:color w:val="auto"/>
                                <w:sz w:val="21"/>
                                <w:szCs w:val="21"/>
                                <w:highlight w:val="lightGray"/>
                                <w:u w:val="none"/>
                                <w:lang w:val="en-US" w:eastAsia="zh-CN"/>
                              </w:rPr>
                              <w:t>美伦建材（韶关）有限公司</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74.05pt;margin-top:388.55pt;height:32.8pt;width:148.85pt;rotation:-655360f;z-index:251726848;mso-width-relative:page;mso-height-relative:page;" filled="f" stroked="f" coordsize="21600,21600" o:gfxdata="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Veke+2QAAAAsB&#10;AAAPAAAAAAAAAAEAIAAAACIAAABkcnMvZG93bnJldi54bWxQSwECFAAUAAAACACHTuJAB2h1XFMC&#10;AACTBAAADgAAAAAAAAABACAAAAAoAQAAZHJzL2Uyb0RvYy54bWxQSwUGAAAAAAYABgBZAQAA7QUA&#10;AAAA&#10;">
                <v:fill on="f" focussize="0,0"/>
                <v:stroke on="f" weight="0.5pt"/>
                <v:imagedata o:title=""/>
                <o:lock v:ext="edit" aspectratio="f"/>
                <v:textbox>
                  <w:txbxContent>
                    <w:p w14:paraId="3845D7CC">
                      <w:pPr>
                        <w:spacing w:line="360" w:lineRule="auto"/>
                        <w:rPr>
                          <w:rFonts w:ascii="Times New Roman" w:hAnsi="Times New Roman" w:eastAsia="宋体" w:cs="Times New Roman"/>
                          <w:sz w:val="24"/>
                        </w:rPr>
                      </w:pPr>
                      <w:r>
                        <w:rPr>
                          <w:rFonts w:hint="eastAsia" w:ascii="仿宋_GB2312" w:hAnsi="Times New Roman" w:eastAsia="仿宋_GB2312" w:cs="Times New Roman"/>
                          <w:b w:val="0"/>
                          <w:bCs w:val="0"/>
                          <w:color w:val="auto"/>
                          <w:sz w:val="21"/>
                          <w:szCs w:val="21"/>
                          <w:highlight w:val="lightGray"/>
                          <w:u w:val="none"/>
                          <w:lang w:val="en-US" w:eastAsia="zh-CN"/>
                        </w:rPr>
                        <w:t>美伦建材（韶关）有限公司</w:t>
                      </w:r>
                    </w:p>
                  </w:txbxContent>
                </v:textbox>
              </v:shape>
            </w:pict>
          </mc:Fallback>
        </mc:AlternateContent>
      </w:r>
      <w:r>
        <w:rPr>
          <w:rFonts w:ascii="宋体" w:hAnsi="Times New Roman" w:eastAsia="宋体" w:cs="Times New Roman"/>
          <w:b/>
          <w:bCs/>
          <w:color w:val="auto"/>
          <w:kern w:val="2"/>
          <w:sz w:val="32"/>
          <w:szCs w:val="32"/>
          <w:highlight w:val="none"/>
          <w:lang w:val="en-US" w:eastAsia="zh-CN" w:bidi="ar-SA"/>
        </w:rPr>
        <mc:AlternateContent>
          <mc:Choice Requires="wps">
            <w:drawing>
              <wp:anchor distT="0" distB="0" distL="114300" distR="114300" simplePos="0" relativeHeight="251725824" behindDoc="0" locked="0" layoutInCell="1" allowOverlap="1">
                <wp:simplePos x="0" y="0"/>
                <wp:positionH relativeFrom="column">
                  <wp:posOffset>636905</wp:posOffset>
                </wp:positionH>
                <wp:positionV relativeFrom="paragraph">
                  <wp:posOffset>4910455</wp:posOffset>
                </wp:positionV>
                <wp:extent cx="2411730" cy="446405"/>
                <wp:effectExtent l="27940" t="213360" r="36830" b="216535"/>
                <wp:wrapNone/>
                <wp:docPr id="263" name="矩形 263"/>
                <wp:cNvGraphicFramePr/>
                <a:graphic xmlns:a="http://schemas.openxmlformats.org/drawingml/2006/main">
                  <a:graphicData uri="http://schemas.microsoft.com/office/word/2010/wordprocessingShape">
                    <wps:wsp>
                      <wps:cNvSpPr/>
                      <wps:spPr>
                        <a:xfrm rot="21000000">
                          <a:off x="1536700" y="5810250"/>
                          <a:ext cx="2411730" cy="44640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0.15pt;margin-top:386.65pt;height:35.15pt;width:189.9pt;rotation:-655360f;z-index:251725824;v-text-anchor:middle;mso-width-relative:page;mso-height-relative:page;" filled="f" stroked="t" coordsize="21600,21600" o:gfxdata="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ScENi2QAA&#10;AAsBAAAPAAAAAAAAAAEAIAAAACIAAABkcnMvZG93bnJldi54bWxQSwECFAAUAAAACACHTuJAZ5Kz&#10;/I8CAAAMBQAADgAAAAAAAAABACAAAAAoAQAAZHJzL2Uyb0RvYy54bWxQSwUGAAAAAAYABgBZAQAA&#10;KQYAAAAA&#10;">
                <v:fill on="f" focussize="0,0"/>
                <v:stroke weight="1pt" color="#000000" miterlimit="8" joinstyle="miter"/>
                <v:imagedata o:title=""/>
                <o:lock v:ext="edit" aspectratio="f"/>
              </v:rect>
            </w:pict>
          </mc:Fallback>
        </mc:AlternateContent>
      </w:r>
      <w:r>
        <w:rPr>
          <w:rFonts w:ascii="宋体" w:hAnsi="Times New Roman" w:eastAsia="宋体" w:cs="Times New Roman"/>
          <w:b/>
          <w:bCs/>
          <w:color w:val="auto"/>
          <w:kern w:val="2"/>
          <w:sz w:val="32"/>
          <w:szCs w:val="32"/>
          <w:highlight w:val="none"/>
          <w:lang w:val="en-US" w:eastAsia="zh-CN" w:bidi="ar-SA"/>
        </w:rPr>
        <mc:AlternateContent>
          <mc:Choice Requires="wps">
            <w:drawing>
              <wp:anchor distT="0" distB="0" distL="114300" distR="114300" simplePos="0" relativeHeight="251724800" behindDoc="0" locked="0" layoutInCell="1" allowOverlap="1">
                <wp:simplePos x="0" y="0"/>
                <wp:positionH relativeFrom="column">
                  <wp:posOffset>1485265</wp:posOffset>
                </wp:positionH>
                <wp:positionV relativeFrom="paragraph">
                  <wp:posOffset>5536565</wp:posOffset>
                </wp:positionV>
                <wp:extent cx="1576070" cy="401320"/>
                <wp:effectExtent l="0" t="0" r="0" b="0"/>
                <wp:wrapNone/>
                <wp:docPr id="262" name="文本框 262"/>
                <wp:cNvGraphicFramePr/>
                <a:graphic xmlns:a="http://schemas.openxmlformats.org/drawingml/2006/main">
                  <a:graphicData uri="http://schemas.microsoft.com/office/word/2010/wordprocessingShape">
                    <wps:wsp>
                      <wps:cNvSpPr txBox="1"/>
                      <wps:spPr>
                        <a:xfrm rot="21420000">
                          <a:off x="0" y="0"/>
                          <a:ext cx="1576070" cy="401320"/>
                        </a:xfrm>
                        <a:prstGeom prst="rect">
                          <a:avLst/>
                        </a:prstGeom>
                        <a:noFill/>
                        <a:ln w="6350">
                          <a:noFill/>
                        </a:ln>
                        <a:effectLst/>
                      </wps:spPr>
                      <wps:txbx>
                        <w:txbxContent>
                          <w:p w14:paraId="2008EB62">
                            <w:pPr>
                              <w:spacing w:line="360" w:lineRule="auto"/>
                              <w:rPr>
                                <w:rFonts w:hint="eastAsia" w:ascii="Times New Roman" w:hAnsi="Times New Roman" w:eastAsia="宋体" w:cs="Times New Roman"/>
                                <w:sz w:val="24"/>
                              </w:rPr>
                            </w:pPr>
                            <w:r>
                              <w:rPr>
                                <w:rFonts w:hint="eastAsia" w:ascii="Times New Roman" w:hAnsi="Times New Roman" w:eastAsia="宋体" w:cs="Times New Roman"/>
                                <w:sz w:val="21"/>
                                <w:szCs w:val="21"/>
                                <w:highlight w:val="lightGray"/>
                              </w:rPr>
                              <w:t>广东拓美产业园</w:t>
                            </w:r>
                          </w:p>
                          <w:p w14:paraId="37EAF479">
                            <w:pPr>
                              <w:spacing w:line="360" w:lineRule="auto"/>
                              <w:rPr>
                                <w:rFonts w:ascii="Times New Roman" w:hAnsi="Times New Roman" w:eastAsia="宋体" w:cs="Times New Roman"/>
                                <w:sz w:val="24"/>
                              </w:rPr>
                            </w:pP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16.95pt;margin-top:435.95pt;height:31.6pt;width:124.1pt;rotation:-196608f;z-index:251724800;mso-width-relative:page;mso-height-relative:page;" filled="f" stroked="f" coordsize="21600,21600" o:gfxdata="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EpHMwjbAAAA&#10;CwEAAA8AAAAAAAAAAQAgAAAAIgAAAGRycy9kb3ducmV2LnhtbFBLAQIUABQAAAAIAIdO4kBTzMFC&#10;UwIAAJMEAAAOAAAAAAAAAAEAIAAAACoBAABkcnMvZTJvRG9jLnhtbFBLBQYAAAAABgAGAFkBAADv&#10;BQAAAAA=&#10;">
                <v:fill on="f" focussize="0,0"/>
                <v:stroke on="f" weight="0.5pt"/>
                <v:imagedata o:title=""/>
                <o:lock v:ext="edit" aspectratio="f"/>
                <v:textbox>
                  <w:txbxContent>
                    <w:p w14:paraId="2008EB62">
                      <w:pPr>
                        <w:spacing w:line="360" w:lineRule="auto"/>
                        <w:rPr>
                          <w:rFonts w:hint="eastAsia" w:ascii="Times New Roman" w:hAnsi="Times New Roman" w:eastAsia="宋体" w:cs="Times New Roman"/>
                          <w:sz w:val="24"/>
                        </w:rPr>
                      </w:pPr>
                      <w:r>
                        <w:rPr>
                          <w:rFonts w:hint="eastAsia" w:ascii="Times New Roman" w:hAnsi="Times New Roman" w:eastAsia="宋体" w:cs="Times New Roman"/>
                          <w:sz w:val="21"/>
                          <w:szCs w:val="21"/>
                          <w:highlight w:val="lightGray"/>
                        </w:rPr>
                        <w:t>广东拓美产业园</w:t>
                      </w:r>
                    </w:p>
                    <w:p w14:paraId="37EAF479">
                      <w:pPr>
                        <w:spacing w:line="360" w:lineRule="auto"/>
                        <w:rPr>
                          <w:rFonts w:ascii="Times New Roman" w:hAnsi="Times New Roman" w:eastAsia="宋体" w:cs="Times New Roman"/>
                          <w:sz w:val="24"/>
                        </w:rPr>
                      </w:pPr>
                    </w:p>
                  </w:txbxContent>
                </v:textbox>
              </v:shape>
            </w:pict>
          </mc:Fallback>
        </mc:AlternateContent>
      </w:r>
      <w:r>
        <w:rPr>
          <w:rFonts w:ascii="宋体" w:hAnsi="Times New Roman" w:eastAsia="宋体" w:cs="Times New Roman"/>
          <w:b/>
          <w:bCs/>
          <w:color w:val="auto"/>
          <w:kern w:val="2"/>
          <w:sz w:val="32"/>
          <w:szCs w:val="32"/>
          <w:highlight w:val="none"/>
          <w:lang w:val="en-US" w:eastAsia="zh-CN" w:bidi="ar-SA"/>
        </w:rPr>
        <mc:AlternateContent>
          <mc:Choice Requires="wps">
            <w:drawing>
              <wp:anchor distT="0" distB="0" distL="114300" distR="114300" simplePos="0" relativeHeight="251723776" behindDoc="0" locked="0" layoutInCell="1" allowOverlap="1">
                <wp:simplePos x="0" y="0"/>
                <wp:positionH relativeFrom="column">
                  <wp:posOffset>1005840</wp:posOffset>
                </wp:positionH>
                <wp:positionV relativeFrom="paragraph">
                  <wp:posOffset>5450840</wp:posOffset>
                </wp:positionV>
                <wp:extent cx="2051050" cy="549275"/>
                <wp:effectExtent l="6350" t="6985" r="19050" b="15240"/>
                <wp:wrapNone/>
                <wp:docPr id="261" name="任意多边形 261"/>
                <wp:cNvGraphicFramePr/>
                <a:graphic xmlns:a="http://schemas.openxmlformats.org/drawingml/2006/main">
                  <a:graphicData uri="http://schemas.microsoft.com/office/word/2010/wordprocessingShape">
                    <wps:wsp>
                      <wps:cNvSpPr/>
                      <wps:spPr>
                        <a:xfrm>
                          <a:off x="1905635" y="6350635"/>
                          <a:ext cx="2051050" cy="549275"/>
                        </a:xfrm>
                        <a:custGeom>
                          <a:avLst/>
                          <a:gdLst>
                            <a:gd name="connisteX0" fmla="*/ 8890 w 2051050"/>
                            <a:gd name="connsiteY0" fmla="*/ 179705 h 549275"/>
                            <a:gd name="connisteX1" fmla="*/ 2051050 w 2051050"/>
                            <a:gd name="connsiteY1" fmla="*/ 0 h 549275"/>
                            <a:gd name="connisteX2" fmla="*/ 2051050 w 2051050"/>
                            <a:gd name="connsiteY2" fmla="*/ 360680 h 549275"/>
                            <a:gd name="connisteX3" fmla="*/ 0 w 2051050"/>
                            <a:gd name="connsiteY3" fmla="*/ 549275 h 549275"/>
                            <a:gd name="connisteX4" fmla="*/ 8890 w 2051050"/>
                            <a:gd name="connsiteY4" fmla="*/ 179705 h 54927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2051050" h="549275">
                              <a:moveTo>
                                <a:pt x="8890" y="179705"/>
                              </a:moveTo>
                              <a:lnTo>
                                <a:pt x="2051050" y="0"/>
                              </a:lnTo>
                              <a:lnTo>
                                <a:pt x="2051050" y="360680"/>
                              </a:lnTo>
                              <a:lnTo>
                                <a:pt x="0" y="549275"/>
                              </a:lnTo>
                              <a:lnTo>
                                <a:pt x="8890" y="179705"/>
                              </a:lnTo>
                              <a:close/>
                            </a:path>
                          </a:pathLst>
                        </a:custGeom>
                        <a:noFill/>
                        <a:ln w="12700" cap="flat" cmpd="sng" algn="ctr">
                          <a:solidFill>
                            <a:sysClr val="windowText" lastClr="000000"/>
                          </a:solidFill>
                          <a:prstDash val="solid"/>
                          <a:miter lim="800000"/>
                        </a:ln>
                        <a:effectLst/>
                      </wps:spPr>
                      <wps:bodyPr vert="horz" wrap="square" anchor="t" anchorCtr="0"/>
                    </wps:wsp>
                  </a:graphicData>
                </a:graphic>
              </wp:anchor>
            </w:drawing>
          </mc:Choice>
          <mc:Fallback>
            <w:pict>
              <v:shape id="_x0000_s1026" o:spid="_x0000_s1026" o:spt="100" style="position:absolute;left:0pt;margin-left:79.2pt;margin-top:429.2pt;height:43.25pt;width:161.5pt;z-index:251723776;mso-width-relative:page;mso-height-relative:page;" filled="f" stroked="t" coordsize="2051050,549275" o:gfxdata="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aT5+KtcAAAALAQAADwAAAAAAAAABACAAAAAiAAAAZHJzL2Rvd25yZXYueG1sUEsBAhQAFAAAAAgA&#10;h07iQBRw07JDAwAAsggAAA4AAAAAAAAAAQAgAAAAJgEAAGRycy9lMm9Eb2MueG1sUEsFBgAAAAAG&#10;AAYAWQEAANsGAAAAAA==&#10;" path="m8890,179705l2051050,0,2051050,360680,0,549275,8890,179705xe">
                <v:path o:connectlocs="8890,179705;2051050,0;2051050,360680;0,549275;8890,179705" o:connectangles="0,0,0,0,0"/>
                <v:fill on="f" focussize="0,0"/>
                <v:stroke weight="1pt" color="#000000" miterlimit="8" joinstyle="miter"/>
                <v:imagedata o:title=""/>
                <o:lock v:ext="edit" aspectratio="f"/>
              </v:shape>
            </w:pict>
          </mc:Fallback>
        </mc:AlternateContent>
      </w:r>
      <w:r>
        <w:rPr>
          <w:rFonts w:ascii="宋体" w:hAnsi="Times New Roman" w:eastAsia="宋体" w:cs="Times New Roman"/>
          <w:b/>
          <w:bCs/>
          <w:color w:val="auto"/>
          <w:kern w:val="2"/>
          <w:sz w:val="32"/>
          <w:szCs w:val="32"/>
          <w:highlight w:val="none"/>
          <w:lang w:val="en-US" w:eastAsia="zh-CN" w:bidi="ar-SA"/>
        </w:rPr>
        <mc:AlternateContent>
          <mc:Choice Requires="wps">
            <w:drawing>
              <wp:anchor distT="0" distB="0" distL="114300" distR="114300" simplePos="0" relativeHeight="251717632" behindDoc="0" locked="0" layoutInCell="1" allowOverlap="1">
                <wp:simplePos x="0" y="0"/>
                <wp:positionH relativeFrom="column">
                  <wp:posOffset>3175000</wp:posOffset>
                </wp:positionH>
                <wp:positionV relativeFrom="paragraph">
                  <wp:posOffset>4781550</wp:posOffset>
                </wp:positionV>
                <wp:extent cx="1018540" cy="914400"/>
                <wp:effectExtent l="0" t="0" r="0" b="0"/>
                <wp:wrapNone/>
                <wp:docPr id="220" name="文本框 220"/>
                <wp:cNvGraphicFramePr/>
                <a:graphic xmlns:a="http://schemas.openxmlformats.org/drawingml/2006/main">
                  <a:graphicData uri="http://schemas.microsoft.com/office/word/2010/wordprocessingShape">
                    <wps:wsp>
                      <wps:cNvSpPr txBox="1"/>
                      <wps:spPr>
                        <a:xfrm>
                          <a:off x="4377055" y="5647055"/>
                          <a:ext cx="1018540" cy="914400"/>
                        </a:xfrm>
                        <a:prstGeom prst="rect">
                          <a:avLst/>
                        </a:prstGeom>
                        <a:noFill/>
                        <a:ln w="6350">
                          <a:noFill/>
                        </a:ln>
                        <a:effectLst/>
                      </wps:spPr>
                      <wps:txbx>
                        <w:txbxContent>
                          <w:p w14:paraId="73AF5D97">
                            <w:pPr>
                              <w:keepNext w:val="0"/>
                              <w:keepLines w:val="0"/>
                              <w:pageBreakBefore w:val="0"/>
                              <w:widowControl w:val="0"/>
                              <w:kinsoku/>
                              <w:wordWrap/>
                              <w:overflowPunct/>
                              <w:topLinePunct w:val="0"/>
                              <w:bidi w:val="0"/>
                              <w:adjustRightInd/>
                              <w:snapToGrid/>
                              <w:spacing w:line="240" w:lineRule="auto"/>
                              <w:textAlignment w:val="auto"/>
                              <w:rPr>
                                <w:rFonts w:ascii="Times New Roman" w:hAnsi="Times New Roman" w:eastAsia="宋体" w:cs="Times New Roman"/>
                                <w:b w:val="0"/>
                                <w:bCs w:val="0"/>
                                <w:sz w:val="21"/>
                                <w:szCs w:val="21"/>
                                <w:highlight w:val="lightGray"/>
                              </w:rPr>
                            </w:pPr>
                            <w:r>
                              <w:rPr>
                                <w:rFonts w:hint="eastAsia" w:ascii="Times New Roman" w:hAnsi="Times New Roman" w:eastAsia="宋体" w:cs="Times New Roman"/>
                                <w:b w:val="0"/>
                                <w:bCs w:val="0"/>
                                <w:sz w:val="21"/>
                                <w:szCs w:val="21"/>
                                <w:highlight w:val="lightGray"/>
                              </w:rPr>
                              <w:t>韶关博</w:t>
                            </w:r>
                            <w:r>
                              <w:rPr>
                                <w:rFonts w:hint="eastAsia" w:ascii="Times New Roman" w:hAnsi="Times New Roman" w:eastAsia="宋体" w:cs="Times New Roman"/>
                                <w:b w:val="0"/>
                                <w:bCs w:val="0"/>
                                <w:sz w:val="21"/>
                                <w:szCs w:val="21"/>
                                <w:highlight w:val="lightGray"/>
                                <w:lang w:val="en-US" w:eastAsia="zh-CN"/>
                              </w:rPr>
                              <w:t>鑫</w:t>
                            </w:r>
                            <w:r>
                              <w:rPr>
                                <w:rFonts w:hint="eastAsia" w:ascii="Times New Roman" w:hAnsi="Times New Roman" w:eastAsia="宋体" w:cs="Times New Roman"/>
                                <w:b w:val="0"/>
                                <w:bCs w:val="0"/>
                                <w:sz w:val="21"/>
                                <w:szCs w:val="21"/>
                                <w:highlight w:val="lightGray"/>
                              </w:rPr>
                              <w:t>工程服务有限公司</w:t>
                            </w:r>
                          </w:p>
                        </w:txbxContent>
                      </wps:txbx>
                      <wps:bodyPr rot="0" spcFirstLastPara="0" vertOverflow="overflow" horzOverflow="overflow" vert="horz" wrap="square" lIns="91440" tIns="45720" rIns="91440" bIns="4572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50pt;margin-top:376.5pt;height:72pt;width:80.2pt;z-index:251717632;mso-width-relative:page;mso-height-relative:page;" filled="f" stroked="f" coordsize="21600,21600" o:gfxdata="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9yQKJ2AAAAAsB&#10;AAAPAAAAAAAAAAEAIAAAACIAAABkcnMvZG93bnJldi54bWxQSwECFAAUAAAACACHTuJA7xh4H1QC&#10;AACQBAAADgAAAAAAAAABACAAAAAnAQAAZHJzL2Uyb0RvYy54bWxQSwUGAAAAAAYABgBZAQAA7QUA&#10;AAAA&#10;">
                <v:fill on="f" focussize="0,0"/>
                <v:stroke on="f" weight="0.5pt"/>
                <v:imagedata o:title=""/>
                <o:lock v:ext="edit" aspectratio="f"/>
                <v:textbox style="mso-fit-shape-to-text:t;">
                  <w:txbxContent>
                    <w:p w14:paraId="73AF5D97">
                      <w:pPr>
                        <w:keepNext w:val="0"/>
                        <w:keepLines w:val="0"/>
                        <w:pageBreakBefore w:val="0"/>
                        <w:widowControl w:val="0"/>
                        <w:kinsoku/>
                        <w:wordWrap/>
                        <w:overflowPunct/>
                        <w:topLinePunct w:val="0"/>
                        <w:bidi w:val="0"/>
                        <w:adjustRightInd/>
                        <w:snapToGrid/>
                        <w:spacing w:line="240" w:lineRule="auto"/>
                        <w:textAlignment w:val="auto"/>
                        <w:rPr>
                          <w:rFonts w:ascii="Times New Roman" w:hAnsi="Times New Roman" w:eastAsia="宋体" w:cs="Times New Roman"/>
                          <w:b w:val="0"/>
                          <w:bCs w:val="0"/>
                          <w:sz w:val="21"/>
                          <w:szCs w:val="21"/>
                          <w:highlight w:val="lightGray"/>
                        </w:rPr>
                      </w:pPr>
                      <w:r>
                        <w:rPr>
                          <w:rFonts w:hint="eastAsia" w:ascii="Times New Roman" w:hAnsi="Times New Roman" w:eastAsia="宋体" w:cs="Times New Roman"/>
                          <w:b w:val="0"/>
                          <w:bCs w:val="0"/>
                          <w:sz w:val="21"/>
                          <w:szCs w:val="21"/>
                          <w:highlight w:val="lightGray"/>
                        </w:rPr>
                        <w:t>韶关博</w:t>
                      </w:r>
                      <w:r>
                        <w:rPr>
                          <w:rFonts w:hint="eastAsia" w:ascii="Times New Roman" w:hAnsi="Times New Roman" w:eastAsia="宋体" w:cs="Times New Roman"/>
                          <w:b w:val="0"/>
                          <w:bCs w:val="0"/>
                          <w:sz w:val="21"/>
                          <w:szCs w:val="21"/>
                          <w:highlight w:val="lightGray"/>
                          <w:lang w:val="en-US" w:eastAsia="zh-CN"/>
                        </w:rPr>
                        <w:t>鑫</w:t>
                      </w:r>
                      <w:r>
                        <w:rPr>
                          <w:rFonts w:hint="eastAsia" w:ascii="Times New Roman" w:hAnsi="Times New Roman" w:eastAsia="宋体" w:cs="Times New Roman"/>
                          <w:b w:val="0"/>
                          <w:bCs w:val="0"/>
                          <w:sz w:val="21"/>
                          <w:szCs w:val="21"/>
                          <w:highlight w:val="lightGray"/>
                        </w:rPr>
                        <w:t>工程服务有限公司</w:t>
                      </w:r>
                    </w:p>
                  </w:txbxContent>
                </v:textbox>
              </v:shape>
            </w:pict>
          </mc:Fallback>
        </mc:AlternateContent>
      </w:r>
      <w:r>
        <w:rPr>
          <w:rFonts w:ascii="宋体" w:hAnsi="Times New Roman" w:eastAsia="宋体" w:cs="Times New Roman"/>
          <w:b/>
          <w:bCs/>
          <w:color w:val="auto"/>
          <w:kern w:val="2"/>
          <w:sz w:val="32"/>
          <w:szCs w:val="32"/>
          <w:highlight w:val="none"/>
          <w:lang w:val="en-US" w:eastAsia="zh-CN" w:bidi="ar-SA"/>
        </w:rPr>
        <mc:AlternateContent>
          <mc:Choice Requires="wps">
            <w:drawing>
              <wp:anchor distT="0" distB="0" distL="114300" distR="114300" simplePos="0" relativeHeight="251721728" behindDoc="0" locked="0" layoutInCell="1" allowOverlap="1">
                <wp:simplePos x="0" y="0"/>
                <wp:positionH relativeFrom="column">
                  <wp:posOffset>4215130</wp:posOffset>
                </wp:positionH>
                <wp:positionV relativeFrom="paragraph">
                  <wp:posOffset>5146675</wp:posOffset>
                </wp:positionV>
                <wp:extent cx="746760" cy="498475"/>
                <wp:effectExtent l="6350" t="6350" r="8890" b="9525"/>
                <wp:wrapNone/>
                <wp:docPr id="240" name="任意多边形 240"/>
                <wp:cNvGraphicFramePr/>
                <a:graphic xmlns:a="http://schemas.openxmlformats.org/drawingml/2006/main">
                  <a:graphicData uri="http://schemas.microsoft.com/office/word/2010/wordprocessingShape">
                    <wps:wsp>
                      <wps:cNvSpPr/>
                      <wps:spPr>
                        <a:xfrm>
                          <a:off x="5114925" y="6046470"/>
                          <a:ext cx="746760" cy="498475"/>
                        </a:xfrm>
                        <a:custGeom>
                          <a:avLst/>
                          <a:gdLst>
                            <a:gd name="connisteX0" fmla="*/ 0 w 746760"/>
                            <a:gd name="connsiteY0" fmla="*/ 0 h 498475"/>
                            <a:gd name="connisteX1" fmla="*/ 746760 w 746760"/>
                            <a:gd name="connsiteY1" fmla="*/ 0 h 498475"/>
                            <a:gd name="connisteX2" fmla="*/ 738505 w 746760"/>
                            <a:gd name="connsiteY2" fmla="*/ 438150 h 498475"/>
                            <a:gd name="connisteX3" fmla="*/ 0 w 746760"/>
                            <a:gd name="connsiteY3" fmla="*/ 498475 h 498475"/>
                            <a:gd name="connisteX4" fmla="*/ 0 w 746760"/>
                            <a:gd name="connsiteY4" fmla="*/ 0 h 49847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746760" h="498475">
                              <a:moveTo>
                                <a:pt x="0" y="0"/>
                              </a:moveTo>
                              <a:lnTo>
                                <a:pt x="746760" y="0"/>
                              </a:lnTo>
                              <a:lnTo>
                                <a:pt x="738505" y="438150"/>
                              </a:lnTo>
                              <a:lnTo>
                                <a:pt x="0" y="498475"/>
                              </a:lnTo>
                              <a:lnTo>
                                <a:pt x="0" y="0"/>
                              </a:lnTo>
                              <a:close/>
                            </a:path>
                          </a:pathLst>
                        </a:custGeom>
                        <a:noFill/>
                        <a:ln w="12700" cap="flat" cmpd="sng" algn="ctr">
                          <a:solidFill>
                            <a:sysClr val="windowText" lastClr="000000"/>
                          </a:solidFill>
                          <a:prstDash val="solid"/>
                          <a:miter lim="800000"/>
                        </a:ln>
                        <a:effectLst/>
                      </wps:spPr>
                      <wps:bodyPr vert="horz" wrap="square" anchor="t" anchorCtr="0"/>
                    </wps:wsp>
                  </a:graphicData>
                </a:graphic>
              </wp:anchor>
            </w:drawing>
          </mc:Choice>
          <mc:Fallback>
            <w:pict>
              <v:shape id="_x0000_s1026" o:spid="_x0000_s1026" o:spt="100" style="position:absolute;left:0pt;margin-left:331.9pt;margin-top:405.25pt;height:39.25pt;width:58.8pt;z-index:251721728;mso-width-relative:page;mso-height-relative:page;" filled="f" stroked="t" coordsize="746760,498475" o:gfxdata="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ofkqSNkAAAALAQAADwAAAAAAAAABACAAAAAiAAAAZHJzL2Rvd25yZXYueG1sUEsBAhQAFAAAAAgA&#10;h07iQN1KyRdBAwAAhwgAAA4AAAAAAAAAAQAgAAAAKAEAAGRycy9lMm9Eb2MueG1sUEsFBgAAAAAG&#10;AAYAWQEAANsGAAAAAA==&#10;" path="m0,0l746760,0,738505,438150,0,498475,0,0xe">
                <v:path o:connectlocs="0,0;746760,0;738505,438150;0,498475;0,0" o:connectangles="0,0,0,0,0"/>
                <v:fill on="f" focussize="0,0"/>
                <v:stroke weight="1pt" color="#000000" miterlimit="8" joinstyle="miter"/>
                <v:imagedata o:title=""/>
                <o:lock v:ext="edit" aspectratio="f"/>
              </v:shape>
            </w:pict>
          </mc:Fallback>
        </mc:AlternateContent>
      </w:r>
      <w:r>
        <w:rPr>
          <w:rFonts w:ascii="宋体" w:hAnsi="Times New Roman" w:eastAsia="宋体" w:cs="Times New Roman"/>
          <w:b/>
          <w:bCs/>
          <w:color w:val="auto"/>
          <w:kern w:val="2"/>
          <w:sz w:val="32"/>
          <w:szCs w:val="32"/>
          <w:highlight w:val="none"/>
          <w:lang w:val="en-US" w:eastAsia="zh-CN" w:bidi="ar-SA"/>
        </w:rPr>
        <mc:AlternateContent>
          <mc:Choice Requires="wps">
            <w:drawing>
              <wp:anchor distT="0" distB="0" distL="114300" distR="114300" simplePos="0" relativeHeight="251715584" behindDoc="0" locked="0" layoutInCell="1" allowOverlap="1">
                <wp:simplePos x="0" y="0"/>
                <wp:positionH relativeFrom="column">
                  <wp:posOffset>3211195</wp:posOffset>
                </wp:positionH>
                <wp:positionV relativeFrom="paragraph">
                  <wp:posOffset>4412615</wp:posOffset>
                </wp:positionV>
                <wp:extent cx="961390" cy="1355725"/>
                <wp:effectExtent l="6350" t="6985" r="22860" b="8890"/>
                <wp:wrapNone/>
                <wp:docPr id="214" name="任意多边形 214"/>
                <wp:cNvGraphicFramePr/>
                <a:graphic xmlns:a="http://schemas.openxmlformats.org/drawingml/2006/main">
                  <a:graphicData uri="http://schemas.microsoft.com/office/word/2010/wordprocessingShape">
                    <wps:wsp>
                      <wps:cNvSpPr/>
                      <wps:spPr>
                        <a:xfrm>
                          <a:off x="4110990" y="5312410"/>
                          <a:ext cx="961390" cy="1355725"/>
                        </a:xfrm>
                        <a:custGeom>
                          <a:avLst/>
                          <a:gdLst>
                            <a:gd name="connisteX0" fmla="*/ 17145 w 961390"/>
                            <a:gd name="connsiteY0" fmla="*/ 111125 h 1355725"/>
                            <a:gd name="connisteX1" fmla="*/ 961390 w 961390"/>
                            <a:gd name="connsiteY1" fmla="*/ 0 h 1355725"/>
                            <a:gd name="connisteX2" fmla="*/ 935355 w 961390"/>
                            <a:gd name="connsiteY2" fmla="*/ 1235710 h 1355725"/>
                            <a:gd name="connisteX3" fmla="*/ 0 w 961390"/>
                            <a:gd name="connsiteY3" fmla="*/ 1355725 h 1355725"/>
                            <a:gd name="connisteX4" fmla="*/ 17145 w 961390"/>
                            <a:gd name="connsiteY4" fmla="*/ 111125 h 135572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961390" h="1355725">
                              <a:moveTo>
                                <a:pt x="17145" y="111125"/>
                              </a:moveTo>
                              <a:lnTo>
                                <a:pt x="961390" y="0"/>
                              </a:lnTo>
                              <a:lnTo>
                                <a:pt x="935355" y="1235710"/>
                              </a:lnTo>
                              <a:lnTo>
                                <a:pt x="0" y="1355725"/>
                              </a:lnTo>
                              <a:lnTo>
                                <a:pt x="17145" y="111125"/>
                              </a:lnTo>
                              <a:close/>
                            </a:path>
                          </a:pathLst>
                        </a:custGeom>
                        <a:noFill/>
                        <a:ln w="12700" cap="flat" cmpd="sng" algn="ctr">
                          <a:solidFill>
                            <a:sysClr val="windowText" lastClr="000000"/>
                          </a:solidFill>
                          <a:prstDash val="solid"/>
                          <a:miter lim="800000"/>
                        </a:ln>
                        <a:effectLst/>
                      </wps:spPr>
                      <wps:bodyPr vert="horz" wrap="square" anchor="t" anchorCtr="0"/>
                    </wps:wsp>
                  </a:graphicData>
                </a:graphic>
              </wp:anchor>
            </w:drawing>
          </mc:Choice>
          <mc:Fallback>
            <w:pict>
              <v:shape id="_x0000_s1026" o:spid="_x0000_s1026" o:spt="100" style="position:absolute;left:0pt;margin-left:252.85pt;margin-top:347.45pt;height:106.75pt;width:75.7pt;z-index:251715584;mso-width-relative:page;mso-height-relative:page;" filled="f" stroked="t" coordsize="961390,1355725" o:gfxdata="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" path="m17145,111125l961390,0,935355,1235710,0,1355725,17145,111125xe">
                <v:path o:connectlocs="17145,111125;961390,0;935355,1235710;0,1355725;17145,111125" o:connectangles="0,0,0,0,0"/>
                <v:fill on="f" focussize="0,0"/>
                <v:stroke weight="1pt" color="#000000" miterlimit="8" joinstyle="miter"/>
                <v:imagedata o:title=""/>
                <o:lock v:ext="edit" aspectratio="f"/>
              </v:shape>
            </w:pict>
          </mc:Fallback>
        </mc:AlternateContent>
      </w:r>
      <w:r>
        <w:rPr>
          <w:rFonts w:ascii="宋体" w:hAnsi="Times New Roman" w:eastAsia="宋体" w:cs="Times New Roman"/>
          <w:b/>
          <w:bCs/>
          <w:color w:val="auto"/>
          <w:kern w:val="2"/>
          <w:sz w:val="32"/>
          <w:szCs w:val="32"/>
          <w:highlight w:val="none"/>
          <w:lang w:val="en-US" w:eastAsia="zh-CN" w:bidi="ar-SA"/>
        </w:rPr>
        <mc:AlternateContent>
          <mc:Choice Requires="wps">
            <w:drawing>
              <wp:anchor distT="0" distB="0" distL="114300" distR="114300" simplePos="0" relativeHeight="251714560" behindDoc="0" locked="0" layoutInCell="1" allowOverlap="1">
                <wp:simplePos x="0" y="0"/>
                <wp:positionH relativeFrom="column">
                  <wp:posOffset>3270250</wp:posOffset>
                </wp:positionH>
                <wp:positionV relativeFrom="paragraph">
                  <wp:posOffset>2486025</wp:posOffset>
                </wp:positionV>
                <wp:extent cx="1913255" cy="1882140"/>
                <wp:effectExtent l="6350" t="7620" r="23495" b="15240"/>
                <wp:wrapNone/>
                <wp:docPr id="208" name="任意多边形 208"/>
                <wp:cNvGraphicFramePr/>
                <a:graphic xmlns:a="http://schemas.openxmlformats.org/drawingml/2006/main">
                  <a:graphicData uri="http://schemas.microsoft.com/office/word/2010/wordprocessingShape">
                    <wps:wsp>
                      <wps:cNvSpPr/>
                      <wps:spPr>
                        <a:xfrm>
                          <a:off x="4170045" y="3385820"/>
                          <a:ext cx="1913255" cy="1882140"/>
                        </a:xfrm>
                        <a:custGeom>
                          <a:avLst/>
                          <a:gdLst>
                            <a:gd name="connisteX0" fmla="*/ 0 w 1913255"/>
                            <a:gd name="connsiteY0" fmla="*/ 0 h 1882140"/>
                            <a:gd name="connisteX1" fmla="*/ 1913255 w 1913255"/>
                            <a:gd name="connsiteY1" fmla="*/ 331470 h 1882140"/>
                            <a:gd name="connisteX2" fmla="*/ 1677035 w 1913255"/>
                            <a:gd name="connsiteY2" fmla="*/ 1574800 h 1882140"/>
                            <a:gd name="connisteX3" fmla="*/ 0 w 1913255"/>
                            <a:gd name="connsiteY3" fmla="*/ 1882140 h 1882140"/>
                            <a:gd name="connisteX4" fmla="*/ 0 w 1913255"/>
                            <a:gd name="connsiteY4" fmla="*/ 0 h 188214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1913255" h="1882140">
                              <a:moveTo>
                                <a:pt x="0" y="0"/>
                              </a:moveTo>
                              <a:lnTo>
                                <a:pt x="1913255" y="331470"/>
                              </a:lnTo>
                              <a:lnTo>
                                <a:pt x="1677035" y="1574800"/>
                              </a:lnTo>
                              <a:lnTo>
                                <a:pt x="0" y="1882140"/>
                              </a:lnTo>
                              <a:lnTo>
                                <a:pt x="0" y="0"/>
                              </a:lnTo>
                              <a:close/>
                            </a:path>
                          </a:pathLst>
                        </a:custGeom>
                        <a:noFill/>
                        <a:ln w="12700" cap="flat" cmpd="sng" algn="ctr">
                          <a:solidFill>
                            <a:sysClr val="windowText" lastClr="000000"/>
                          </a:solidFill>
                          <a:prstDash val="solid"/>
                          <a:miter lim="800000"/>
                        </a:ln>
                        <a:effectLst/>
                      </wps:spPr>
                      <wps:bodyPr vert="horz" wrap="square" anchor="t" anchorCtr="0"/>
                    </wps:wsp>
                  </a:graphicData>
                </a:graphic>
              </wp:anchor>
            </w:drawing>
          </mc:Choice>
          <mc:Fallback>
            <w:pict>
              <v:shape id="_x0000_s1026" o:spid="_x0000_s1026" o:spt="100" style="position:absolute;left:0pt;margin-left:257.5pt;margin-top:195.75pt;height:148.2pt;width:150.65pt;z-index:251714560;mso-width-relative:page;mso-height-relative:page;" filled="f" stroked="t" coordsize="1913255,1882140" o:gfxdata="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" path="m0,0l1913255,331470,1677035,1574800,0,1882140,0,0xe">
                <v:path o:connectlocs="0,0;1913255,331470;1677035,1574800;0,1882140;0,0" o:connectangles="0,0,0,0,0"/>
                <v:fill on="f" focussize="0,0"/>
                <v:stroke weight="1pt" color="#000000" miterlimit="8" joinstyle="miter"/>
                <v:imagedata o:title=""/>
                <o:lock v:ext="edit" aspectratio="f"/>
              </v:shape>
            </w:pict>
          </mc:Fallback>
        </mc:AlternateContent>
      </w:r>
      <w:r>
        <w:rPr>
          <w:rFonts w:ascii="宋体" w:hAnsi="Times New Roman" w:eastAsia="宋体" w:cs="Times New Roman"/>
          <w:b/>
          <w:bCs/>
          <w:color w:val="auto"/>
          <w:kern w:val="2"/>
          <w:sz w:val="32"/>
          <w:szCs w:val="32"/>
          <w:highlight w:val="none"/>
          <w:lang w:val="en-US" w:eastAsia="zh-CN" w:bidi="ar-SA"/>
        </w:rPr>
        <w:drawing>
          <wp:inline distT="0" distB="0" distL="114300" distR="114300">
            <wp:extent cx="6000750" cy="6515100"/>
            <wp:effectExtent l="12700" t="12700" r="25400" b="25400"/>
            <wp:docPr id="107" name="图片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577"/>
                    <pic:cNvPicPr>
                      <a:picLocks noChangeAspect="1"/>
                    </pic:cNvPicPr>
                  </pic:nvPicPr>
                  <pic:blipFill>
                    <a:blip r:embed="rId61"/>
                    <a:stretch>
                      <a:fillRect/>
                    </a:stretch>
                  </pic:blipFill>
                  <pic:spPr>
                    <a:xfrm>
                      <a:off x="0" y="0"/>
                      <a:ext cx="6000750" cy="6515100"/>
                    </a:xfrm>
                    <a:prstGeom prst="rect">
                      <a:avLst/>
                    </a:prstGeom>
                    <a:noFill/>
                    <a:ln w="12700" cap="flat" cmpd="sng">
                      <a:solidFill>
                        <a:srgbClr val="000000"/>
                      </a:solidFill>
                      <a:prstDash val="solid"/>
                      <a:round/>
                      <a:headEnd type="none" w="med" len="med"/>
                      <a:tailEnd type="none" w="med" len="med"/>
                    </a:ln>
                  </pic:spPr>
                </pic:pic>
              </a:graphicData>
            </a:graphic>
          </wp:inline>
        </w:drawing>
      </w:r>
    </w:p>
    <w:p w14:paraId="1BC40F1F">
      <w:pPr>
        <w:spacing w:after="0" w:line="240" w:lineRule="auto"/>
        <w:jc w:val="center"/>
        <w:outlineLvl w:val="0"/>
        <w:rPr>
          <w:color w:val="auto"/>
          <w:highlight w:val="none"/>
        </w:rPr>
        <w:sectPr>
          <w:pgSz w:w="11906" w:h="16838"/>
          <w:pgMar w:top="1417" w:right="1134" w:bottom="1559" w:left="1417" w:header="851" w:footer="992" w:gutter="0"/>
          <w:pgBorders>
            <w:top w:val="none" w:sz="0" w:space="0"/>
            <w:left w:val="none" w:sz="0" w:space="0"/>
            <w:bottom w:val="none" w:sz="0" w:space="0"/>
            <w:right w:val="none" w:sz="0" w:space="0"/>
          </w:pgBorders>
          <w:pgNumType w:fmt="decimal"/>
          <w:cols w:space="720" w:num="1"/>
          <w:docGrid w:type="lines" w:linePitch="312" w:charSpace="0"/>
        </w:sectPr>
      </w:pPr>
      <w:bookmarkStart w:id="59" w:name="_Toc17747"/>
      <w:r>
        <w:rPr>
          <w:rFonts w:hint="default" w:ascii="Times New Roman" w:hAnsi="Times New Roman" w:eastAsia="宋体" w:cs="Times New Roman"/>
          <w:b/>
          <w:color w:val="auto"/>
          <w:kern w:val="0"/>
          <w:sz w:val="24"/>
          <w:szCs w:val="20"/>
          <w:highlight w:val="none"/>
          <w:lang w:val="en-US" w:eastAsia="zh-CN" w:bidi="ar-SA"/>
        </w:rPr>
        <w:t>附图2 项目卫星四至及实景图</w:t>
      </w:r>
      <w:bookmarkEnd w:id="59"/>
    </w:p>
    <w:tbl>
      <w:tblPr>
        <w:tblStyle w:val="4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1"/>
        <w:gridCol w:w="6841"/>
      </w:tblGrid>
      <w:tr w14:paraId="775E5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0" w:hRule="atLeast"/>
          <w:jc w:val="center"/>
        </w:trPr>
        <w:tc>
          <w:tcPr>
            <w:tcW w:w="2573" w:type="pct"/>
            <w:noWrap w:val="0"/>
            <w:vAlign w:val="center"/>
          </w:tcPr>
          <w:p w14:paraId="61CA029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center"/>
              <w:textAlignment w:val="auto"/>
              <w:rPr>
                <w:rFonts w:hint="eastAsia" w:ascii="Times New Roman" w:hAnsi="Times New Roman" w:eastAsia="宋体" w:cs="Times New Roman"/>
                <w:b/>
                <w:bCs/>
                <w:color w:val="auto"/>
                <w:kern w:val="2"/>
                <w:sz w:val="21"/>
                <w:szCs w:val="21"/>
                <w:highlight w:val="none"/>
                <w:lang w:val="en-US" w:eastAsia="zh-CN" w:bidi="ar-SA"/>
              </w:rPr>
            </w:pPr>
            <w:bookmarkStart w:id="60" w:name="_Toc30211"/>
            <w:bookmarkStart w:id="61" w:name="_Toc25378"/>
            <w:bookmarkStart w:id="62" w:name="_Toc3905"/>
            <w:r>
              <w:rPr>
                <w:rFonts w:hint="eastAsia" w:ascii="Times New Roman" w:hAnsi="Times New Roman" w:eastAsia="宋体" w:cs="Times New Roman"/>
                <w:b/>
                <w:bCs/>
                <w:color w:val="auto"/>
                <w:kern w:val="2"/>
                <w:sz w:val="21"/>
                <w:szCs w:val="21"/>
                <w:highlight w:val="none"/>
                <w:lang w:val="en-US" w:eastAsia="zh-CN" w:bidi="ar-SA"/>
              </w:rPr>
              <w:drawing>
                <wp:inline distT="0" distB="0" distL="114300" distR="114300">
                  <wp:extent cx="3943985" cy="2567305"/>
                  <wp:effectExtent l="0" t="0" r="18415" b="4445"/>
                  <wp:docPr id="108" name="图片 570" descr="9ce7d48652ceff3ffb645e5d65948a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570" descr="9ce7d48652ceff3ffb645e5d65948a78"/>
                          <pic:cNvPicPr>
                            <a:picLocks noChangeAspect="1"/>
                          </pic:cNvPicPr>
                        </pic:nvPicPr>
                        <pic:blipFill>
                          <a:blip r:embed="rId62"/>
                          <a:stretch>
                            <a:fillRect/>
                          </a:stretch>
                        </pic:blipFill>
                        <pic:spPr>
                          <a:xfrm>
                            <a:off x="0" y="0"/>
                            <a:ext cx="3943985" cy="2567305"/>
                          </a:xfrm>
                          <a:prstGeom prst="rect">
                            <a:avLst/>
                          </a:prstGeom>
                          <a:noFill/>
                          <a:ln>
                            <a:noFill/>
                          </a:ln>
                        </pic:spPr>
                      </pic:pic>
                    </a:graphicData>
                  </a:graphic>
                </wp:inline>
              </w:drawing>
            </w:r>
          </w:p>
        </w:tc>
        <w:tc>
          <w:tcPr>
            <w:tcW w:w="2426" w:type="pct"/>
            <w:noWrap w:val="0"/>
            <w:vAlign w:val="center"/>
          </w:tcPr>
          <w:p w14:paraId="3534DA1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drawing>
                <wp:inline distT="0" distB="0" distL="114300" distR="114300">
                  <wp:extent cx="4218940" cy="2463800"/>
                  <wp:effectExtent l="0" t="0" r="10160" b="12700"/>
                  <wp:docPr id="109" name="图片 574" descr="2bca4e7733fd6a417c7150c5bf4b20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574" descr="2bca4e7733fd6a417c7150c5bf4b203a"/>
                          <pic:cNvPicPr>
                            <a:picLocks noChangeAspect="1"/>
                          </pic:cNvPicPr>
                        </pic:nvPicPr>
                        <pic:blipFill>
                          <a:blip r:embed="rId63"/>
                          <a:srcRect t="28311" b="17552"/>
                          <a:stretch>
                            <a:fillRect/>
                          </a:stretch>
                        </pic:blipFill>
                        <pic:spPr>
                          <a:xfrm>
                            <a:off x="0" y="0"/>
                            <a:ext cx="4218940" cy="2463800"/>
                          </a:xfrm>
                          <a:prstGeom prst="rect">
                            <a:avLst/>
                          </a:prstGeom>
                          <a:noFill/>
                          <a:ln>
                            <a:noFill/>
                          </a:ln>
                        </pic:spPr>
                      </pic:pic>
                    </a:graphicData>
                  </a:graphic>
                </wp:inline>
              </w:drawing>
            </w:r>
          </w:p>
        </w:tc>
      </w:tr>
      <w:tr w14:paraId="116C9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2573" w:type="pct"/>
            <w:noWrap w:val="0"/>
            <w:vAlign w:val="center"/>
          </w:tcPr>
          <w:p w14:paraId="52E4847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项目东面-平整空地</w:t>
            </w:r>
          </w:p>
        </w:tc>
        <w:tc>
          <w:tcPr>
            <w:tcW w:w="2426" w:type="pct"/>
            <w:noWrap w:val="0"/>
            <w:vAlign w:val="center"/>
          </w:tcPr>
          <w:p w14:paraId="6829F24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项目</w:t>
            </w:r>
            <w:r>
              <w:rPr>
                <w:rFonts w:hint="eastAsia" w:ascii="Times New Roman" w:hAnsi="Times New Roman" w:eastAsia="宋体....." w:cs="Times New Roman"/>
                <w:b/>
                <w:bCs/>
                <w:color w:val="auto"/>
                <w:kern w:val="2"/>
                <w:sz w:val="21"/>
                <w:szCs w:val="21"/>
                <w:highlight w:val="none"/>
                <w:lang w:val="en-US" w:eastAsia="zh-CN" w:bidi="ar-SA"/>
              </w:rPr>
              <w:t>南</w:t>
            </w:r>
            <w:r>
              <w:rPr>
                <w:rFonts w:hint="eastAsia" w:ascii="Times New Roman" w:hAnsi="Times New Roman" w:eastAsia="宋体" w:cs="Times New Roman"/>
                <w:b/>
                <w:bCs/>
                <w:color w:val="auto"/>
                <w:kern w:val="2"/>
                <w:sz w:val="21"/>
                <w:szCs w:val="21"/>
                <w:highlight w:val="none"/>
                <w:lang w:val="en-US" w:eastAsia="zh-CN" w:bidi="ar-SA"/>
              </w:rPr>
              <w:t>面</w:t>
            </w:r>
            <w:r>
              <w:rPr>
                <w:rFonts w:hint="eastAsia" w:ascii="Times New Roman" w:hAnsi="Times New Roman" w:eastAsia="宋体....." w:cs="Times New Roman"/>
                <w:b/>
                <w:bCs/>
                <w:color w:val="auto"/>
                <w:kern w:val="2"/>
                <w:sz w:val="21"/>
                <w:szCs w:val="21"/>
                <w:highlight w:val="none"/>
                <w:lang w:val="en-US" w:eastAsia="zh-CN" w:bidi="ar-SA"/>
              </w:rPr>
              <w:t>-平整空地</w:t>
            </w:r>
          </w:p>
        </w:tc>
      </w:tr>
      <w:tr w14:paraId="2FE69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5" w:hRule="atLeast"/>
          <w:jc w:val="center"/>
        </w:trPr>
        <w:tc>
          <w:tcPr>
            <w:tcW w:w="2573" w:type="pct"/>
            <w:noWrap w:val="0"/>
            <w:vAlign w:val="center"/>
          </w:tcPr>
          <w:p w14:paraId="3638801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drawing>
                <wp:inline distT="0" distB="0" distL="114300" distR="114300">
                  <wp:extent cx="4206240" cy="2366010"/>
                  <wp:effectExtent l="0" t="0" r="3810" b="15240"/>
                  <wp:docPr id="110" name="图片 572" descr="f13ab5e261df47048984cbb8a9341c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572" descr="f13ab5e261df47048984cbb8a9341c00"/>
                          <pic:cNvPicPr>
                            <a:picLocks noChangeAspect="1"/>
                          </pic:cNvPicPr>
                        </pic:nvPicPr>
                        <pic:blipFill>
                          <a:blip r:embed="rId64"/>
                          <a:stretch>
                            <a:fillRect/>
                          </a:stretch>
                        </pic:blipFill>
                        <pic:spPr>
                          <a:xfrm>
                            <a:off x="0" y="0"/>
                            <a:ext cx="4206240" cy="2366010"/>
                          </a:xfrm>
                          <a:prstGeom prst="rect">
                            <a:avLst/>
                          </a:prstGeom>
                          <a:noFill/>
                          <a:ln>
                            <a:noFill/>
                          </a:ln>
                        </pic:spPr>
                      </pic:pic>
                    </a:graphicData>
                  </a:graphic>
                </wp:inline>
              </w:drawing>
            </w:r>
          </w:p>
        </w:tc>
        <w:tc>
          <w:tcPr>
            <w:tcW w:w="2426" w:type="pct"/>
            <w:noWrap w:val="0"/>
            <w:vAlign w:val="center"/>
          </w:tcPr>
          <w:p w14:paraId="593B8C3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drawing>
                <wp:inline distT="0" distB="0" distL="114300" distR="114300">
                  <wp:extent cx="4169410" cy="2345690"/>
                  <wp:effectExtent l="0" t="0" r="2540" b="16510"/>
                  <wp:docPr id="111" name="图片 573" descr="291db2fb075068544c979d838cbe60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573" descr="291db2fb075068544c979d838cbe609c"/>
                          <pic:cNvPicPr>
                            <a:picLocks noChangeAspect="1"/>
                          </pic:cNvPicPr>
                        </pic:nvPicPr>
                        <pic:blipFill>
                          <a:blip r:embed="rId65"/>
                          <a:stretch>
                            <a:fillRect/>
                          </a:stretch>
                        </pic:blipFill>
                        <pic:spPr>
                          <a:xfrm>
                            <a:off x="0" y="0"/>
                            <a:ext cx="4169410" cy="2345690"/>
                          </a:xfrm>
                          <a:prstGeom prst="rect">
                            <a:avLst/>
                          </a:prstGeom>
                          <a:noFill/>
                          <a:ln>
                            <a:noFill/>
                          </a:ln>
                        </pic:spPr>
                      </pic:pic>
                    </a:graphicData>
                  </a:graphic>
                </wp:inline>
              </w:drawing>
            </w:r>
          </w:p>
        </w:tc>
      </w:tr>
      <w:tr w14:paraId="71D04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2573" w:type="pct"/>
            <w:noWrap w:val="0"/>
            <w:vAlign w:val="center"/>
          </w:tcPr>
          <w:p w14:paraId="0306A80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项目西面-平整空地</w:t>
            </w:r>
          </w:p>
        </w:tc>
        <w:tc>
          <w:tcPr>
            <w:tcW w:w="2426" w:type="pct"/>
            <w:noWrap w:val="0"/>
            <w:vAlign w:val="center"/>
          </w:tcPr>
          <w:p w14:paraId="610F608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项目北面-平整空地</w:t>
            </w:r>
          </w:p>
        </w:tc>
      </w:tr>
    </w:tbl>
    <w:p w14:paraId="37274632">
      <w:pPr>
        <w:keepNext w:val="0"/>
        <w:keepLines w:val="0"/>
        <w:pageBreakBefore w:val="0"/>
        <w:widowControl w:val="0"/>
        <w:kinsoku w:val="0"/>
        <w:wordWrap/>
        <w:overflowPunct w:val="0"/>
        <w:topLinePunct w:val="0"/>
        <w:autoSpaceDE/>
        <w:autoSpaceDN/>
        <w:bidi w:val="0"/>
        <w:adjustRightInd w:val="0"/>
        <w:snapToGrid w:val="0"/>
        <w:spacing w:line="120" w:lineRule="exact"/>
        <w:ind w:firstLine="422" w:firstLineChars="200"/>
        <w:jc w:val="center"/>
        <w:textAlignment w:val="auto"/>
        <w:outlineLvl w:val="9"/>
        <w:rPr>
          <w:b/>
          <w:bCs/>
          <w:color w:val="auto"/>
          <w:sz w:val="21"/>
          <w:szCs w:val="21"/>
          <w:highlight w:val="none"/>
        </w:rPr>
      </w:pPr>
      <w:bookmarkStart w:id="63" w:name="_Toc30362"/>
      <w:bookmarkStart w:id="64" w:name="_Toc28856"/>
      <w:bookmarkStart w:id="65" w:name="_Toc20038"/>
      <w:bookmarkStart w:id="66" w:name="_Toc24195"/>
    </w:p>
    <w:p w14:paraId="729DE53B">
      <w:pPr>
        <w:kinsoku w:val="0"/>
        <w:overflowPunct w:val="0"/>
        <w:adjustRightInd w:val="0"/>
        <w:snapToGrid w:val="0"/>
        <w:spacing w:line="360" w:lineRule="auto"/>
        <w:ind w:firstLine="422" w:firstLineChars="200"/>
        <w:jc w:val="center"/>
        <w:outlineLvl w:val="0"/>
        <w:rPr>
          <w:b/>
          <w:bCs/>
          <w:color w:val="auto"/>
          <w:sz w:val="21"/>
          <w:szCs w:val="21"/>
          <w:highlight w:val="none"/>
        </w:rPr>
      </w:pPr>
      <w:bookmarkStart w:id="67" w:name="_Toc31743"/>
      <w:bookmarkStart w:id="68" w:name="_Toc28683"/>
      <w:bookmarkStart w:id="69" w:name="_Toc2303"/>
      <w:r>
        <w:rPr>
          <w:b/>
          <w:bCs/>
          <w:color w:val="auto"/>
          <w:sz w:val="21"/>
          <w:szCs w:val="21"/>
          <w:highlight w:val="none"/>
        </w:rPr>
        <w:t>附图</w:t>
      </w:r>
      <w:r>
        <w:rPr>
          <w:rFonts w:hint="eastAsia" w:ascii="Times New Roman" w:eastAsia="宋体"/>
          <w:b/>
          <w:bCs/>
          <w:color w:val="auto"/>
          <w:sz w:val="21"/>
          <w:szCs w:val="21"/>
          <w:highlight w:val="none"/>
          <w:lang w:val="en-US" w:eastAsia="zh-CN"/>
        </w:rPr>
        <w:t>3</w:t>
      </w:r>
      <w:r>
        <w:rPr>
          <w:b/>
          <w:bCs/>
          <w:color w:val="auto"/>
          <w:sz w:val="21"/>
          <w:szCs w:val="21"/>
          <w:highlight w:val="none"/>
        </w:rPr>
        <w:t xml:space="preserve"> </w:t>
      </w:r>
      <w:r>
        <w:rPr>
          <w:rFonts w:hint="eastAsia" w:ascii="Times New Roman" w:eastAsia="宋体"/>
          <w:b/>
          <w:bCs/>
          <w:color w:val="auto"/>
          <w:sz w:val="21"/>
          <w:szCs w:val="21"/>
          <w:highlight w:val="none"/>
          <w:lang w:val="en-US" w:eastAsia="zh-CN"/>
        </w:rPr>
        <w:t>项目</w:t>
      </w:r>
      <w:r>
        <w:rPr>
          <w:b/>
          <w:bCs/>
          <w:color w:val="auto"/>
          <w:sz w:val="21"/>
          <w:szCs w:val="21"/>
          <w:highlight w:val="none"/>
        </w:rPr>
        <w:t>周边现状</w:t>
      </w:r>
      <w:r>
        <w:rPr>
          <w:rFonts w:hint="eastAsia"/>
          <w:b/>
          <w:bCs/>
          <w:color w:val="auto"/>
          <w:sz w:val="21"/>
          <w:szCs w:val="21"/>
          <w:highlight w:val="none"/>
        </w:rPr>
        <w:t>图</w:t>
      </w:r>
      <w:bookmarkEnd w:id="63"/>
      <w:bookmarkEnd w:id="64"/>
      <w:bookmarkEnd w:id="65"/>
      <w:bookmarkEnd w:id="66"/>
      <w:bookmarkEnd w:id="67"/>
      <w:bookmarkEnd w:id="68"/>
      <w:bookmarkEnd w:id="69"/>
    </w:p>
    <w:p w14:paraId="5796AC16">
      <w:pPr>
        <w:jc w:val="center"/>
        <w:outlineLvl w:val="0"/>
        <w:rPr>
          <w:rFonts w:hint="default" w:ascii="Times New Roman" w:hAnsi="Times New Roman" w:cs="Times New Roman"/>
          <w:b/>
          <w:bCs/>
          <w:color w:val="auto"/>
          <w:sz w:val="24"/>
          <w:highlight w:val="none"/>
        </w:rPr>
        <w:sectPr>
          <w:pgSz w:w="16838" w:h="11906" w:orient="landscape"/>
          <w:pgMar w:top="1247" w:right="1701" w:bottom="1304" w:left="1701" w:header="850" w:footer="992" w:gutter="340"/>
          <w:pgBorders>
            <w:top w:val="none" w:sz="0" w:space="0"/>
            <w:left w:val="none" w:sz="0" w:space="0"/>
            <w:bottom w:val="none" w:sz="0" w:space="0"/>
            <w:right w:val="none" w:sz="0" w:space="0"/>
          </w:pgBorders>
          <w:pgNumType w:fmt="decimal"/>
          <w:cols w:space="720" w:num="1"/>
          <w:docGrid w:type="lines" w:linePitch="412" w:charSpace="0"/>
        </w:sectPr>
      </w:pPr>
    </w:p>
    <w:p w14:paraId="7F789645">
      <w:pPr>
        <w:jc w:val="center"/>
        <w:outlineLvl w:val="9"/>
        <w:rPr>
          <w:color w:val="auto"/>
          <w:highlight w:val="none"/>
        </w:rPr>
      </w:pPr>
      <w:bookmarkStart w:id="70" w:name="_Toc25813"/>
      <w:r>
        <w:rPr>
          <w:sz w:val="18"/>
        </w:rPr>
        <mc:AlternateContent>
          <mc:Choice Requires="wps">
            <w:drawing>
              <wp:anchor distT="0" distB="0" distL="114300" distR="114300" simplePos="0" relativeHeight="251687936" behindDoc="0" locked="0" layoutInCell="1" allowOverlap="1">
                <wp:simplePos x="0" y="0"/>
                <wp:positionH relativeFrom="column">
                  <wp:posOffset>4048760</wp:posOffset>
                </wp:positionH>
                <wp:positionV relativeFrom="paragraph">
                  <wp:posOffset>3050540</wp:posOffset>
                </wp:positionV>
                <wp:extent cx="114300" cy="121920"/>
                <wp:effectExtent l="4445" t="4445" r="14605" b="6985"/>
                <wp:wrapNone/>
                <wp:docPr id="31" name="椭圆 1879"/>
                <wp:cNvGraphicFramePr/>
                <a:graphic xmlns:a="http://schemas.openxmlformats.org/drawingml/2006/main">
                  <a:graphicData uri="http://schemas.microsoft.com/office/word/2010/wordprocessingShape">
                    <wps:wsp>
                      <wps:cNvSpPr/>
                      <wps:spPr>
                        <a:xfrm>
                          <a:off x="5128895" y="3842385"/>
                          <a:ext cx="114300" cy="121920"/>
                        </a:xfrm>
                        <a:prstGeom prst="ellipse">
                          <a:avLst/>
                        </a:prstGeom>
                        <a:solidFill>
                          <a:srgbClr val="00B0F0"/>
                        </a:solidFill>
                        <a:ln w="9525" cap="flat" cmpd="sng">
                          <a:solidFill>
                            <a:srgbClr val="000000"/>
                          </a:solidFill>
                          <a:prstDash val="solid"/>
                          <a:headEnd type="none" w="med" len="med"/>
                          <a:tailEnd type="none" w="med" len="med"/>
                        </a:ln>
                      </wps:spPr>
                      <wps:bodyPr vert="horz" wrap="square" anchor="t" anchorCtr="0" upright="1"/>
                    </wps:wsp>
                  </a:graphicData>
                </a:graphic>
              </wp:anchor>
            </w:drawing>
          </mc:Choice>
          <mc:Fallback>
            <w:pict>
              <v:shape id="椭圆 1879" o:spid="_x0000_s1026" o:spt="3" type="#_x0000_t3" style="position:absolute;left:0pt;margin-left:318.8pt;margin-top:240.2pt;height:9.6pt;width:9pt;z-index:251687936;mso-width-relative:page;mso-height-relative:page;" fillcolor="#00B0F0" filled="t" stroked="t" coordsize="21600,21600" o:gfxdata="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qotTLcAAAACwEAAA8AAAAAAAAAAQAgAAAAIgAAAGRycy9kb3ducmV2LnhtbFBL&#10;AQIUABQAAAAIAIdO4kAmQ7J0KwIAAFkEAAAOAAAAAAAAAAEAIAAAACsBAABkcnMvZTJvRG9jLnht&#10;bFBLBQYAAAAABgAGAFkBAADIBQAAAAA=&#10;">
                <v:fill on="t" focussize="0,0"/>
                <v:stroke color="#000000" joinstyle="round"/>
                <v:imagedata o:title=""/>
                <o:lock v:ext="edit" aspectratio="f"/>
              </v:shape>
            </w:pict>
          </mc:Fallback>
        </mc:AlternateContent>
      </w:r>
      <w:r>
        <w:rPr>
          <w:color w:val="auto"/>
          <w:sz w:val="18"/>
          <w:highlight w:val="none"/>
        </w:rPr>
        <mc:AlternateContent>
          <mc:Choice Requires="wps">
            <w:drawing>
              <wp:anchor distT="0" distB="0" distL="114300" distR="114300" simplePos="0" relativeHeight="251772928" behindDoc="0" locked="0" layoutInCell="1" allowOverlap="1">
                <wp:simplePos x="0" y="0"/>
                <wp:positionH relativeFrom="column">
                  <wp:posOffset>1189990</wp:posOffset>
                </wp:positionH>
                <wp:positionV relativeFrom="paragraph">
                  <wp:posOffset>2759075</wp:posOffset>
                </wp:positionV>
                <wp:extent cx="710565" cy="353060"/>
                <wp:effectExtent l="0" t="0" r="0" b="0"/>
                <wp:wrapNone/>
                <wp:docPr id="276" name="文本框 4"/>
                <wp:cNvGraphicFramePr/>
                <a:graphic xmlns:a="http://schemas.openxmlformats.org/drawingml/2006/main">
                  <a:graphicData uri="http://schemas.microsoft.com/office/word/2010/wordprocessingShape">
                    <wps:wsp>
                      <wps:cNvSpPr txBox="1"/>
                      <wps:spPr>
                        <a:xfrm>
                          <a:off x="0" y="0"/>
                          <a:ext cx="710565" cy="353060"/>
                        </a:xfrm>
                        <a:prstGeom prst="rect">
                          <a:avLst/>
                        </a:prstGeom>
                        <a:noFill/>
                        <a:ln>
                          <a:noFill/>
                        </a:ln>
                      </wps:spPr>
                      <wps:txbx>
                        <w:txbxContent>
                          <w:p w14:paraId="3A3C4EE0">
                            <w:pPr>
                              <w:rPr>
                                <w:rFonts w:hint="default" w:eastAsia="宋体"/>
                                <w:b/>
                                <w:bCs/>
                                <w:highlight w:val="yellow"/>
                                <w:lang w:val="en-US" w:eastAsia="zh-CN"/>
                              </w:rPr>
                            </w:pPr>
                            <w:r>
                              <w:rPr>
                                <w:rFonts w:hint="eastAsia" w:ascii="Times New Roman" w:eastAsia="宋体"/>
                                <w:b/>
                                <w:bCs/>
                                <w:highlight w:val="yellow"/>
                                <w:lang w:val="en-US" w:eastAsia="zh-CN"/>
                              </w:rPr>
                              <w:t>YS001</w:t>
                            </w:r>
                          </w:p>
                        </w:txbxContent>
                      </wps:txbx>
                      <wps:bodyPr vert="horz" wrap="square" anchor="t" anchorCtr="0" upright="1"/>
                    </wps:wsp>
                  </a:graphicData>
                </a:graphic>
              </wp:anchor>
            </w:drawing>
          </mc:Choice>
          <mc:Fallback>
            <w:pict>
              <v:shape id="文本框 4" o:spid="_x0000_s1026" o:spt="202" type="#_x0000_t202" style="position:absolute;left:0pt;margin-left:93.7pt;margin-top:217.25pt;height:27.8pt;width:55.95pt;z-index:251772928;mso-width-relative:page;mso-height-relative:page;" filled="f" stroked="f" coordsize="21600,21600" o:gfxdata="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GgPY+2AAAAAsBAAAPAAAAAAAAAAEAIAAAACIAAABk&#10;cnMvZG93bnJldi54bWxQSwECFAAUAAAACACHTuJAoEw8cs0BAACCAwAADgAAAAAAAAABACAAAAAn&#10;AQAAZHJzL2Uyb0RvYy54bWxQSwUGAAAAAAYABgBZAQAAZgUAAAAA&#10;">
                <v:fill on="f" focussize="0,0"/>
                <v:stroke on="f"/>
                <v:imagedata o:title=""/>
                <o:lock v:ext="edit" aspectratio="f"/>
                <v:textbox>
                  <w:txbxContent>
                    <w:p w14:paraId="3A3C4EE0">
                      <w:pPr>
                        <w:rPr>
                          <w:rFonts w:hint="default" w:eastAsia="宋体"/>
                          <w:b/>
                          <w:bCs/>
                          <w:highlight w:val="yellow"/>
                          <w:lang w:val="en-US" w:eastAsia="zh-CN"/>
                        </w:rPr>
                      </w:pPr>
                      <w:r>
                        <w:rPr>
                          <w:rFonts w:hint="eastAsia" w:ascii="Times New Roman" w:eastAsia="宋体"/>
                          <w:b/>
                          <w:bCs/>
                          <w:highlight w:val="yellow"/>
                          <w:lang w:val="en-US" w:eastAsia="zh-CN"/>
                        </w:rPr>
                        <w:t>YS001</w:t>
                      </w:r>
                    </w:p>
                  </w:txbxContent>
                </v:textbox>
              </v:shape>
            </w:pict>
          </mc:Fallback>
        </mc:AlternateContent>
      </w:r>
      <w:r>
        <w:rPr>
          <w:color w:val="auto"/>
          <w:sz w:val="18"/>
          <w:highlight w:val="none"/>
        </w:rPr>
        <mc:AlternateContent>
          <mc:Choice Requires="wps">
            <w:drawing>
              <wp:anchor distT="0" distB="0" distL="114300" distR="114300" simplePos="0" relativeHeight="251771904" behindDoc="0" locked="0" layoutInCell="1" allowOverlap="1">
                <wp:simplePos x="0" y="0"/>
                <wp:positionH relativeFrom="column">
                  <wp:posOffset>1751965</wp:posOffset>
                </wp:positionH>
                <wp:positionV relativeFrom="paragraph">
                  <wp:posOffset>2978150</wp:posOffset>
                </wp:positionV>
                <wp:extent cx="114300" cy="121920"/>
                <wp:effectExtent l="4445" t="4445" r="14605" b="6985"/>
                <wp:wrapNone/>
                <wp:docPr id="275" name="椭圆 2"/>
                <wp:cNvGraphicFramePr/>
                <a:graphic xmlns:a="http://schemas.openxmlformats.org/drawingml/2006/main">
                  <a:graphicData uri="http://schemas.microsoft.com/office/word/2010/wordprocessingShape">
                    <wps:wsp>
                      <wps:cNvSpPr/>
                      <wps:spPr>
                        <a:xfrm>
                          <a:off x="0" y="0"/>
                          <a:ext cx="114300" cy="121920"/>
                        </a:xfrm>
                        <a:prstGeom prst="ellipse">
                          <a:avLst/>
                        </a:prstGeom>
                        <a:solidFill>
                          <a:srgbClr val="00B050"/>
                        </a:solidFill>
                        <a:ln w="9525" cap="flat" cmpd="sng">
                          <a:solidFill>
                            <a:srgbClr val="000000"/>
                          </a:solidFill>
                          <a:prstDash val="solid"/>
                          <a:headEnd type="none" w="med" len="med"/>
                          <a:tailEnd type="none" w="med" len="med"/>
                        </a:ln>
                      </wps:spPr>
                      <wps:bodyPr vert="horz" wrap="square" anchor="t" anchorCtr="0" upright="1"/>
                    </wps:wsp>
                  </a:graphicData>
                </a:graphic>
              </wp:anchor>
            </w:drawing>
          </mc:Choice>
          <mc:Fallback>
            <w:pict>
              <v:shape id="椭圆 2" o:spid="_x0000_s1026" o:spt="3" type="#_x0000_t3" style="position:absolute;left:0pt;margin-left:137.95pt;margin-top:234.5pt;height:9.6pt;width:9pt;z-index:251771904;mso-width-relative:page;mso-height-relative:page;" fillcolor="#00B050" filled="t" stroked="t" coordsize="21600,21600" o:gfxdata="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EI27KTZAAAA&#10;CwEAAA8AAAAAAAAAAQAgAAAAIgAAAGRycy9kb3ducmV2LnhtbFBLAQIUABQAAAAIAIdO4kC/DR1Z&#10;HAIAAEsEAAAOAAAAAAAAAAEAIAAAACgBAABkcnMvZTJvRG9jLnhtbFBLBQYAAAAABgAGAFkBAAC2&#10;BQAAAAA=&#10;">
                <v:fill on="t" focussize="0,0"/>
                <v:stroke color="#000000" joinstyle="round"/>
                <v:imagedata o:title=""/>
                <o:lock v:ext="edit" aspectratio="f"/>
              </v:shape>
            </w:pict>
          </mc:Fallback>
        </mc:AlternateContent>
      </w:r>
      <w:r>
        <w:rPr>
          <w:sz w:val="18"/>
        </w:rPr>
        <mc:AlternateContent>
          <mc:Choice Requires="wps">
            <w:drawing>
              <wp:anchor distT="0" distB="0" distL="114300" distR="114300" simplePos="0" relativeHeight="251770880" behindDoc="0" locked="0" layoutInCell="1" allowOverlap="1">
                <wp:simplePos x="0" y="0"/>
                <wp:positionH relativeFrom="column">
                  <wp:posOffset>1764030</wp:posOffset>
                </wp:positionH>
                <wp:positionV relativeFrom="paragraph">
                  <wp:posOffset>1757680</wp:posOffset>
                </wp:positionV>
                <wp:extent cx="925830" cy="2164080"/>
                <wp:effectExtent l="0" t="12700" r="7620" b="13970"/>
                <wp:wrapNone/>
                <wp:docPr id="274" name="任意多边形 274"/>
                <wp:cNvGraphicFramePr/>
                <a:graphic xmlns:a="http://schemas.openxmlformats.org/drawingml/2006/main">
                  <a:graphicData uri="http://schemas.microsoft.com/office/word/2010/wordprocessingShape">
                    <wps:wsp>
                      <wps:cNvSpPr/>
                      <wps:spPr>
                        <a:xfrm>
                          <a:off x="2895600" y="2549525"/>
                          <a:ext cx="925830" cy="2164080"/>
                        </a:xfrm>
                        <a:custGeom>
                          <a:avLst/>
                          <a:gdLst>
                            <a:gd name="connisteX0" fmla="*/ 0 w 519430"/>
                            <a:gd name="connsiteY0" fmla="*/ 0 h 2120900"/>
                            <a:gd name="connisteX1" fmla="*/ 95250 w 519430"/>
                            <a:gd name="connsiteY1" fmla="*/ 0 h 2120900"/>
                            <a:gd name="connisteX2" fmla="*/ 95250 w 519430"/>
                            <a:gd name="connsiteY2" fmla="*/ 2025650 h 2120900"/>
                            <a:gd name="connisteX3" fmla="*/ 519430 w 519430"/>
                            <a:gd name="connsiteY3" fmla="*/ 2120900 h 2120900"/>
                          </a:gdLst>
                          <a:ahLst/>
                          <a:cxnLst>
                            <a:cxn ang="0">
                              <a:pos x="connisteX0" y="connsiteY0"/>
                            </a:cxn>
                            <a:cxn ang="0">
                              <a:pos x="connisteX1" y="connsiteY1"/>
                            </a:cxn>
                            <a:cxn ang="0">
                              <a:pos x="connisteX2" y="connsiteY2"/>
                            </a:cxn>
                            <a:cxn ang="0">
                              <a:pos x="connisteX3" y="connsiteY3"/>
                            </a:cxn>
                          </a:cxnLst>
                          <a:rect l="l" t="t" r="r" b="b"/>
                          <a:pathLst>
                            <a:path w="519430" h="2120900">
                              <a:moveTo>
                                <a:pt x="0" y="0"/>
                              </a:moveTo>
                              <a:lnTo>
                                <a:pt x="95250" y="0"/>
                              </a:lnTo>
                              <a:lnTo>
                                <a:pt x="95250" y="2025650"/>
                              </a:lnTo>
                              <a:lnTo>
                                <a:pt x="519430" y="2120900"/>
                              </a:lnTo>
                            </a:path>
                          </a:pathLst>
                        </a:custGeom>
                        <a:noFill/>
                        <a:ln w="25400" cap="flat" cmpd="sng" algn="ctr">
                          <a:solidFill>
                            <a:srgbClr val="1005F9"/>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38.9pt;margin-top:138.4pt;height:170.4pt;width:72.9pt;z-index:251770880;mso-width-relative:page;mso-height-relative:page;" filled="f" stroked="t" coordsize="519430,2120900" o:gfxdata="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Cm45vt2gAAAAsBAAAPAAAAAAAA&#10;AAEAIAAAACIAAABkcnMvZG93bnJldi54bWxQSwECFAAUAAAACACHTuJAYkA5LvQCAAByBwAADgAA&#10;AAAAAAABACAAAAApAQAAZHJzL2Uyb0RvYy54bWxQSwUGAAAAAAYABgBZAQAAjwYAAAAA&#10;" path="m0,0l95250,0,95250,2025650,519430,2120900e">
                <v:path o:connectlocs="0,0;169773,0;169773,2066890;925830,2164080" o:connectangles="0,0,0,0"/>
                <v:fill on="f" focussize="0,0"/>
                <v:stroke weight="2pt" color="#1005F9 [2404]" joinstyle="round"/>
                <v:imagedata o:title=""/>
                <o:lock v:ext="edit" aspectratio="f"/>
              </v:shape>
            </w:pict>
          </mc:Fallback>
        </mc:AlternateContent>
      </w:r>
      <w:r>
        <w:rPr>
          <w:color w:val="auto"/>
          <w:sz w:val="18"/>
          <w:highlight w:val="none"/>
        </w:rPr>
        <mc:AlternateContent>
          <mc:Choice Requires="wps">
            <w:drawing>
              <wp:anchor distT="0" distB="0" distL="114300" distR="114300" simplePos="0" relativeHeight="251704320" behindDoc="0" locked="0" layoutInCell="1" allowOverlap="1">
                <wp:simplePos x="0" y="0"/>
                <wp:positionH relativeFrom="column">
                  <wp:posOffset>1989455</wp:posOffset>
                </wp:positionH>
                <wp:positionV relativeFrom="paragraph">
                  <wp:posOffset>616585</wp:posOffset>
                </wp:positionV>
                <wp:extent cx="886460" cy="338455"/>
                <wp:effectExtent l="4445" t="4445" r="23495" b="19050"/>
                <wp:wrapNone/>
                <wp:docPr id="51" name="文本框 1860"/>
                <wp:cNvGraphicFramePr/>
                <a:graphic xmlns:a="http://schemas.openxmlformats.org/drawingml/2006/main">
                  <a:graphicData uri="http://schemas.microsoft.com/office/word/2010/wordprocessingShape">
                    <wps:wsp>
                      <wps:cNvSpPr txBox="1"/>
                      <wps:spPr>
                        <a:xfrm>
                          <a:off x="0" y="0"/>
                          <a:ext cx="886460" cy="33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6F2A18">
                            <w:pPr>
                              <w:rPr>
                                <w:rFonts w:hint="default" w:eastAsia="宋体"/>
                                <w:b/>
                                <w:bCs/>
                                <w:highlight w:val="yellow"/>
                                <w:lang w:val="en-US" w:eastAsia="zh-CN"/>
                              </w:rPr>
                            </w:pPr>
                            <w:r>
                              <w:rPr>
                                <w:rFonts w:hint="eastAsia" w:ascii="Times New Roman" w:eastAsia="宋体"/>
                                <w:b/>
                                <w:bCs/>
                                <w:highlight w:val="yellow"/>
                                <w:lang w:val="en-US" w:eastAsia="zh-CN"/>
                              </w:rPr>
                              <w:t>事故应急池</w:t>
                            </w:r>
                          </w:p>
                        </w:txbxContent>
                      </wps:txbx>
                      <wps:bodyPr vert="horz" wrap="square" anchor="t" anchorCtr="0" upright="1"/>
                    </wps:wsp>
                  </a:graphicData>
                </a:graphic>
              </wp:anchor>
            </w:drawing>
          </mc:Choice>
          <mc:Fallback>
            <w:pict>
              <v:shape id="文本框 1860" o:spid="_x0000_s1026" o:spt="202" type="#_x0000_t202" style="position:absolute;left:0pt;margin-left:156.65pt;margin-top:48.55pt;height:26.65pt;width:69.8pt;z-index:251704320;mso-width-relative:page;mso-height-relative:page;" fillcolor="#FFFFFF" filled="t" stroked="t" coordsize="21600,21600" o:gfxdata="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d6d/Z2gAAAAoBAAAPAAAAAAAAAAEAIAAAACIAAABkcnMvZG93bnJldi54bWxQSwEC&#10;FAAUAAAACACHTuJAEDTrcSsCAABsBAAADgAAAAAAAAABACAAAAApAQAAZHJzL2Uyb0RvYy54bWxQ&#10;SwUGAAAAAAYABgBZAQAAxgUAAAAA&#10;">
                <v:fill on="t" focussize="0,0"/>
                <v:stroke color="#000000" joinstyle="miter"/>
                <v:imagedata o:title=""/>
                <o:lock v:ext="edit" aspectratio="f"/>
                <v:textbox>
                  <w:txbxContent>
                    <w:p w14:paraId="5A6F2A18">
                      <w:pPr>
                        <w:rPr>
                          <w:rFonts w:hint="default" w:eastAsia="宋体"/>
                          <w:b/>
                          <w:bCs/>
                          <w:highlight w:val="yellow"/>
                          <w:lang w:val="en-US" w:eastAsia="zh-CN"/>
                        </w:rPr>
                      </w:pPr>
                      <w:r>
                        <w:rPr>
                          <w:rFonts w:hint="eastAsia" w:ascii="Times New Roman" w:eastAsia="宋体"/>
                          <w:b/>
                          <w:bCs/>
                          <w:highlight w:val="yellow"/>
                          <w:lang w:val="en-US" w:eastAsia="zh-CN"/>
                        </w:rPr>
                        <w:t>事故应急池</w:t>
                      </w:r>
                    </w:p>
                  </w:txbxContent>
                </v:textbox>
              </v:shape>
            </w:pict>
          </mc:Fallback>
        </mc:AlternateContent>
      </w:r>
      <w:r>
        <w:rPr>
          <w:color w:val="auto"/>
          <w:highlight w:val="none"/>
        </w:rPr>
        <w:drawing>
          <wp:anchor distT="0" distB="0" distL="114300" distR="114300" simplePos="0" relativeHeight="251768832" behindDoc="0" locked="0" layoutInCell="1" allowOverlap="1">
            <wp:simplePos x="0" y="0"/>
            <wp:positionH relativeFrom="column">
              <wp:posOffset>523240</wp:posOffset>
            </wp:positionH>
            <wp:positionV relativeFrom="paragraph">
              <wp:posOffset>121920</wp:posOffset>
            </wp:positionV>
            <wp:extent cx="1076325" cy="1009015"/>
            <wp:effectExtent l="0" t="0" r="9525" b="635"/>
            <wp:wrapNone/>
            <wp:docPr id="272" name="图片 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1886"/>
                    <pic:cNvPicPr>
                      <a:picLocks noChangeAspect="1"/>
                    </pic:cNvPicPr>
                  </pic:nvPicPr>
                  <pic:blipFill>
                    <a:blip r:embed="rId60"/>
                    <a:stretch>
                      <a:fillRect/>
                    </a:stretch>
                  </pic:blipFill>
                  <pic:spPr>
                    <a:xfrm>
                      <a:off x="0" y="0"/>
                      <a:ext cx="1076325" cy="1009015"/>
                    </a:xfrm>
                    <a:prstGeom prst="rect">
                      <a:avLst/>
                    </a:prstGeom>
                    <a:noFill/>
                    <a:ln>
                      <a:noFill/>
                    </a:ln>
                  </pic:spPr>
                </pic:pic>
              </a:graphicData>
            </a:graphic>
          </wp:anchor>
        </w:drawing>
      </w:r>
      <w:r>
        <w:rPr>
          <w:sz w:val="18"/>
        </w:rPr>
        <mc:AlternateContent>
          <mc:Choice Requires="wps">
            <w:drawing>
              <wp:anchor distT="0" distB="0" distL="114300" distR="114300" simplePos="0" relativeHeight="251764736" behindDoc="0" locked="0" layoutInCell="1" allowOverlap="1">
                <wp:simplePos x="0" y="0"/>
                <wp:positionH relativeFrom="column">
                  <wp:posOffset>3035300</wp:posOffset>
                </wp:positionH>
                <wp:positionV relativeFrom="paragraph">
                  <wp:posOffset>348615</wp:posOffset>
                </wp:positionV>
                <wp:extent cx="3940810" cy="311785"/>
                <wp:effectExtent l="4445" t="4445" r="17145" b="7620"/>
                <wp:wrapNone/>
                <wp:docPr id="267" name="文本框 267"/>
                <wp:cNvGraphicFramePr/>
                <a:graphic xmlns:a="http://schemas.openxmlformats.org/drawingml/2006/main">
                  <a:graphicData uri="http://schemas.microsoft.com/office/word/2010/wordprocessingShape">
                    <wps:wsp>
                      <wps:cNvSpPr txBox="1"/>
                      <wps:spPr>
                        <a:xfrm>
                          <a:off x="6125210" y="1140460"/>
                          <a:ext cx="3940810" cy="311785"/>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BD39B6">
                            <w:pPr>
                              <w:rPr>
                                <w:rFonts w:hint="default" w:eastAsia="宋体"/>
                                <w:lang w:val="en-US" w:eastAsia="zh-CN"/>
                              </w:rPr>
                            </w:pPr>
                            <w:r>
                              <w:rPr>
                                <w:rFonts w:hint="eastAsia" w:ascii="Times New Roman" w:eastAsia="宋体"/>
                                <w:lang w:val="en-US" w:eastAsia="zh-CN"/>
                              </w:rPr>
                              <w:t>图例：项目红线          雨水管网       污水管网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9pt;margin-top:27.45pt;height:24.55pt;width:310.3pt;z-index:251764736;mso-width-relative:page;mso-height-relative:page;" fillcolor="#FFFFFF" filled="t" stroked="t" coordsize="21600,21600" o:gfxdata="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PJ+7e7YAAAACwEAAA8AAAAAAAAAAQAgAAAAIgAAAGRycy9kb3ducmV2Lnht&#10;bFBLAQIUABQAAAAIAIdO4kAI233fawIAANUEAAAOAAAAAAAAAAEAIAAAACcBAABkcnMvZTJvRG9j&#10;LnhtbFBLBQYAAAAABgAGAFkBAAAEBgAAAAA=&#10;">
                <v:fill on="t" focussize="0,0"/>
                <v:stroke weight="0.5pt" color="#000000 [3204]" joinstyle="round"/>
                <v:imagedata o:title=""/>
                <o:lock v:ext="edit" aspectratio="f"/>
                <v:textbox>
                  <w:txbxContent>
                    <w:p w14:paraId="49BD39B6">
                      <w:pPr>
                        <w:rPr>
                          <w:rFonts w:hint="default" w:eastAsia="宋体"/>
                          <w:lang w:val="en-US" w:eastAsia="zh-CN"/>
                        </w:rPr>
                      </w:pPr>
                      <w:r>
                        <w:rPr>
                          <w:rFonts w:hint="eastAsia" w:ascii="Times New Roman" w:eastAsia="宋体"/>
                          <w:lang w:val="en-US" w:eastAsia="zh-CN"/>
                        </w:rPr>
                        <w:t>图例：项目红线          雨水管网       污水管网</w:t>
                      </w:r>
                    </w:p>
                  </w:txbxContent>
                </v:textbox>
              </v:shape>
            </w:pict>
          </mc:Fallback>
        </mc:AlternateContent>
      </w:r>
      <w:r>
        <w:rPr>
          <w:sz w:val="18"/>
        </w:rPr>
        <mc:AlternateContent>
          <mc:Choice Requires="wps">
            <w:drawing>
              <wp:anchor distT="0" distB="0" distL="114300" distR="114300" simplePos="0" relativeHeight="251767808" behindDoc="0" locked="0" layoutInCell="1" allowOverlap="1">
                <wp:simplePos x="0" y="0"/>
                <wp:positionH relativeFrom="column">
                  <wp:posOffset>4126865</wp:posOffset>
                </wp:positionH>
                <wp:positionV relativeFrom="paragraph">
                  <wp:posOffset>521970</wp:posOffset>
                </wp:positionV>
                <wp:extent cx="303530" cy="635"/>
                <wp:effectExtent l="0" t="12700" r="1270" b="15240"/>
                <wp:wrapNone/>
                <wp:docPr id="271" name="直接连接符 271"/>
                <wp:cNvGraphicFramePr/>
                <a:graphic xmlns:a="http://schemas.openxmlformats.org/drawingml/2006/main">
                  <a:graphicData uri="http://schemas.microsoft.com/office/word/2010/wordprocessingShape">
                    <wps:wsp>
                      <wps:cNvCnPr/>
                      <wps:spPr>
                        <a:xfrm flipV="1">
                          <a:off x="0" y="0"/>
                          <a:ext cx="303530" cy="635"/>
                        </a:xfrm>
                        <a:prstGeom prst="line">
                          <a:avLst/>
                        </a:prstGeom>
                        <a:noFill/>
                        <a:ln w="25400" cap="flat" cmpd="sng" algn="ctr">
                          <a:solidFill>
                            <a:srgbClr val="C00000"/>
                          </a:solidFill>
                          <a:prstDash val="solid"/>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24.95pt;margin-top:41.1pt;height:0.05pt;width:23.9pt;z-index:251767808;mso-width-relative:page;mso-height-relative:page;" filled="f" stroked="t" coordsize="21600,21600" o:gfxdata="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5ufy9sAAAAJAQAADwAAAAAAAAABACAAAAAiAAAAZHJzL2Rvd25yZXYueG1sUEsBAhQAFAAAAAgA&#10;h07iQNj0U07pAQAAuAMAAA4AAAAAAAAAAQAgAAAAKgEAAGRycy9lMm9Eb2MueG1sUEsFBgAAAAAG&#10;AAYAWQEAAIUFAAAAAA==&#10;">
                <v:fill on="f" focussize="0,0"/>
                <v:stroke weight="2pt" color="#C00000 [3204]" joinstyle="round"/>
                <v:imagedata o:title=""/>
                <o:lock v:ext="edit" aspectratio="f"/>
              </v:line>
            </w:pict>
          </mc:Fallback>
        </mc:AlternateContent>
      </w:r>
      <w:r>
        <w:rPr>
          <w:sz w:val="18"/>
        </w:rPr>
        <mc:AlternateContent>
          <mc:Choice Requires="wps">
            <w:drawing>
              <wp:anchor distT="0" distB="0" distL="114300" distR="114300" simplePos="0" relativeHeight="251765760" behindDoc="0" locked="0" layoutInCell="1" allowOverlap="1">
                <wp:simplePos x="0" y="0"/>
                <wp:positionH relativeFrom="column">
                  <wp:posOffset>5348605</wp:posOffset>
                </wp:positionH>
                <wp:positionV relativeFrom="paragraph">
                  <wp:posOffset>539115</wp:posOffset>
                </wp:positionV>
                <wp:extent cx="303530" cy="635"/>
                <wp:effectExtent l="0" t="12700" r="1270" b="15240"/>
                <wp:wrapNone/>
                <wp:docPr id="269" name="直接连接符 269"/>
                <wp:cNvGraphicFramePr/>
                <a:graphic xmlns:a="http://schemas.openxmlformats.org/drawingml/2006/main">
                  <a:graphicData uri="http://schemas.microsoft.com/office/word/2010/wordprocessingShape">
                    <wps:wsp>
                      <wps:cNvCnPr/>
                      <wps:spPr>
                        <a:xfrm flipV="1">
                          <a:off x="5415280" y="1313815"/>
                          <a:ext cx="303530" cy="635"/>
                        </a:xfrm>
                        <a:prstGeom prst="line">
                          <a:avLst/>
                        </a:prstGeom>
                        <a:noFill/>
                        <a:ln w="25400" cap="flat" cmpd="sng" algn="ctr">
                          <a:solidFill>
                            <a:srgbClr val="00B050"/>
                          </a:solidFill>
                          <a:prstDash val="solid"/>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421.15pt;margin-top:42.45pt;height:0.05pt;width:23.9pt;z-index:251765760;mso-width-relative:page;mso-height-relative:page;" filled="f" stroked="t" coordsize="21600,21600" o:gfxdata="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f90h21gAAAAkBAAAPAAAAAAAAAAEAIAAAACIAAABkcnMvZG93bnJldi54bWxQ&#10;SwECFAAUAAAACACHTuJA6KRWvPkBAADEAwAADgAAAAAAAAABACAAAAAlAQAAZHJzL2Uyb0RvYy54&#10;bWxQSwUGAAAAAAYABgBZAQAAkAUAAAAA&#10;">
                <v:fill on="f" focussize="0,0"/>
                <v:stroke weight="2pt" color="#00B050 [3204]" joinstyle="round"/>
                <v:imagedata o:title=""/>
                <o:lock v:ext="edit" aspectratio="f"/>
              </v:line>
            </w:pict>
          </mc:Fallback>
        </mc:AlternateContent>
      </w:r>
      <w:r>
        <w:rPr>
          <w:sz w:val="18"/>
        </w:rPr>
        <mc:AlternateContent>
          <mc:Choice Requires="wps">
            <w:drawing>
              <wp:anchor distT="0" distB="0" distL="114300" distR="114300" simplePos="0" relativeHeight="251766784" behindDoc="0" locked="0" layoutInCell="1" allowOverlap="1">
                <wp:simplePos x="0" y="0"/>
                <wp:positionH relativeFrom="column">
                  <wp:posOffset>6452870</wp:posOffset>
                </wp:positionH>
                <wp:positionV relativeFrom="paragraph">
                  <wp:posOffset>527050</wp:posOffset>
                </wp:positionV>
                <wp:extent cx="303530" cy="635"/>
                <wp:effectExtent l="0" t="12700" r="1270" b="15240"/>
                <wp:wrapNone/>
                <wp:docPr id="270" name="直接连接符 270"/>
                <wp:cNvGraphicFramePr/>
                <a:graphic xmlns:a="http://schemas.openxmlformats.org/drawingml/2006/main">
                  <a:graphicData uri="http://schemas.microsoft.com/office/word/2010/wordprocessingShape">
                    <wps:wsp>
                      <wps:cNvCnPr/>
                      <wps:spPr>
                        <a:xfrm flipV="1">
                          <a:off x="0" y="0"/>
                          <a:ext cx="303530" cy="635"/>
                        </a:xfrm>
                        <a:prstGeom prst="line">
                          <a:avLst/>
                        </a:prstGeom>
                        <a:noFill/>
                        <a:ln w="25400" cap="flat" cmpd="sng" algn="ctr">
                          <a:solidFill>
                            <a:srgbClr val="FFFF00"/>
                          </a:solidFill>
                          <a:prstDash val="solid"/>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508.1pt;margin-top:41.5pt;height:0.05pt;width:23.9pt;z-index:251766784;mso-width-relative:page;mso-height-relative:page;" filled="f" stroked="t" coordsize="21600,21600" o:gfxdata="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wnw1XX&#10;AAAACwEAAA8AAAAAAAAAAQAgAAAAIgAAAGRycy9kb3ducmV2LnhtbFBLAQIUABQAAAAIAIdO4kDr&#10;3fRz6AEAALgDAAAOAAAAAAAAAAEAIAAAACYBAABkcnMvZTJvRG9jLnhtbFBLBQYAAAAABgAGAFkB&#10;AACABQAAAAA=&#10;">
                <v:fill on="f" focussize="0,0"/>
                <v:stroke weight="2pt" color="#FFFF00 [3204]" joinstyle="round"/>
                <v:imagedata o:title=""/>
                <o:lock v:ext="edit" aspectratio="f"/>
              </v:line>
            </w:pict>
          </mc:Fallback>
        </mc:AlternateContent>
      </w:r>
      <w:r>
        <w:rPr>
          <w:sz w:val="18"/>
        </w:rPr>
        <mc:AlternateContent>
          <mc:Choice Requires="wps">
            <w:drawing>
              <wp:anchor distT="0" distB="0" distL="114300" distR="114300" simplePos="0" relativeHeight="251760640" behindDoc="0" locked="0" layoutInCell="1" allowOverlap="1">
                <wp:simplePos x="0" y="0"/>
                <wp:positionH relativeFrom="column">
                  <wp:posOffset>1824990</wp:posOffset>
                </wp:positionH>
                <wp:positionV relativeFrom="paragraph">
                  <wp:posOffset>1656080</wp:posOffset>
                </wp:positionV>
                <wp:extent cx="2631440" cy="181610"/>
                <wp:effectExtent l="0" t="12700" r="16510" b="15240"/>
                <wp:wrapNone/>
                <wp:docPr id="257" name="任意多边形 257"/>
                <wp:cNvGraphicFramePr/>
                <a:graphic xmlns:a="http://schemas.openxmlformats.org/drawingml/2006/main">
                  <a:graphicData uri="http://schemas.microsoft.com/office/word/2010/wordprocessingShape">
                    <wps:wsp>
                      <wps:cNvSpPr/>
                      <wps:spPr>
                        <a:xfrm flipH="1" flipV="1">
                          <a:off x="4982210" y="2153920"/>
                          <a:ext cx="2631440" cy="181610"/>
                        </a:xfrm>
                        <a:custGeom>
                          <a:avLst/>
                          <a:gdLst>
                            <a:gd name="connisteX0" fmla="*/ 1264285 w 1264285"/>
                            <a:gd name="connsiteY0" fmla="*/ 155575 h 155575"/>
                            <a:gd name="connisteX1" fmla="*/ 0 w 1264285"/>
                            <a:gd name="connsiteY1" fmla="*/ 138430 h 155575"/>
                            <a:gd name="connisteX2" fmla="*/ 0 w 1264285"/>
                            <a:gd name="connsiteY2" fmla="*/ 0 h 155575"/>
                          </a:gdLst>
                          <a:ahLst/>
                          <a:cxnLst>
                            <a:cxn ang="0">
                              <a:pos x="connisteX0" y="connsiteY0"/>
                            </a:cxn>
                            <a:cxn ang="0">
                              <a:pos x="connisteX1" y="connsiteY1"/>
                            </a:cxn>
                            <a:cxn ang="0">
                              <a:pos x="connisteX2" y="connsiteY2"/>
                            </a:cxn>
                          </a:cxnLst>
                          <a:rect l="l" t="t" r="r" b="b"/>
                          <a:pathLst>
                            <a:path w="1264285" h="155575">
                              <a:moveTo>
                                <a:pt x="1264285" y="155575"/>
                              </a:moveTo>
                              <a:lnTo>
                                <a:pt x="0" y="138430"/>
                              </a:lnTo>
                              <a:lnTo>
                                <a:pt x="0" y="0"/>
                              </a:lnTo>
                            </a:path>
                          </a:pathLst>
                        </a:custGeom>
                        <a:noFill/>
                        <a:ln w="25400" cap="flat" cmpd="sng" algn="ctr">
                          <a:solidFill>
                            <a:srgbClr val="1005F9"/>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flip:x y;margin-left:143.7pt;margin-top:130.4pt;height:14.3pt;width:207.2pt;z-index:251760640;mso-width-relative:page;mso-height-relative:page;" filled="f" stroked="t" coordsize="1264285,155575" o:gfxdata="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" path="m1264285,155575l0,138430,0,0e">
                <v:path o:connectlocs="2631440,181610;0,161595;0,0" o:connectangles="0,0,0"/>
                <v:fill on="f" focussize="0,0"/>
                <v:stroke weight="2pt" color="#1005F9 [2404]" joinstyle="round"/>
                <v:imagedata o:title=""/>
                <o:lock v:ext="edit" aspectratio="f"/>
              </v:shape>
            </w:pict>
          </mc:Fallback>
        </mc:AlternateContent>
      </w:r>
      <w:r>
        <w:rPr>
          <w:sz w:val="18"/>
        </w:rPr>
        <mc:AlternateContent>
          <mc:Choice Requires="wps">
            <w:drawing>
              <wp:anchor distT="0" distB="0" distL="114300" distR="114300" simplePos="0" relativeHeight="251763712" behindDoc="0" locked="0" layoutInCell="1" allowOverlap="1">
                <wp:simplePos x="0" y="0"/>
                <wp:positionH relativeFrom="column">
                  <wp:posOffset>5711825</wp:posOffset>
                </wp:positionH>
                <wp:positionV relativeFrom="paragraph">
                  <wp:posOffset>1292860</wp:posOffset>
                </wp:positionV>
                <wp:extent cx="26035" cy="2779395"/>
                <wp:effectExtent l="12700" t="0" r="18415" b="1905"/>
                <wp:wrapNone/>
                <wp:docPr id="260" name="任意多边形 260"/>
                <wp:cNvGraphicFramePr/>
                <a:graphic xmlns:a="http://schemas.openxmlformats.org/drawingml/2006/main">
                  <a:graphicData uri="http://schemas.microsoft.com/office/word/2010/wordprocessingShape">
                    <wps:wsp>
                      <wps:cNvSpPr/>
                      <wps:spPr>
                        <a:xfrm>
                          <a:off x="6791960" y="2084705"/>
                          <a:ext cx="26035" cy="2779395"/>
                        </a:xfrm>
                        <a:custGeom>
                          <a:avLst/>
                          <a:gdLst>
                            <a:gd name="connisteX0" fmla="*/ 0 w 26035"/>
                            <a:gd name="connsiteY0" fmla="*/ 2779395 h 2779395"/>
                            <a:gd name="connisteX1" fmla="*/ 26035 w 26035"/>
                            <a:gd name="connsiteY1" fmla="*/ 0 h 2779395"/>
                          </a:gdLst>
                          <a:ahLst/>
                          <a:cxnLst>
                            <a:cxn ang="0">
                              <a:pos x="connisteX0" y="connsiteY0"/>
                            </a:cxn>
                            <a:cxn ang="0">
                              <a:pos x="connisteX1" y="connsiteY1"/>
                            </a:cxn>
                          </a:cxnLst>
                          <a:rect l="l" t="t" r="r" b="b"/>
                          <a:pathLst>
                            <a:path w="26035" h="2779395">
                              <a:moveTo>
                                <a:pt x="0" y="2779395"/>
                              </a:moveTo>
                              <a:lnTo>
                                <a:pt x="26035" y="0"/>
                              </a:lnTo>
                            </a:path>
                          </a:pathLst>
                        </a:custGeom>
                        <a:noFill/>
                        <a:ln w="25400" cap="flat" cmpd="sng" algn="ctr">
                          <a:solidFill>
                            <a:srgbClr val="00B05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449.75pt;margin-top:101.8pt;height:218.85pt;width:2.05pt;z-index:251763712;mso-width-relative:page;mso-height-relative:page;" filled="f" stroked="t" coordsize="26035,2779395" o:gfxdata="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CySIl32AAAAAsBAAAPAAAAAAAAAAEAIAAAACIAAABkcnMvZG93bnJldi54bWxQ&#10;SwECFAAUAAAACACHTuJAuY93saICAADUBQAADgAAAAAAAAABACAAAAAnAQAAZHJzL2Uyb0RvYy54&#10;bWxQSwUGAAAAAAYABgBZAQAAOwYAAAAA&#10;" path="m0,2779395l26035,0e">
                <v:path o:connectlocs="0,2779395;26035,0" o:connectangles="0,0"/>
                <v:fill on="f" focussize="0,0"/>
                <v:stroke weight="2pt" color="#00B050 [2404]" joinstyle="round"/>
                <v:imagedata o:title=""/>
                <o:lock v:ext="edit" aspectratio="f"/>
              </v:shape>
            </w:pict>
          </mc:Fallback>
        </mc:AlternateContent>
      </w:r>
      <w:r>
        <w:rPr>
          <w:sz w:val="18"/>
        </w:rPr>
        <mc:AlternateContent>
          <mc:Choice Requires="wps">
            <w:drawing>
              <wp:anchor distT="0" distB="0" distL="114300" distR="114300" simplePos="0" relativeHeight="251762688" behindDoc="0" locked="0" layoutInCell="1" allowOverlap="1">
                <wp:simplePos x="0" y="0"/>
                <wp:positionH relativeFrom="column">
                  <wp:posOffset>1893570</wp:posOffset>
                </wp:positionH>
                <wp:positionV relativeFrom="paragraph">
                  <wp:posOffset>3032760</wp:posOffset>
                </wp:positionV>
                <wp:extent cx="4805680" cy="17145"/>
                <wp:effectExtent l="0" t="0" r="0" b="0"/>
                <wp:wrapNone/>
                <wp:docPr id="259" name="任意多边形 259"/>
                <wp:cNvGraphicFramePr/>
                <a:graphic xmlns:a="http://schemas.openxmlformats.org/drawingml/2006/main">
                  <a:graphicData uri="http://schemas.microsoft.com/office/word/2010/wordprocessingShape">
                    <wps:wsp>
                      <wps:cNvSpPr/>
                      <wps:spPr>
                        <a:xfrm>
                          <a:off x="2973705" y="3824605"/>
                          <a:ext cx="4805680" cy="17145"/>
                        </a:xfrm>
                        <a:custGeom>
                          <a:avLst/>
                          <a:gdLst>
                            <a:gd name="connisteX0" fmla="*/ 4805680 w 4805680"/>
                            <a:gd name="connsiteY0" fmla="*/ 0 h 17145"/>
                            <a:gd name="connisteX1" fmla="*/ 0 w 4805680"/>
                            <a:gd name="connsiteY1" fmla="*/ 17145 h 17145"/>
                          </a:gdLst>
                          <a:ahLst/>
                          <a:cxnLst>
                            <a:cxn ang="0">
                              <a:pos x="connisteX0" y="connsiteY0"/>
                            </a:cxn>
                            <a:cxn ang="0">
                              <a:pos x="connisteX1" y="connsiteY1"/>
                            </a:cxn>
                          </a:cxnLst>
                          <a:rect l="l" t="t" r="r" b="b"/>
                          <a:pathLst>
                            <a:path w="4805680" h="17145">
                              <a:moveTo>
                                <a:pt x="4805680" y="0"/>
                              </a:moveTo>
                              <a:lnTo>
                                <a:pt x="0" y="17145"/>
                              </a:lnTo>
                            </a:path>
                          </a:pathLst>
                        </a:custGeom>
                        <a:noFill/>
                        <a:ln w="25400" cap="flat" cmpd="sng" algn="ctr">
                          <a:solidFill>
                            <a:srgbClr val="00B05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49.1pt;margin-top:238.8pt;height:1.35pt;width:378.4pt;z-index:251762688;mso-width-relative:page;mso-height-relative:page;" filled="f" stroked="t" coordsize="4805680,17145" o:gfxdata="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Fug6+PaAAAADAEAAA8AAAAAAAAAAQAgAAAAIgAAAGRycy9kb3ducmV2&#10;LnhtbFBLAQIUABQAAAAIAIdO4kBcXXRVpQIAANQFAAAOAAAAAAAAAAEAIAAAACkBAABkcnMvZTJv&#10;RG9jLnhtbFBLBQYAAAAABgAGAFkBAABABgAAAAA=&#10;" path="m4805680,0l0,17145e">
                <v:path o:connectlocs="4805680,0;0,17145" o:connectangles="0,0"/>
                <v:fill on="f" focussize="0,0"/>
                <v:stroke weight="2pt" color="#00B050 [2404]" joinstyle="round"/>
                <v:imagedata o:title=""/>
                <o:lock v:ext="edit" aspectratio="f"/>
              </v:shape>
            </w:pict>
          </mc:Fallback>
        </mc:AlternateContent>
      </w:r>
      <w:r>
        <w:rPr>
          <w:sz w:val="18"/>
        </w:rPr>
        <mc:AlternateContent>
          <mc:Choice Requires="wps">
            <w:drawing>
              <wp:anchor distT="0" distB="0" distL="114300" distR="114300" simplePos="0" relativeHeight="251761664" behindDoc="0" locked="0" layoutInCell="1" allowOverlap="1">
                <wp:simplePos x="0" y="0"/>
                <wp:positionH relativeFrom="column">
                  <wp:posOffset>3729355</wp:posOffset>
                </wp:positionH>
                <wp:positionV relativeFrom="paragraph">
                  <wp:posOffset>1924685</wp:posOffset>
                </wp:positionV>
                <wp:extent cx="34290" cy="2251075"/>
                <wp:effectExtent l="12700" t="635" r="29210" b="15240"/>
                <wp:wrapNone/>
                <wp:docPr id="258" name="任意多边形 258"/>
                <wp:cNvGraphicFramePr/>
                <a:graphic xmlns:a="http://schemas.openxmlformats.org/drawingml/2006/main">
                  <a:graphicData uri="http://schemas.microsoft.com/office/word/2010/wordprocessingShape">
                    <wps:wsp>
                      <wps:cNvSpPr/>
                      <wps:spPr>
                        <a:xfrm>
                          <a:off x="4809490" y="2716530"/>
                          <a:ext cx="34290" cy="2251075"/>
                        </a:xfrm>
                        <a:custGeom>
                          <a:avLst/>
                          <a:gdLst>
                            <a:gd name="connisteX0" fmla="*/ 0 w 34290"/>
                            <a:gd name="connsiteY0" fmla="*/ 0 h 2251075"/>
                            <a:gd name="connisteX1" fmla="*/ 34290 w 34290"/>
                            <a:gd name="connsiteY1" fmla="*/ 1108075 h 2251075"/>
                            <a:gd name="connisteX2" fmla="*/ 8255 w 34290"/>
                            <a:gd name="connsiteY2" fmla="*/ 2025650 h 2251075"/>
                            <a:gd name="connisteX3" fmla="*/ 34290 w 34290"/>
                            <a:gd name="connsiteY3" fmla="*/ 2251075 h 2251075"/>
                          </a:gdLst>
                          <a:ahLst/>
                          <a:cxnLst>
                            <a:cxn ang="0">
                              <a:pos x="connisteX0" y="connsiteY0"/>
                            </a:cxn>
                            <a:cxn ang="0">
                              <a:pos x="connisteX1" y="connsiteY1"/>
                            </a:cxn>
                            <a:cxn ang="0">
                              <a:pos x="connisteX2" y="connsiteY2"/>
                            </a:cxn>
                            <a:cxn ang="0">
                              <a:pos x="connisteX3" y="connsiteY3"/>
                            </a:cxn>
                          </a:cxnLst>
                          <a:rect l="l" t="t" r="r" b="b"/>
                          <a:pathLst>
                            <a:path w="34290" h="2251075">
                              <a:moveTo>
                                <a:pt x="0" y="0"/>
                              </a:moveTo>
                              <a:lnTo>
                                <a:pt x="34290" y="1108075"/>
                              </a:lnTo>
                              <a:lnTo>
                                <a:pt x="8255" y="2025650"/>
                              </a:lnTo>
                              <a:lnTo>
                                <a:pt x="34290" y="2251075"/>
                              </a:lnTo>
                            </a:path>
                          </a:pathLst>
                        </a:custGeom>
                        <a:noFill/>
                        <a:ln w="25400" cap="flat" cmpd="sng" algn="ctr">
                          <a:solidFill>
                            <a:srgbClr val="00B05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93.65pt;margin-top:151.55pt;height:177.25pt;width:2.7pt;z-index:251761664;mso-width-relative:page;mso-height-relative:page;" filled="f" stroked="t" coordsize="34290,2251075" o:gfxdata="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" path="m0,0l34290,1108075,8255,2025650,34290,2251075e">
                <v:path o:connectlocs="0,0;34290,1108075;8255,2025650;34290,2251075" o:connectangles="0,0,0,0"/>
                <v:fill on="f" focussize="0,0"/>
                <v:stroke weight="2pt" color="#00B050 [2404]" joinstyle="round"/>
                <v:imagedata o:title=""/>
                <o:lock v:ext="edit" aspectratio="f"/>
              </v:shape>
            </w:pict>
          </mc:Fallback>
        </mc:AlternateContent>
      </w:r>
      <w:r>
        <w:rPr>
          <w:sz w:val="18"/>
        </w:rPr>
        <mc:AlternateContent>
          <mc:Choice Requires="wps">
            <w:drawing>
              <wp:anchor distT="0" distB="0" distL="114300" distR="114300" simplePos="0" relativeHeight="251759616" behindDoc="0" locked="0" layoutInCell="1" allowOverlap="1">
                <wp:simplePos x="0" y="0"/>
                <wp:positionH relativeFrom="column">
                  <wp:posOffset>5850890</wp:posOffset>
                </wp:positionH>
                <wp:positionV relativeFrom="paragraph">
                  <wp:posOffset>1795145</wp:posOffset>
                </wp:positionV>
                <wp:extent cx="207645" cy="2380615"/>
                <wp:effectExtent l="19050" t="0" r="1905" b="19685"/>
                <wp:wrapNone/>
                <wp:docPr id="256" name="任意多边形 256"/>
                <wp:cNvGraphicFramePr/>
                <a:graphic xmlns:a="http://schemas.openxmlformats.org/drawingml/2006/main">
                  <a:graphicData uri="http://schemas.microsoft.com/office/word/2010/wordprocessingShape">
                    <wps:wsp>
                      <wps:cNvSpPr/>
                      <wps:spPr>
                        <a:xfrm>
                          <a:off x="6931025" y="4154170"/>
                          <a:ext cx="207645" cy="2380615"/>
                        </a:xfrm>
                        <a:custGeom>
                          <a:avLst/>
                          <a:gdLst>
                            <a:gd name="connisteX0" fmla="*/ 0 w 207645"/>
                            <a:gd name="connsiteY0" fmla="*/ 0 h 813435"/>
                            <a:gd name="connisteX1" fmla="*/ 8255 w 207645"/>
                            <a:gd name="connsiteY1" fmla="*/ 813435 h 813435"/>
                            <a:gd name="connisteX2" fmla="*/ 207645 w 207645"/>
                            <a:gd name="connsiteY2" fmla="*/ 813435 h 813435"/>
                          </a:gdLst>
                          <a:ahLst/>
                          <a:cxnLst>
                            <a:cxn ang="0">
                              <a:pos x="connisteX0" y="connsiteY0"/>
                            </a:cxn>
                            <a:cxn ang="0">
                              <a:pos x="connisteX1" y="connsiteY1"/>
                            </a:cxn>
                            <a:cxn ang="0">
                              <a:pos x="connisteX2" y="connsiteY2"/>
                            </a:cxn>
                          </a:cxnLst>
                          <a:rect l="l" t="t" r="r" b="b"/>
                          <a:pathLst>
                            <a:path w="207645" h="813435">
                              <a:moveTo>
                                <a:pt x="0" y="0"/>
                              </a:moveTo>
                              <a:lnTo>
                                <a:pt x="8255" y="813435"/>
                              </a:lnTo>
                              <a:lnTo>
                                <a:pt x="207645" y="813435"/>
                              </a:lnTo>
                            </a:path>
                          </a:pathLst>
                        </a:custGeom>
                        <a:noFill/>
                        <a:ln w="38100" cap="flat" cmpd="sng" algn="ctr">
                          <a:solidFill>
                            <a:srgbClr val="1005F9"/>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460.7pt;margin-top:141.35pt;height:187.45pt;width:16.35pt;z-index:251759616;mso-width-relative:page;mso-height-relative:page;" filled="f" stroked="t" coordsize="207645,813435" o:gfxdata="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MtfX3DYAAAACwEAAA8AAAAAAAAAAQAgAAAAIgAAAGRycy9kb3ducmV2LnhtbFBLAQIUABQAAAAI&#10;AIdO4kBwBVS90QIAAKIGAAAOAAAAAAAAAAEAIAAAACcBAABkcnMvZTJvRG9jLnhtbFBLBQYAAAAA&#10;BgAGAFkBAABqBgAAAAA=&#10;" path="m0,0l8255,813435,207645,813435e">
                <v:path o:connectlocs="0,0;8255,2380615;207645,2380615" o:connectangles="0,0,0"/>
                <v:fill on="f" focussize="0,0"/>
                <v:stroke weight="3pt" color="#1005F9 [2404]" joinstyle="round"/>
                <v:imagedata o:title=""/>
                <o:lock v:ext="edit" aspectratio="f"/>
              </v:shape>
            </w:pict>
          </mc:Fallback>
        </mc:AlternateContent>
      </w:r>
      <w:r>
        <w:rPr>
          <w:sz w:val="18"/>
        </w:rPr>
        <mc:AlternateContent>
          <mc:Choice Requires="wpg">
            <w:drawing>
              <wp:anchor distT="0" distB="0" distL="114300" distR="114300" simplePos="0" relativeHeight="251751424" behindDoc="0" locked="0" layoutInCell="1" allowOverlap="1">
                <wp:simplePos x="0" y="0"/>
                <wp:positionH relativeFrom="column">
                  <wp:posOffset>3788410</wp:posOffset>
                </wp:positionH>
                <wp:positionV relativeFrom="paragraph">
                  <wp:posOffset>2146935</wp:posOffset>
                </wp:positionV>
                <wp:extent cx="751840" cy="353060"/>
                <wp:effectExtent l="4445" t="0" r="0" b="0"/>
                <wp:wrapNone/>
                <wp:docPr id="3" name="组合 20"/>
                <wp:cNvGraphicFramePr/>
                <a:graphic xmlns:a="http://schemas.openxmlformats.org/drawingml/2006/main">
                  <a:graphicData uri="http://schemas.microsoft.com/office/word/2010/wordprocessingGroup">
                    <wpg:wgp>
                      <wpg:cNvGrpSpPr/>
                      <wpg:grpSpPr>
                        <a:xfrm>
                          <a:off x="0" y="0"/>
                          <a:ext cx="751840" cy="353060"/>
                          <a:chOff x="8678" y="1984447"/>
                          <a:chExt cx="1184" cy="556"/>
                        </a:xfrm>
                      </wpg:grpSpPr>
                      <wps:wsp>
                        <wps:cNvPr id="88" name="椭圆 1879"/>
                        <wps:cNvSpPr/>
                        <wps:spPr>
                          <a:xfrm>
                            <a:off x="8678" y="1984667"/>
                            <a:ext cx="180" cy="192"/>
                          </a:xfrm>
                          <a:prstGeom prst="ellipse">
                            <a:avLst/>
                          </a:prstGeom>
                          <a:solidFill>
                            <a:srgbClr val="00B0F0"/>
                          </a:solidFill>
                          <a:ln w="9525" cap="flat" cmpd="sng">
                            <a:solidFill>
                              <a:srgbClr val="000000"/>
                            </a:solidFill>
                            <a:prstDash val="solid"/>
                            <a:headEnd type="none" w="med" len="med"/>
                            <a:tailEnd type="none" w="med" len="med"/>
                          </a:ln>
                        </wps:spPr>
                        <wps:bodyPr upright="1"/>
                      </wps:wsp>
                      <wps:wsp>
                        <wps:cNvPr id="89" name="文本框 1881"/>
                        <wps:cNvSpPr txBox="1"/>
                        <wps:spPr>
                          <a:xfrm>
                            <a:off x="8924" y="1984447"/>
                            <a:ext cx="939" cy="556"/>
                          </a:xfrm>
                          <a:prstGeom prst="rect">
                            <a:avLst/>
                          </a:prstGeom>
                          <a:noFill/>
                          <a:ln>
                            <a:noFill/>
                          </a:ln>
                        </wps:spPr>
                        <wps:txbx>
                          <w:txbxContent>
                            <w:p w14:paraId="20879805">
                              <w:pPr>
                                <w:rPr>
                                  <w:rFonts w:hint="default" w:eastAsia="宋体"/>
                                  <w:b/>
                                  <w:bCs/>
                                  <w:highlight w:val="yellow"/>
                                  <w:lang w:val="en-US" w:eastAsia="zh-CN"/>
                                </w:rPr>
                              </w:pPr>
                              <w:r>
                                <w:rPr>
                                  <w:rFonts w:hint="eastAsia"/>
                                  <w:b/>
                                  <w:bCs/>
                                  <w:highlight w:val="yellow"/>
                                  <w:lang w:val="en-US" w:eastAsia="zh-CN"/>
                                </w:rPr>
                                <w:t>DA001</w:t>
                              </w:r>
                            </w:p>
                          </w:txbxContent>
                        </wps:txbx>
                        <wps:bodyPr upright="1"/>
                      </wps:wsp>
                    </wpg:wgp>
                  </a:graphicData>
                </a:graphic>
              </wp:anchor>
            </w:drawing>
          </mc:Choice>
          <mc:Fallback>
            <w:pict>
              <v:group id="组合 20" o:spid="_x0000_s1026" o:spt="203" style="position:absolute;left:0pt;margin-left:298.3pt;margin-top:169.05pt;height:27.8pt;width:59.2pt;z-index:251751424;mso-width-relative:page;mso-height-relative:page;" coordorigin="8678,1984447" coordsize="1184,556" o:gfxdata="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y&#10;b0+e2wAAAAsBAAAPAAAAAAAAAAEAIAAAACIAAABkcnMvZG93bnJldi54bWxQSwECFAAUAAAACACH&#10;TuJA2sABE8wCAADFBgAADgAAAAAAAAABACAAAAAqAQAAZHJzL2Uyb0RvYy54bWxQSwUGAAAAAAYA&#10;BgBZAQAAaAYAAAAA&#10;">
                <o:lock v:ext="edit" aspectratio="f"/>
                <v:shape id="椭圆 1879" o:spid="_x0000_s1026" o:spt="3" type="#_x0000_t3" style="position:absolute;left:8678;top:1984667;height:192;width:180;" fillcolor="#00B0F0" filled="t" stroked="t" coordsize="21600,21600" o:gfxdata="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AoN3W8AAAA&#10;2wAAAA8AAAAAAAAAAQAgAAAAIgAAAGRycy9kb3ducmV2LnhtbFBLAQIUABQAAAAIAIdO4kAzLwWe&#10;OwAAADkAAAAQAAAAAAAAAAEAIAAAAAsBAABkcnMvc2hhcGV4bWwueG1sUEsFBgAAAAAGAAYAWwEA&#10;ALUDAAAAAA==&#10;">
                  <v:fill on="t" focussize="0,0"/>
                  <v:stroke color="#000000" joinstyle="round"/>
                  <v:imagedata o:title=""/>
                  <o:lock v:ext="edit" aspectratio="f"/>
                </v:shape>
                <v:shape id="文本框 1881" o:spid="_x0000_s1026" o:spt="202" type="#_x0000_t202" style="position:absolute;left:8924;top:1984447;height:556;width:939;" filled="f" stroked="f" coordsize="21600,21600" o:gfxdata="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oO67L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20879805">
                        <w:pPr>
                          <w:rPr>
                            <w:rFonts w:hint="default" w:eastAsia="宋体"/>
                            <w:b/>
                            <w:bCs/>
                            <w:highlight w:val="yellow"/>
                            <w:lang w:val="en-US" w:eastAsia="zh-CN"/>
                          </w:rPr>
                        </w:pPr>
                        <w:r>
                          <w:rPr>
                            <w:rFonts w:hint="eastAsia"/>
                            <w:b/>
                            <w:bCs/>
                            <w:highlight w:val="yellow"/>
                            <w:lang w:val="en-US" w:eastAsia="zh-CN"/>
                          </w:rPr>
                          <w:t>DA001</w:t>
                        </w:r>
                      </w:p>
                    </w:txbxContent>
                  </v:textbox>
                </v:shape>
              </v:group>
            </w:pict>
          </mc:Fallback>
        </mc:AlternateContent>
      </w:r>
      <w:r>
        <w:rPr>
          <w:sz w:val="18"/>
        </w:rPr>
        <mc:AlternateContent>
          <mc:Choice Requires="wpg">
            <w:drawing>
              <wp:anchor distT="0" distB="0" distL="114300" distR="114300" simplePos="0" relativeHeight="251750400" behindDoc="0" locked="0" layoutInCell="1" allowOverlap="1">
                <wp:simplePos x="0" y="0"/>
                <wp:positionH relativeFrom="column">
                  <wp:posOffset>3788410</wp:posOffset>
                </wp:positionH>
                <wp:positionV relativeFrom="paragraph">
                  <wp:posOffset>2650490</wp:posOffset>
                </wp:positionV>
                <wp:extent cx="751840" cy="353060"/>
                <wp:effectExtent l="4445" t="0" r="0" b="0"/>
                <wp:wrapNone/>
                <wp:docPr id="4" name="组合 12"/>
                <wp:cNvGraphicFramePr/>
                <a:graphic xmlns:a="http://schemas.openxmlformats.org/drawingml/2006/main">
                  <a:graphicData uri="http://schemas.microsoft.com/office/word/2010/wordprocessingGroup">
                    <wpg:wgp>
                      <wpg:cNvGrpSpPr/>
                      <wpg:grpSpPr>
                        <a:xfrm>
                          <a:off x="0" y="0"/>
                          <a:ext cx="751840" cy="353060"/>
                          <a:chOff x="8678" y="1984447"/>
                          <a:chExt cx="1184" cy="556"/>
                        </a:xfrm>
                      </wpg:grpSpPr>
                      <wps:wsp>
                        <wps:cNvPr id="85" name="椭圆 1879"/>
                        <wps:cNvSpPr/>
                        <wps:spPr>
                          <a:xfrm>
                            <a:off x="8678" y="1984667"/>
                            <a:ext cx="180" cy="192"/>
                          </a:xfrm>
                          <a:prstGeom prst="ellipse">
                            <a:avLst/>
                          </a:prstGeom>
                          <a:solidFill>
                            <a:srgbClr val="00B0F0"/>
                          </a:solidFill>
                          <a:ln w="9525" cap="flat" cmpd="sng">
                            <a:solidFill>
                              <a:srgbClr val="000000"/>
                            </a:solidFill>
                            <a:prstDash val="solid"/>
                            <a:headEnd type="none" w="med" len="med"/>
                            <a:tailEnd type="none" w="med" len="med"/>
                          </a:ln>
                        </wps:spPr>
                        <wps:bodyPr upright="1"/>
                      </wps:wsp>
                      <wps:wsp>
                        <wps:cNvPr id="86" name="文本框 1881"/>
                        <wps:cNvSpPr txBox="1"/>
                        <wps:spPr>
                          <a:xfrm>
                            <a:off x="8924" y="1984447"/>
                            <a:ext cx="939" cy="556"/>
                          </a:xfrm>
                          <a:prstGeom prst="rect">
                            <a:avLst/>
                          </a:prstGeom>
                          <a:noFill/>
                          <a:ln>
                            <a:noFill/>
                          </a:ln>
                        </wps:spPr>
                        <wps:txbx>
                          <w:txbxContent>
                            <w:p w14:paraId="01FAB9B3">
                              <w:pPr>
                                <w:rPr>
                                  <w:rFonts w:hint="default" w:eastAsia="宋体"/>
                                  <w:b/>
                                  <w:bCs/>
                                  <w:highlight w:val="yellow"/>
                                  <w:lang w:val="en-US" w:eastAsia="zh-CN"/>
                                </w:rPr>
                              </w:pPr>
                              <w:r>
                                <w:rPr>
                                  <w:rFonts w:hint="eastAsia"/>
                                  <w:b/>
                                  <w:bCs/>
                                  <w:highlight w:val="yellow"/>
                                  <w:lang w:val="en-US" w:eastAsia="zh-CN"/>
                                </w:rPr>
                                <w:t>DA002</w:t>
                              </w:r>
                            </w:p>
                          </w:txbxContent>
                        </wps:txbx>
                        <wps:bodyPr upright="1"/>
                      </wps:wsp>
                    </wpg:wgp>
                  </a:graphicData>
                </a:graphic>
              </wp:anchor>
            </w:drawing>
          </mc:Choice>
          <mc:Fallback>
            <w:pict>
              <v:group id="组合 12" o:spid="_x0000_s1026" o:spt="203" style="position:absolute;left:0pt;margin-left:298.3pt;margin-top:208.7pt;height:27.8pt;width:59.2pt;z-index:251750400;mso-width-relative:page;mso-height-relative:page;" coordorigin="8678,1984447" coordsize="1184,556" o:gfxdata="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W&#10;dNJK2wAAAAsBAAAPAAAAAAAAAAEAIAAAACIAAABkcnMvZG93bnJldi54bWxQSwECFAAUAAAACACH&#10;TuJACxQI6MwCAADFBgAADgAAAAAAAAABACAAAAAqAQAAZHJzL2Uyb0RvYy54bWxQSwUGAAAAAAYA&#10;BgBZAQAAaAYAAAAA&#10;">
                <o:lock v:ext="edit" aspectratio="f"/>
                <v:shape id="椭圆 1879" o:spid="_x0000_s1026" o:spt="3" type="#_x0000_t3" style="position:absolute;left:8678;top:1984667;height:192;width:180;" fillcolor="#00B0F0" filled="t" stroked="t" coordsize="21600,21600" o:gfxdata="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4pmOu/&#10;AAAA2wAAAA8AAAAAAAAAAQAgAAAAIgAAAGRycy9kb3ducmV2LnhtbFBLAQIUABQAAAAIAIdO4kAz&#10;LwWeOwAAADkAAAAQAAAAAAAAAAEAIAAAAA4BAABkcnMvc2hhcGV4bWwueG1sUEsFBgAAAAAGAAYA&#10;WwEAALgDAAAAAA==&#10;">
                  <v:fill on="t" focussize="0,0"/>
                  <v:stroke color="#000000" joinstyle="round"/>
                  <v:imagedata o:title=""/>
                  <o:lock v:ext="edit" aspectratio="f"/>
                </v:shape>
                <v:shape id="文本框 1881" o:spid="_x0000_s1026" o:spt="202" type="#_x0000_t202" style="position:absolute;left:8924;top:1984447;height:556;width:939;" filled="f" stroked="f" coordsize="21600,21600" o:gfxdata="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HC6e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1FAB9B3">
                        <w:pPr>
                          <w:rPr>
                            <w:rFonts w:hint="default" w:eastAsia="宋体"/>
                            <w:b/>
                            <w:bCs/>
                            <w:highlight w:val="yellow"/>
                            <w:lang w:val="en-US" w:eastAsia="zh-CN"/>
                          </w:rPr>
                        </w:pPr>
                        <w:r>
                          <w:rPr>
                            <w:rFonts w:hint="eastAsia"/>
                            <w:b/>
                            <w:bCs/>
                            <w:highlight w:val="yellow"/>
                            <w:lang w:val="en-US" w:eastAsia="zh-CN"/>
                          </w:rPr>
                          <w:t>DA002</w:t>
                        </w:r>
                      </w:p>
                    </w:txbxContent>
                  </v:textbox>
                </v:shape>
              </v:group>
            </w:pict>
          </mc:Fallback>
        </mc:AlternateContent>
      </w:r>
      <w:r>
        <w:rPr>
          <w:sz w:val="21"/>
        </w:rPr>
        <mc:AlternateContent>
          <mc:Choice Requires="wpg">
            <w:drawing>
              <wp:anchor distT="0" distB="0" distL="114300" distR="114300" simplePos="0" relativeHeight="251749376" behindDoc="0" locked="0" layoutInCell="1" allowOverlap="1">
                <wp:simplePos x="0" y="0"/>
                <wp:positionH relativeFrom="column">
                  <wp:posOffset>4274820</wp:posOffset>
                </wp:positionH>
                <wp:positionV relativeFrom="paragraph">
                  <wp:posOffset>2148840</wp:posOffset>
                </wp:positionV>
                <wp:extent cx="974090" cy="464820"/>
                <wp:effectExtent l="0" t="0" r="16510" b="11430"/>
                <wp:wrapNone/>
                <wp:docPr id="5" name="组合 10"/>
                <wp:cNvGraphicFramePr/>
                <a:graphic xmlns:a="http://schemas.openxmlformats.org/drawingml/2006/main">
                  <a:graphicData uri="http://schemas.microsoft.com/office/word/2010/wordprocessingGroup">
                    <wpg:wgp>
                      <wpg:cNvGrpSpPr/>
                      <wpg:grpSpPr>
                        <a:xfrm>
                          <a:off x="0" y="0"/>
                          <a:ext cx="974090" cy="464820"/>
                          <a:chOff x="9034" y="1983295"/>
                          <a:chExt cx="1534" cy="744"/>
                        </a:xfrm>
                      </wpg:grpSpPr>
                      <wps:wsp>
                        <wps:cNvPr id="82" name="文本框 7"/>
                        <wps:cNvSpPr txBox="1"/>
                        <wps:spPr>
                          <a:xfrm>
                            <a:off x="9054" y="1983295"/>
                            <a:ext cx="1514" cy="709"/>
                          </a:xfrm>
                          <a:prstGeom prst="rect">
                            <a:avLst/>
                          </a:prstGeom>
                          <a:solidFill>
                            <a:srgbClr val="FFFFFF"/>
                          </a:solidFill>
                          <a:ln w="9525">
                            <a:noFill/>
                          </a:ln>
                        </wps:spPr>
                        <wps:txbx>
                          <w:txbxContent>
                            <w:p w14:paraId="4CA49501">
                              <w:pPr>
                                <w:keepNext w:val="0"/>
                                <w:keepLines w:val="0"/>
                                <w:pageBreakBefore w:val="0"/>
                                <w:widowControl w:val="0"/>
                                <w:kinsoku/>
                                <w:wordWrap/>
                                <w:overflowPunct/>
                                <w:topLinePunct w:val="0"/>
                                <w:bidi w:val="0"/>
                                <w:snapToGrid/>
                                <w:spacing w:line="240" w:lineRule="atLeast"/>
                                <w:textAlignment w:val="auto"/>
                                <w:rPr>
                                  <w:rFonts w:hint="default"/>
                                  <w:b/>
                                  <w:bCs/>
                                  <w:color w:val="C00000"/>
                                  <w:sz w:val="15"/>
                                  <w:szCs w:val="15"/>
                                  <w:lang w:val="en-US" w:eastAsia="zh-CN"/>
                                </w:rPr>
                              </w:pPr>
                              <w:r>
                                <w:rPr>
                                  <w:rFonts w:hint="eastAsia" w:ascii="Times New Roman" w:eastAsia="宋体"/>
                                  <w:b/>
                                  <w:bCs/>
                                  <w:color w:val="C00000"/>
                                  <w:sz w:val="15"/>
                                  <w:szCs w:val="15"/>
                                  <w:lang w:val="en-US" w:eastAsia="zh-CN"/>
                                </w:rPr>
                                <w:t>四号车间</w:t>
                              </w:r>
                            </w:p>
                          </w:txbxContent>
                        </wps:txbx>
                        <wps:bodyPr vert="horz" anchor="t" anchorCtr="0" upright="1"/>
                      </wps:wsp>
                      <wps:wsp>
                        <wps:cNvPr id="83" name="文本框 9"/>
                        <wps:cNvSpPr txBox="1"/>
                        <wps:spPr>
                          <a:xfrm>
                            <a:off x="9034" y="1983561"/>
                            <a:ext cx="1514" cy="478"/>
                          </a:xfrm>
                          <a:prstGeom prst="rect">
                            <a:avLst/>
                          </a:prstGeom>
                          <a:noFill/>
                          <a:ln w="9525">
                            <a:noFill/>
                          </a:ln>
                        </wps:spPr>
                        <wps:txbx>
                          <w:txbxContent>
                            <w:p w14:paraId="4FE95A7B">
                              <w:pPr>
                                <w:keepNext w:val="0"/>
                                <w:keepLines w:val="0"/>
                                <w:pageBreakBefore w:val="0"/>
                                <w:widowControl w:val="0"/>
                                <w:kinsoku/>
                                <w:wordWrap/>
                                <w:overflowPunct/>
                                <w:topLinePunct w:val="0"/>
                                <w:autoSpaceDE w:val="0"/>
                                <w:autoSpaceDN w:val="0"/>
                                <w:bidi w:val="0"/>
                                <w:adjustRightInd w:val="0"/>
                                <w:snapToGrid/>
                                <w:spacing w:line="240" w:lineRule="atLeast"/>
                                <w:jc w:val="both"/>
                                <w:textAlignment w:val="auto"/>
                                <w:rPr>
                                  <w:rFonts w:hint="default" w:ascii="宋体....." w:hAnsi="Times New Roman" w:eastAsia="宋体....." w:cs="宋体....."/>
                                  <w:b/>
                                  <w:bCs/>
                                  <w:color w:val="C00000"/>
                                  <w:kern w:val="2"/>
                                  <w:sz w:val="15"/>
                                  <w:szCs w:val="15"/>
                                  <w:lang w:val="en-US" w:eastAsia="zh-CN" w:bidi="ar-SA"/>
                                </w:rPr>
                              </w:pPr>
                              <w:r>
                                <w:rPr>
                                  <w:rFonts w:hint="eastAsia" w:ascii="宋体....." w:hAnsi="Times New Roman" w:eastAsia="宋体....." w:cs="宋体....."/>
                                  <w:b/>
                                  <w:bCs/>
                                  <w:color w:val="C00000"/>
                                  <w:kern w:val="2"/>
                                  <w:sz w:val="15"/>
                                  <w:szCs w:val="15"/>
                                  <w:lang w:val="en-US" w:eastAsia="zh-CN" w:bidi="ar-SA"/>
                                </w:rPr>
                                <w:t>漆粉涂装车间</w:t>
                              </w:r>
                            </w:p>
                          </w:txbxContent>
                        </wps:txbx>
                        <wps:bodyPr vert="horz" anchor="t" anchorCtr="0" upright="1"/>
                      </wps:wsp>
                    </wpg:wgp>
                  </a:graphicData>
                </a:graphic>
              </wp:anchor>
            </w:drawing>
          </mc:Choice>
          <mc:Fallback>
            <w:pict>
              <v:group id="组合 10" o:spid="_x0000_s1026" o:spt="203" style="position:absolute;left:0pt;margin-left:336.6pt;margin-top:169.2pt;height:36.6pt;width:76.7pt;z-index:251749376;mso-width-relative:page;mso-height-relative:page;" coordorigin="9034,1983295" coordsize="1534,744" o:gfxdata="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BVGDlTbAAAACwEAAA8AAAAAAAAAAQAgAAAAIgAA&#10;AGRycy9kb3ducmV2LnhtbFBLAQIUABQAAAAIAIdO4kCM115KdwIAAH0GAAAOAAAAAAAAAAEAIAAA&#10;ACoBAABkcnMvZTJvRG9jLnhtbFBLBQYAAAAABgAGAFkBAAATBgAAAAA=&#10;">
                <o:lock v:ext="edit" aspectratio="f"/>
                <v:shape id="文本框 7" o:spid="_x0000_s1026" o:spt="202" type="#_x0000_t202" style="position:absolute;left:9054;top:1983295;height:709;width:1514;" fillcolor="#FFFFFF" filled="t" stroked="f" coordsize="21600,21600" o:gfxdata="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5cYGGbgAAADbAAAA&#10;DwAAAAAAAAABACAAAAAiAAAAZHJzL2Rvd25yZXYueG1sUEsBAhQAFAAAAAgAh07iQDMvBZ47AAAA&#10;OQAAABAAAAAAAAAAAQAgAAAABwEAAGRycy9zaGFwZXhtbC54bWxQSwUGAAAAAAYABgBbAQAAsQMA&#10;AAAA&#10;">
                  <v:fill on="t" focussize="0,0"/>
                  <v:stroke on="f"/>
                  <v:imagedata o:title=""/>
                  <o:lock v:ext="edit" aspectratio="f"/>
                  <v:textbox>
                    <w:txbxContent>
                      <w:p w14:paraId="4CA49501">
                        <w:pPr>
                          <w:keepNext w:val="0"/>
                          <w:keepLines w:val="0"/>
                          <w:pageBreakBefore w:val="0"/>
                          <w:widowControl w:val="0"/>
                          <w:kinsoku/>
                          <w:wordWrap/>
                          <w:overflowPunct/>
                          <w:topLinePunct w:val="0"/>
                          <w:bidi w:val="0"/>
                          <w:snapToGrid/>
                          <w:spacing w:line="240" w:lineRule="atLeast"/>
                          <w:textAlignment w:val="auto"/>
                          <w:rPr>
                            <w:rFonts w:hint="default"/>
                            <w:b/>
                            <w:bCs/>
                            <w:color w:val="C00000"/>
                            <w:sz w:val="15"/>
                            <w:szCs w:val="15"/>
                            <w:lang w:val="en-US" w:eastAsia="zh-CN"/>
                          </w:rPr>
                        </w:pPr>
                        <w:r>
                          <w:rPr>
                            <w:rFonts w:hint="eastAsia" w:ascii="Times New Roman" w:eastAsia="宋体"/>
                            <w:b/>
                            <w:bCs/>
                            <w:color w:val="C00000"/>
                            <w:sz w:val="15"/>
                            <w:szCs w:val="15"/>
                            <w:lang w:val="en-US" w:eastAsia="zh-CN"/>
                          </w:rPr>
                          <w:t>四号车间</w:t>
                        </w:r>
                      </w:p>
                    </w:txbxContent>
                  </v:textbox>
                </v:shape>
                <v:shape id="文本框 9" o:spid="_x0000_s1026" o:spt="202" type="#_x0000_t202" style="position:absolute;left:9034;top:1983561;height:478;width:1514;" filled="f" stroked="f" coordsize="21600,21600" o:gfxdata="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trjQa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4FE95A7B">
                        <w:pPr>
                          <w:keepNext w:val="0"/>
                          <w:keepLines w:val="0"/>
                          <w:pageBreakBefore w:val="0"/>
                          <w:widowControl w:val="0"/>
                          <w:kinsoku/>
                          <w:wordWrap/>
                          <w:overflowPunct/>
                          <w:topLinePunct w:val="0"/>
                          <w:autoSpaceDE w:val="0"/>
                          <w:autoSpaceDN w:val="0"/>
                          <w:bidi w:val="0"/>
                          <w:adjustRightInd w:val="0"/>
                          <w:snapToGrid/>
                          <w:spacing w:line="240" w:lineRule="atLeast"/>
                          <w:jc w:val="both"/>
                          <w:textAlignment w:val="auto"/>
                          <w:rPr>
                            <w:rFonts w:hint="default" w:ascii="宋体....." w:hAnsi="Times New Roman" w:eastAsia="宋体....." w:cs="宋体....."/>
                            <w:b/>
                            <w:bCs/>
                            <w:color w:val="C00000"/>
                            <w:kern w:val="2"/>
                            <w:sz w:val="15"/>
                            <w:szCs w:val="15"/>
                            <w:lang w:val="en-US" w:eastAsia="zh-CN" w:bidi="ar-SA"/>
                          </w:rPr>
                        </w:pPr>
                        <w:r>
                          <w:rPr>
                            <w:rFonts w:hint="eastAsia" w:ascii="宋体....." w:hAnsi="Times New Roman" w:eastAsia="宋体....." w:cs="宋体....."/>
                            <w:b/>
                            <w:bCs/>
                            <w:color w:val="C00000"/>
                            <w:kern w:val="2"/>
                            <w:sz w:val="15"/>
                            <w:szCs w:val="15"/>
                            <w:lang w:val="en-US" w:eastAsia="zh-CN" w:bidi="ar-SA"/>
                          </w:rPr>
                          <w:t>漆粉涂装车间</w:t>
                        </w:r>
                      </w:p>
                    </w:txbxContent>
                  </v:textbox>
                </v:shape>
              </v:group>
            </w:pict>
          </mc:Fallback>
        </mc:AlternateContent>
      </w:r>
      <w:r>
        <w:rPr>
          <w:color w:val="auto"/>
          <w:sz w:val="21"/>
          <w:highlight w:val="none"/>
        </w:rPr>
        <mc:AlternateContent>
          <mc:Choice Requires="wps">
            <w:drawing>
              <wp:anchor distT="0" distB="0" distL="114300" distR="114300" simplePos="0" relativeHeight="251748352" behindDoc="0" locked="0" layoutInCell="1" allowOverlap="1">
                <wp:simplePos x="0" y="0"/>
                <wp:positionH relativeFrom="column">
                  <wp:posOffset>2929255</wp:posOffset>
                </wp:positionH>
                <wp:positionV relativeFrom="paragraph">
                  <wp:posOffset>3103245</wp:posOffset>
                </wp:positionV>
                <wp:extent cx="1087755" cy="316230"/>
                <wp:effectExtent l="0" t="0" r="0" b="0"/>
                <wp:wrapNone/>
                <wp:docPr id="81" name="文本框 176"/>
                <wp:cNvGraphicFramePr/>
                <a:graphic xmlns:a="http://schemas.openxmlformats.org/drawingml/2006/main">
                  <a:graphicData uri="http://schemas.microsoft.com/office/word/2010/wordprocessingShape">
                    <wps:wsp>
                      <wps:cNvSpPr txBox="1"/>
                      <wps:spPr>
                        <a:xfrm>
                          <a:off x="0" y="0"/>
                          <a:ext cx="1087755" cy="316230"/>
                        </a:xfrm>
                        <a:prstGeom prst="rect">
                          <a:avLst/>
                        </a:prstGeom>
                        <a:noFill/>
                        <a:ln w="12700">
                          <a:noFill/>
                        </a:ln>
                      </wps:spPr>
                      <wps:txbx>
                        <w:txbxContent>
                          <w:p w14:paraId="62C3292C">
                            <w:pPr>
                              <w:rPr>
                                <w:rFonts w:hint="default" w:ascii="Times New Roman" w:hAnsi="Times New Roman" w:eastAsia="宋体" w:cs="Times New Roman"/>
                                <w:b/>
                                <w:bCs/>
                                <w:color w:val="FF0000"/>
                                <w:sz w:val="11"/>
                                <w:szCs w:val="11"/>
                                <w:highlight w:val="lightGray"/>
                                <w:lang w:val="en-US" w:eastAsia="zh-CN"/>
                              </w:rPr>
                            </w:pPr>
                            <w:r>
                              <w:rPr>
                                <w:rFonts w:hint="eastAsia" w:ascii="Times New Roman" w:hAnsi="Times New Roman" w:eastAsia="宋体" w:cs="Times New Roman"/>
                                <w:b/>
                                <w:bCs/>
                                <w:color w:val="FF0000"/>
                                <w:sz w:val="11"/>
                                <w:szCs w:val="11"/>
                                <w:highlight w:val="none"/>
                                <w:lang w:val="en-US" w:eastAsia="zh-CN"/>
                              </w:rPr>
                              <w:t>（开料、冲压车间）</w:t>
                            </w:r>
                          </w:p>
                        </w:txbxContent>
                      </wps:txbx>
                      <wps:bodyPr vert="horz" wrap="square" anchor="t" anchorCtr="0" upright="0"/>
                    </wps:wsp>
                  </a:graphicData>
                </a:graphic>
              </wp:anchor>
            </w:drawing>
          </mc:Choice>
          <mc:Fallback>
            <w:pict>
              <v:shape id="文本框 176" o:spid="_x0000_s1026" o:spt="202" type="#_x0000_t202" style="position:absolute;left:0pt;margin-left:230.65pt;margin-top:244.35pt;height:24.9pt;width:85.65pt;z-index:251748352;mso-width-relative:page;mso-height-relative:page;" filled="f" stroked="f" coordsize="21600,21600" o:gfxdata="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U5Jsw2gAAAAsBAAAPAAAAAAAA&#10;AAEAIAAAACIAAABkcnMvZG93bnJldi54bWxQSwECFAAUAAAACACHTuJAVOrfkNcBAACOAwAADgAA&#10;AAAAAAABACAAAAApAQAAZHJzL2Uyb0RvYy54bWxQSwUGAAAAAAYABgBZAQAAcgUAAAAA&#10;">
                <v:fill on="f" focussize="0,0"/>
                <v:stroke on="f" weight="1pt"/>
                <v:imagedata o:title=""/>
                <o:lock v:ext="edit" aspectratio="f"/>
                <v:textbox>
                  <w:txbxContent>
                    <w:p w14:paraId="62C3292C">
                      <w:pPr>
                        <w:rPr>
                          <w:rFonts w:hint="default" w:ascii="Times New Roman" w:hAnsi="Times New Roman" w:eastAsia="宋体" w:cs="Times New Roman"/>
                          <w:b/>
                          <w:bCs/>
                          <w:color w:val="FF0000"/>
                          <w:sz w:val="11"/>
                          <w:szCs w:val="11"/>
                          <w:highlight w:val="lightGray"/>
                          <w:lang w:val="en-US" w:eastAsia="zh-CN"/>
                        </w:rPr>
                      </w:pPr>
                      <w:r>
                        <w:rPr>
                          <w:rFonts w:hint="eastAsia" w:ascii="Times New Roman" w:hAnsi="Times New Roman" w:eastAsia="宋体" w:cs="Times New Roman"/>
                          <w:b/>
                          <w:bCs/>
                          <w:color w:val="FF0000"/>
                          <w:sz w:val="11"/>
                          <w:szCs w:val="11"/>
                          <w:highlight w:val="none"/>
                          <w:lang w:val="en-US" w:eastAsia="zh-CN"/>
                        </w:rPr>
                        <w:t>（开料、冲压车间）</w:t>
                      </w:r>
                    </w:p>
                  </w:txbxContent>
                </v:textbox>
              </v:shape>
            </w:pict>
          </mc:Fallback>
        </mc:AlternateContent>
      </w:r>
      <w:r>
        <w:rPr>
          <w:color w:val="auto"/>
          <w:sz w:val="21"/>
          <w:highlight w:val="none"/>
        </w:rPr>
        <mc:AlternateContent>
          <mc:Choice Requires="wps">
            <w:drawing>
              <wp:anchor distT="0" distB="0" distL="114300" distR="114300" simplePos="0" relativeHeight="251734016" behindDoc="0" locked="0" layoutInCell="1" allowOverlap="1">
                <wp:simplePos x="0" y="0"/>
                <wp:positionH relativeFrom="column">
                  <wp:posOffset>4454525</wp:posOffset>
                </wp:positionH>
                <wp:positionV relativeFrom="paragraph">
                  <wp:posOffset>1600835</wp:posOffset>
                </wp:positionV>
                <wp:extent cx="1688465" cy="316230"/>
                <wp:effectExtent l="0" t="0" r="0" b="0"/>
                <wp:wrapNone/>
                <wp:docPr id="67" name="文本框 149"/>
                <wp:cNvGraphicFramePr/>
                <a:graphic xmlns:a="http://schemas.openxmlformats.org/drawingml/2006/main">
                  <a:graphicData uri="http://schemas.microsoft.com/office/word/2010/wordprocessingShape">
                    <wps:wsp>
                      <wps:cNvSpPr txBox="1"/>
                      <wps:spPr>
                        <a:xfrm>
                          <a:off x="0" y="0"/>
                          <a:ext cx="1688465" cy="316230"/>
                        </a:xfrm>
                        <a:prstGeom prst="rect">
                          <a:avLst/>
                        </a:prstGeom>
                        <a:noFill/>
                        <a:ln w="12700">
                          <a:noFill/>
                        </a:ln>
                      </wps:spPr>
                      <wps:txbx>
                        <w:txbxContent>
                          <w:p w14:paraId="63B04C96">
                            <w:pPr>
                              <w:rPr>
                                <w:rFonts w:hint="default" w:ascii="Times New Roman" w:hAnsi="Times New Roman" w:eastAsia="宋体" w:cs="Times New Roman"/>
                                <w:b/>
                                <w:bCs/>
                                <w:color w:val="FF0000"/>
                                <w:sz w:val="15"/>
                                <w:szCs w:val="15"/>
                                <w:lang w:val="en-US" w:eastAsia="zh-CN"/>
                              </w:rPr>
                            </w:pPr>
                            <w:r>
                              <w:rPr>
                                <w:rFonts w:hint="eastAsia" w:ascii="Times New Roman" w:eastAsia="宋体"/>
                                <w:b/>
                                <w:bCs/>
                                <w:color w:val="FF0000"/>
                                <w:sz w:val="15"/>
                                <w:szCs w:val="15"/>
                                <w:lang w:val="en-US" w:eastAsia="zh-CN"/>
                              </w:rPr>
                              <w:t>五号车间</w:t>
                            </w:r>
                            <w:r>
                              <w:rPr>
                                <w:rFonts w:hint="default" w:ascii="Times New Roman" w:hAnsi="Times New Roman" w:eastAsia="宋体" w:cs="Times New Roman"/>
                                <w:b/>
                                <w:bCs/>
                                <w:color w:val="FF0000"/>
                                <w:sz w:val="15"/>
                                <w:szCs w:val="15"/>
                                <w:lang w:val="en-US" w:eastAsia="zh-CN"/>
                              </w:rPr>
                              <w:t>表面预处理车</w:t>
                            </w:r>
                            <w:r>
                              <w:rPr>
                                <w:rFonts w:hint="eastAsia" w:ascii="Times New Roman" w:hAnsi="Times New Roman" w:eastAsia="宋体" w:cs="Times New Roman"/>
                                <w:b/>
                                <w:bCs/>
                                <w:color w:val="FF0000"/>
                                <w:sz w:val="15"/>
                                <w:szCs w:val="15"/>
                                <w:lang w:val="en-US" w:eastAsia="zh-CN"/>
                              </w:rPr>
                              <w:t>间</w:t>
                            </w:r>
                          </w:p>
                        </w:txbxContent>
                      </wps:txbx>
                      <wps:bodyPr vert="horz" wrap="square" anchor="t" anchorCtr="0" upright="0"/>
                    </wps:wsp>
                  </a:graphicData>
                </a:graphic>
              </wp:anchor>
            </w:drawing>
          </mc:Choice>
          <mc:Fallback>
            <w:pict>
              <v:shape id="文本框 149" o:spid="_x0000_s1026" o:spt="202" type="#_x0000_t202" style="position:absolute;left:0pt;margin-left:350.75pt;margin-top:126.05pt;height:24.9pt;width:132.95pt;z-index:251734016;mso-width-relative:page;mso-height-relative:page;" filled="f" stroked="f" coordsize="21600,21600" o:gfxdata="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Lx0suNoAAAALAQAADwAAAAAA&#10;AAABACAAAAAiAAAAZHJzL2Rvd25yZXYueG1sUEsBAhQAFAAAAAgAh07iQOzTFRzYAQAAjgMAAA4A&#10;AAAAAAAAAQAgAAAAKQEAAGRycy9lMm9Eb2MueG1sUEsFBgAAAAAGAAYAWQEAAHMFAAAAAA==&#10;">
                <v:fill on="f" focussize="0,0"/>
                <v:stroke on="f" weight="1pt"/>
                <v:imagedata o:title=""/>
                <o:lock v:ext="edit" aspectratio="f"/>
                <v:textbox>
                  <w:txbxContent>
                    <w:p w14:paraId="63B04C96">
                      <w:pPr>
                        <w:rPr>
                          <w:rFonts w:hint="default" w:ascii="Times New Roman" w:hAnsi="Times New Roman" w:eastAsia="宋体" w:cs="Times New Roman"/>
                          <w:b/>
                          <w:bCs/>
                          <w:color w:val="FF0000"/>
                          <w:sz w:val="15"/>
                          <w:szCs w:val="15"/>
                          <w:lang w:val="en-US" w:eastAsia="zh-CN"/>
                        </w:rPr>
                      </w:pPr>
                      <w:r>
                        <w:rPr>
                          <w:rFonts w:hint="eastAsia" w:ascii="Times New Roman" w:eastAsia="宋体"/>
                          <w:b/>
                          <w:bCs/>
                          <w:color w:val="FF0000"/>
                          <w:sz w:val="15"/>
                          <w:szCs w:val="15"/>
                          <w:lang w:val="en-US" w:eastAsia="zh-CN"/>
                        </w:rPr>
                        <w:t>五号车间</w:t>
                      </w:r>
                      <w:r>
                        <w:rPr>
                          <w:rFonts w:hint="default" w:ascii="Times New Roman" w:hAnsi="Times New Roman" w:eastAsia="宋体" w:cs="Times New Roman"/>
                          <w:b/>
                          <w:bCs/>
                          <w:color w:val="FF0000"/>
                          <w:sz w:val="15"/>
                          <w:szCs w:val="15"/>
                          <w:lang w:val="en-US" w:eastAsia="zh-CN"/>
                        </w:rPr>
                        <w:t>表面预处理车</w:t>
                      </w:r>
                      <w:r>
                        <w:rPr>
                          <w:rFonts w:hint="eastAsia" w:ascii="Times New Roman" w:hAnsi="Times New Roman" w:eastAsia="宋体" w:cs="Times New Roman"/>
                          <w:b/>
                          <w:bCs/>
                          <w:color w:val="FF0000"/>
                          <w:sz w:val="15"/>
                          <w:szCs w:val="15"/>
                          <w:lang w:val="en-US" w:eastAsia="zh-CN"/>
                        </w:rPr>
                        <w:t>间</w:t>
                      </w:r>
                    </w:p>
                  </w:txbxContent>
                </v:textbox>
              </v:shape>
            </w:pict>
          </mc:Fallback>
        </mc:AlternateContent>
      </w:r>
      <w:r>
        <w:rPr>
          <w:color w:val="auto"/>
          <w:sz w:val="18"/>
          <w:highlight w:val="none"/>
        </w:rPr>
        <mc:AlternateContent>
          <mc:Choice Requires="wps">
            <w:drawing>
              <wp:anchor distT="0" distB="0" distL="114300" distR="114300" simplePos="0" relativeHeight="251706368" behindDoc="0" locked="0" layoutInCell="1" allowOverlap="1">
                <wp:simplePos x="0" y="0"/>
                <wp:positionH relativeFrom="column">
                  <wp:posOffset>4060190</wp:posOffset>
                </wp:positionH>
                <wp:positionV relativeFrom="paragraph">
                  <wp:posOffset>4524375</wp:posOffset>
                </wp:positionV>
                <wp:extent cx="920115" cy="345440"/>
                <wp:effectExtent l="4445" t="4445" r="8890" b="12065"/>
                <wp:wrapNone/>
                <wp:docPr id="53" name="文本框 1862"/>
                <wp:cNvGraphicFramePr/>
                <a:graphic xmlns:a="http://schemas.openxmlformats.org/drawingml/2006/main">
                  <a:graphicData uri="http://schemas.microsoft.com/office/word/2010/wordprocessingShape">
                    <wps:wsp>
                      <wps:cNvSpPr txBox="1"/>
                      <wps:spPr>
                        <a:xfrm>
                          <a:off x="0" y="0"/>
                          <a:ext cx="920115" cy="3454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D3143E">
                            <w:pPr>
                              <w:rPr>
                                <w:rFonts w:hint="default" w:eastAsia="宋体"/>
                                <w:b/>
                                <w:bCs/>
                                <w:highlight w:val="yellow"/>
                                <w:lang w:val="en-US" w:eastAsia="zh-CN"/>
                              </w:rPr>
                            </w:pPr>
                            <w:r>
                              <w:rPr>
                                <w:rFonts w:hint="eastAsia" w:eastAsia="宋体"/>
                                <w:b/>
                                <w:bCs/>
                                <w:highlight w:val="yellow"/>
                                <w:lang w:val="en-US" w:eastAsia="zh-CN"/>
                              </w:rPr>
                              <w:t>接市政管网</w:t>
                            </w:r>
                          </w:p>
                        </w:txbxContent>
                      </wps:txbx>
                      <wps:bodyPr vert="horz" wrap="square" anchor="t" anchorCtr="0" upright="1"/>
                    </wps:wsp>
                  </a:graphicData>
                </a:graphic>
              </wp:anchor>
            </w:drawing>
          </mc:Choice>
          <mc:Fallback>
            <w:pict>
              <v:shape id="文本框 1862" o:spid="_x0000_s1026" o:spt="202" type="#_x0000_t202" style="position:absolute;left:0pt;margin-left:319.7pt;margin-top:356.25pt;height:27.2pt;width:72.45pt;z-index:251706368;mso-width-relative:page;mso-height-relative:page;" fillcolor="#FFFFFF" filled="t" stroked="t" coordsize="21600,21600" o:gfxdata="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500N02wAAAAsBAAAPAAAAAAAAAAEAIAAAACIAAABkcnMvZG93bnJldi54bWxQ&#10;SwECFAAUAAAACACHTuJAXVVrXS0CAABsBAAADgAAAAAAAAABACAAAAAqAQAAZHJzL2Uyb0RvYy54&#10;bWxQSwUGAAAAAAYABgBZAQAAyQUAAAAA&#10;">
                <v:fill on="t" focussize="0,0"/>
                <v:stroke color="#000000" joinstyle="miter"/>
                <v:imagedata o:title=""/>
                <o:lock v:ext="edit" aspectratio="f"/>
                <v:textbox>
                  <w:txbxContent>
                    <w:p w14:paraId="79D3143E">
                      <w:pPr>
                        <w:rPr>
                          <w:rFonts w:hint="default" w:eastAsia="宋体"/>
                          <w:b/>
                          <w:bCs/>
                          <w:highlight w:val="yellow"/>
                          <w:lang w:val="en-US" w:eastAsia="zh-CN"/>
                        </w:rPr>
                      </w:pPr>
                      <w:r>
                        <w:rPr>
                          <w:rFonts w:hint="eastAsia" w:eastAsia="宋体"/>
                          <w:b/>
                          <w:bCs/>
                          <w:highlight w:val="yellow"/>
                          <w:lang w:val="en-US" w:eastAsia="zh-CN"/>
                        </w:rPr>
                        <w:t>接市政管网</w:t>
                      </w:r>
                    </w:p>
                  </w:txbxContent>
                </v:textbox>
              </v:shape>
            </w:pict>
          </mc:Fallback>
        </mc:AlternateContent>
      </w:r>
      <w:r>
        <w:rPr>
          <w:color w:val="auto"/>
          <w:sz w:val="18"/>
          <w:highlight w:val="none"/>
        </w:rPr>
        <mc:AlternateContent>
          <mc:Choice Requires="wps">
            <w:drawing>
              <wp:anchor distT="0" distB="0" distL="114300" distR="114300" simplePos="0" relativeHeight="251705344" behindDoc="0" locked="0" layoutInCell="1" allowOverlap="1">
                <wp:simplePos x="0" y="0"/>
                <wp:positionH relativeFrom="column">
                  <wp:posOffset>3898900</wp:posOffset>
                </wp:positionH>
                <wp:positionV relativeFrom="paragraph">
                  <wp:posOffset>4587240</wp:posOffset>
                </wp:positionV>
                <wp:extent cx="180975" cy="190500"/>
                <wp:effectExtent l="4445" t="4445" r="5080" b="14605"/>
                <wp:wrapNone/>
                <wp:docPr id="52" name="自选图形 8"/>
                <wp:cNvGraphicFramePr/>
                <a:graphic xmlns:a="http://schemas.openxmlformats.org/drawingml/2006/main">
                  <a:graphicData uri="http://schemas.microsoft.com/office/word/2010/wordprocessingShape">
                    <wps:wsp>
                      <wps:cNvSpPr/>
                      <wps:spPr>
                        <a:xfrm>
                          <a:off x="0" y="0"/>
                          <a:ext cx="180975" cy="190500"/>
                        </a:xfrm>
                        <a:custGeom>
                          <a:avLst/>
                          <a:gdLst>
                            <a:gd name="txL" fmla="*/ 3163 w 21600"/>
                            <a:gd name="txT" fmla="*/ 3163 h 21600"/>
                            <a:gd name="txR" fmla="*/ 18437 w 21600"/>
                            <a:gd name="txB" fmla="*/ 18437 h 21600"/>
                          </a:gdLst>
                          <a:ahLst/>
                          <a:cxnLst>
                            <a:cxn ang="270">
                              <a:pos x="10800" y="0"/>
                            </a:cxn>
                            <a:cxn ang="270">
                              <a:pos x="3163" y="3163"/>
                            </a:cxn>
                            <a:cxn ang="180">
                              <a:pos x="0" y="10800"/>
                            </a:cxn>
                            <a:cxn ang="90">
                              <a:pos x="3163" y="18437"/>
                            </a:cxn>
                            <a:cxn ang="90">
                              <a:pos x="10800" y="21600"/>
                            </a:cxn>
                            <a:cxn ang="90">
                              <a:pos x="18437" y="18437"/>
                            </a:cxn>
                            <a:cxn ang="0">
                              <a:pos x="21600" y="10800"/>
                            </a:cxn>
                            <a:cxn ang="270">
                              <a:pos x="18437" y="3163"/>
                            </a:cxn>
                          </a:cxnLst>
                          <a:rect l="txL" t="txT" r="txR" b="txB"/>
                          <a:pathLst>
                            <a:path w="21600" h="21600">
                              <a:moveTo>
                                <a:pt x="0" y="10800"/>
                              </a:moveTo>
                              <a:arcTo wR="10800" hR="10800" stAng="10800000" swAng="5400000"/>
                              <a:arcTo wR="10800" hR="10800" stAng="-5400000" swAng="5400000"/>
                              <a:arcTo wR="10800" hR="10800" stAng="0" swAng="5400000"/>
                              <a:arcTo wR="10800" hR="10800" stAng="5400000" swAng="5400000"/>
                              <a:close/>
                              <a:moveTo>
                                <a:pt x="5400" y="10800"/>
                              </a:moveTo>
                              <a:arcTo wR="5400" hR="5400" stAng="10800000" swAng="-5400000"/>
                              <a:arcTo wR="5400" hR="5400" stAng="5400000" swAng="-5400000"/>
                              <a:arcTo wR="5400" hR="5400" stAng="0" swAng="-5400000"/>
                              <a:arcTo wR="5400" hR="5400" stAng="-5400000" swAng="-5400000"/>
                              <a:close/>
                            </a:path>
                          </a:pathLst>
                        </a:custGeom>
                        <a:solidFill>
                          <a:srgbClr val="FF0000"/>
                        </a:solidFill>
                        <a:ln w="9525" cap="flat" cmpd="sng">
                          <a:solidFill>
                            <a:srgbClr val="000000"/>
                          </a:solidFill>
                          <a:prstDash val="solid"/>
                          <a:headEnd type="none" w="med" len="med"/>
                          <a:tailEnd type="none" w="med" len="med"/>
                        </a:ln>
                      </wps:spPr>
                      <wps:bodyPr vert="horz" wrap="square" anchor="t" anchorCtr="0" upright="1"/>
                    </wps:wsp>
                  </a:graphicData>
                </a:graphic>
              </wp:anchor>
            </w:drawing>
          </mc:Choice>
          <mc:Fallback>
            <w:pict>
              <v:shape id="自选图形 8" o:spid="_x0000_s1026" o:spt="100" style="position:absolute;left:0pt;margin-left:307pt;margin-top:361.2pt;height:15pt;width:14.25pt;z-index:251705344;mso-width-relative:page;mso-height-relative:page;" fillcolor="#FF0000" filled="t" stroked="t" coordsize="21600,21600" o:gfxdata="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" path="m0,10800c0,4835,4835,0,10800,0c16765,0,21600,4835,21600,10800c21600,16765,16765,21600,10800,21600c4835,21600,0,16765,0,10800xm5400,10800c5400,13782,7818,16200,10800,16200c13782,16200,16200,13782,16200,10800c16200,7818,13782,5400,10800,5400c7818,5400,5400,7818,5400,10800xe">
                <v:path o:connectlocs="10800,0;3163,3163;0,10800;3163,18437;10800,21600;18437,18437;21600,10800;18437,3163" o:connectangles="0,0,0,0,0,0,0,0"/>
                <v:fill on="t" focussize="0,0"/>
                <v:stroke color="#000000" joinstyle="round"/>
                <v:imagedata o:title=""/>
                <o:lock v:ext="edit" aspectratio="f"/>
              </v:shape>
            </w:pict>
          </mc:Fallback>
        </mc:AlternateContent>
      </w:r>
      <w:r>
        <w:rPr>
          <w:color w:val="auto"/>
          <w:sz w:val="18"/>
          <w:highlight w:val="none"/>
        </w:rPr>
        <mc:AlternateContent>
          <mc:Choice Requires="wps">
            <w:drawing>
              <wp:anchor distT="0" distB="0" distL="114300" distR="114300" simplePos="0" relativeHeight="251739136" behindDoc="0" locked="0" layoutInCell="1" allowOverlap="1">
                <wp:simplePos x="0" y="0"/>
                <wp:positionH relativeFrom="column">
                  <wp:posOffset>5069205</wp:posOffset>
                </wp:positionH>
                <wp:positionV relativeFrom="paragraph">
                  <wp:posOffset>1155065</wp:posOffset>
                </wp:positionV>
                <wp:extent cx="190500" cy="180975"/>
                <wp:effectExtent l="3175" t="3175" r="15875" b="6350"/>
                <wp:wrapNone/>
                <wp:docPr id="72" name="直线 155"/>
                <wp:cNvGraphicFramePr/>
                <a:graphic xmlns:a="http://schemas.openxmlformats.org/drawingml/2006/main">
                  <a:graphicData uri="http://schemas.microsoft.com/office/word/2010/wordprocessingShape">
                    <wps:wsp>
                      <wps:cNvCnPr/>
                      <wps:spPr>
                        <a:xfrm>
                          <a:off x="0" y="0"/>
                          <a:ext cx="190500" cy="18097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5" o:spid="_x0000_s1026" o:spt="20" style="position:absolute;left:0pt;margin-left:399.15pt;margin-top:90.95pt;height:14.25pt;width:15pt;z-index:251739136;mso-width-relative:page;mso-height-relative:page;" filled="f" stroked="t" coordsize="21600,21600" o:gfxdata="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MgeLs9gAAAALAQAADwAAAAAAAAABACAAAAAiAAAAZHJzL2Rvd25yZXYueG1sUEsBAhQAFAAA&#10;AAgAh07iQFnMrSnvAQAA4gMAAA4AAAAAAAAAAQAgAAAAJwEAAGRycy9lMm9Eb2MueG1sUEsFBgAA&#10;AAAGAAYAWQEAAIgFAAAAAA==&#10;">
                <v:fill on="f" focussize="0,0"/>
                <v:stroke color="#000000" joinstyle="round"/>
                <v:imagedata o:title=""/>
                <o:lock v:ext="edit" aspectratio="f"/>
              </v:line>
            </w:pict>
          </mc:Fallback>
        </mc:AlternateContent>
      </w:r>
      <w:r>
        <w:rPr>
          <w:color w:val="auto"/>
          <w:sz w:val="18"/>
          <w:highlight w:val="none"/>
        </w:rPr>
        <mc:AlternateContent>
          <mc:Choice Requires="wps">
            <w:drawing>
              <wp:anchor distT="0" distB="0" distL="114300" distR="114300" simplePos="0" relativeHeight="251699200" behindDoc="0" locked="0" layoutInCell="1" allowOverlap="1">
                <wp:simplePos x="0" y="0"/>
                <wp:positionH relativeFrom="column">
                  <wp:posOffset>4645025</wp:posOffset>
                </wp:positionH>
                <wp:positionV relativeFrom="paragraph">
                  <wp:posOffset>847090</wp:posOffset>
                </wp:positionV>
                <wp:extent cx="596265" cy="307975"/>
                <wp:effectExtent l="4445" t="4445" r="8890" b="11430"/>
                <wp:wrapNone/>
                <wp:docPr id="46" name="文本框 1862"/>
                <wp:cNvGraphicFramePr/>
                <a:graphic xmlns:a="http://schemas.openxmlformats.org/drawingml/2006/main">
                  <a:graphicData uri="http://schemas.microsoft.com/office/word/2010/wordprocessingShape">
                    <wps:wsp>
                      <wps:cNvSpPr txBox="1"/>
                      <wps:spPr>
                        <a:xfrm>
                          <a:off x="0" y="0"/>
                          <a:ext cx="596265" cy="3079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5B5CF8C">
                            <w:pPr>
                              <w:rPr>
                                <w:rFonts w:hint="default" w:eastAsia="宋体"/>
                                <w:b/>
                                <w:bCs/>
                                <w:highlight w:val="yellow"/>
                                <w:lang w:val="en-US" w:eastAsia="zh-CN"/>
                              </w:rPr>
                            </w:pPr>
                            <w:r>
                              <w:rPr>
                                <w:rFonts w:hint="eastAsia" w:ascii="Times New Roman" w:eastAsia="宋体"/>
                                <w:b/>
                                <w:bCs/>
                                <w:highlight w:val="yellow"/>
                                <w:lang w:val="en-US" w:eastAsia="zh-CN"/>
                              </w:rPr>
                              <w:t>固废仓</w:t>
                            </w:r>
                          </w:p>
                        </w:txbxContent>
                      </wps:txbx>
                      <wps:bodyPr wrap="square" upright="1"/>
                    </wps:wsp>
                  </a:graphicData>
                </a:graphic>
              </wp:anchor>
            </w:drawing>
          </mc:Choice>
          <mc:Fallback>
            <w:pict>
              <v:shape id="文本框 1862" o:spid="_x0000_s1026" o:spt="202" type="#_x0000_t202" style="position:absolute;left:0pt;margin-left:365.75pt;margin-top:66.7pt;height:24.25pt;width:46.95pt;z-index:251699200;mso-width-relative:page;mso-height-relative:page;" fillcolor="#FFFFFF" filled="t" stroked="t" coordsize="21600,21600" o:gfxdata="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ZyoITaAAAACwEA&#10;AA8AAAAAAAAAAQAgAAAAIgAAAGRycy9kb3ducmV2LnhtbFBLAQIUABQAAAAIAIdO4kDUdYm4GAIA&#10;AEcEAAAOAAAAAAAAAAEAIAAAACkBAABkcnMvZTJvRG9jLnhtbFBLBQYAAAAABgAGAFkBAACzBQAA&#10;AAA=&#10;">
                <v:fill on="t" focussize="0,0"/>
                <v:stroke color="#000000" joinstyle="miter"/>
                <v:imagedata o:title=""/>
                <o:lock v:ext="edit" aspectratio="f"/>
                <v:textbox>
                  <w:txbxContent>
                    <w:p w14:paraId="05B5CF8C">
                      <w:pPr>
                        <w:rPr>
                          <w:rFonts w:hint="default" w:eastAsia="宋体"/>
                          <w:b/>
                          <w:bCs/>
                          <w:highlight w:val="yellow"/>
                          <w:lang w:val="en-US" w:eastAsia="zh-CN"/>
                        </w:rPr>
                      </w:pPr>
                      <w:r>
                        <w:rPr>
                          <w:rFonts w:hint="eastAsia" w:ascii="Times New Roman" w:eastAsia="宋体"/>
                          <w:b/>
                          <w:bCs/>
                          <w:highlight w:val="yellow"/>
                          <w:lang w:val="en-US" w:eastAsia="zh-CN"/>
                        </w:rPr>
                        <w:t>固废仓</w:t>
                      </w:r>
                    </w:p>
                  </w:txbxContent>
                </v:textbox>
              </v:shape>
            </w:pict>
          </mc:Fallback>
        </mc:AlternateContent>
      </w:r>
      <w:r>
        <w:rPr>
          <w:color w:val="auto"/>
          <w:sz w:val="18"/>
          <w:highlight w:val="none"/>
        </w:rPr>
        <mc:AlternateContent>
          <mc:Choice Requires="wps">
            <w:drawing>
              <wp:anchor distT="0" distB="0" distL="114300" distR="114300" simplePos="0" relativeHeight="251676672" behindDoc="0" locked="0" layoutInCell="1" allowOverlap="1">
                <wp:simplePos x="0" y="0"/>
                <wp:positionH relativeFrom="column">
                  <wp:posOffset>5384165</wp:posOffset>
                </wp:positionH>
                <wp:positionV relativeFrom="paragraph">
                  <wp:posOffset>930275</wp:posOffset>
                </wp:positionV>
                <wp:extent cx="596265" cy="307975"/>
                <wp:effectExtent l="4445" t="4445" r="8890" b="11430"/>
                <wp:wrapNone/>
                <wp:docPr id="20" name="文本框 1862"/>
                <wp:cNvGraphicFramePr/>
                <a:graphic xmlns:a="http://schemas.openxmlformats.org/drawingml/2006/main">
                  <a:graphicData uri="http://schemas.microsoft.com/office/word/2010/wordprocessingShape">
                    <wps:wsp>
                      <wps:cNvSpPr txBox="1"/>
                      <wps:spPr>
                        <a:xfrm>
                          <a:off x="0" y="0"/>
                          <a:ext cx="596265" cy="3079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09014B">
                            <w:pPr>
                              <w:rPr>
                                <w:rFonts w:hint="default" w:eastAsia="宋体"/>
                                <w:b/>
                                <w:bCs/>
                                <w:highlight w:val="yellow"/>
                                <w:lang w:val="en-US" w:eastAsia="zh-CN"/>
                              </w:rPr>
                            </w:pPr>
                            <w:r>
                              <w:rPr>
                                <w:rFonts w:hint="eastAsia" w:ascii="Times New Roman" w:eastAsia="宋体"/>
                                <w:b/>
                                <w:bCs/>
                                <w:highlight w:val="yellow"/>
                                <w:lang w:val="en-US" w:eastAsia="zh-CN"/>
                              </w:rPr>
                              <w:t>危废仓</w:t>
                            </w:r>
                            <w:r>
                              <w:rPr>
                                <w:color w:val="auto"/>
                              </w:rPr>
                              <w:drawing>
                                <wp:inline distT="0" distB="0" distL="114300" distR="114300">
                                  <wp:extent cx="12313285" cy="8655050"/>
                                  <wp:effectExtent l="0" t="0" r="12065" b="12700"/>
                                  <wp:docPr id="112" name="图片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550"/>
                                          <pic:cNvPicPr>
                                            <a:picLocks noChangeAspect="1"/>
                                          </pic:cNvPicPr>
                                        </pic:nvPicPr>
                                        <pic:blipFill>
                                          <a:blip r:embed="rId66"/>
                                          <a:stretch>
                                            <a:fillRect/>
                                          </a:stretch>
                                        </pic:blipFill>
                                        <pic:spPr>
                                          <a:xfrm>
                                            <a:off x="0" y="0"/>
                                            <a:ext cx="12313285" cy="8655050"/>
                                          </a:xfrm>
                                          <a:prstGeom prst="rect">
                                            <a:avLst/>
                                          </a:prstGeom>
                                          <a:noFill/>
                                          <a:ln>
                                            <a:noFill/>
                                          </a:ln>
                                        </pic:spPr>
                                      </pic:pic>
                                    </a:graphicData>
                                  </a:graphic>
                                </wp:inline>
                              </w:drawing>
                            </w:r>
                          </w:p>
                        </w:txbxContent>
                      </wps:txbx>
                      <wps:bodyPr vert="horz" wrap="square" anchor="t" anchorCtr="0" upright="1"/>
                    </wps:wsp>
                  </a:graphicData>
                </a:graphic>
              </wp:anchor>
            </w:drawing>
          </mc:Choice>
          <mc:Fallback>
            <w:pict>
              <v:shape id="文本框 1862" o:spid="_x0000_s1026" o:spt="202" type="#_x0000_t202" style="position:absolute;left:0pt;margin-left:423.95pt;margin-top:73.25pt;height:24.25pt;width:46.95pt;z-index:251676672;mso-width-relative:page;mso-height-relative:page;" fillcolor="#FFFFFF" filled="t" stroked="t" coordsize="21600,21600" o:gfxdata="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x12f/2QAAAAsBAAAPAAAAAAAAAAEAIAAAACIAAABkcnMvZG93bnJldi54bWxQSwEC&#10;FAAUAAAACACHTuJAk3DewCwCAABsBAAADgAAAAAAAAABACAAAAAoAQAAZHJzL2Uyb0RvYy54bWxQ&#10;SwUGAAAAAAYABgBZAQAAxgUAAAAA&#10;">
                <v:fill on="t" focussize="0,0"/>
                <v:stroke color="#000000" joinstyle="miter"/>
                <v:imagedata o:title=""/>
                <o:lock v:ext="edit" aspectratio="f"/>
                <v:textbox>
                  <w:txbxContent>
                    <w:p w14:paraId="5F09014B">
                      <w:pPr>
                        <w:rPr>
                          <w:rFonts w:hint="default" w:eastAsia="宋体"/>
                          <w:b/>
                          <w:bCs/>
                          <w:highlight w:val="yellow"/>
                          <w:lang w:val="en-US" w:eastAsia="zh-CN"/>
                        </w:rPr>
                      </w:pPr>
                      <w:r>
                        <w:rPr>
                          <w:rFonts w:hint="eastAsia" w:ascii="Times New Roman" w:eastAsia="宋体"/>
                          <w:b/>
                          <w:bCs/>
                          <w:highlight w:val="yellow"/>
                          <w:lang w:val="en-US" w:eastAsia="zh-CN"/>
                        </w:rPr>
                        <w:t>危废仓</w:t>
                      </w:r>
                      <w:r>
                        <w:rPr>
                          <w:color w:val="auto"/>
                        </w:rPr>
                        <w:drawing>
                          <wp:inline distT="0" distB="0" distL="114300" distR="114300">
                            <wp:extent cx="12313285" cy="8655050"/>
                            <wp:effectExtent l="0" t="0" r="12065" b="12700"/>
                            <wp:docPr id="112" name="图片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550"/>
                                    <pic:cNvPicPr>
                                      <a:picLocks noChangeAspect="1"/>
                                    </pic:cNvPicPr>
                                  </pic:nvPicPr>
                                  <pic:blipFill>
                                    <a:blip r:embed="rId66"/>
                                    <a:stretch>
                                      <a:fillRect/>
                                    </a:stretch>
                                  </pic:blipFill>
                                  <pic:spPr>
                                    <a:xfrm>
                                      <a:off x="0" y="0"/>
                                      <a:ext cx="12313285" cy="8655050"/>
                                    </a:xfrm>
                                    <a:prstGeom prst="rect">
                                      <a:avLst/>
                                    </a:prstGeom>
                                    <a:noFill/>
                                    <a:ln>
                                      <a:noFill/>
                                    </a:ln>
                                  </pic:spPr>
                                </pic:pic>
                              </a:graphicData>
                            </a:graphic>
                          </wp:inline>
                        </w:drawing>
                      </w:r>
                    </w:p>
                  </w:txbxContent>
                </v:textbox>
              </v:shape>
            </w:pict>
          </mc:Fallback>
        </mc:AlternateContent>
      </w:r>
      <w:r>
        <w:rPr>
          <w:color w:val="auto"/>
          <w:sz w:val="18"/>
          <w:highlight w:val="none"/>
        </w:rPr>
        <mc:AlternateContent>
          <mc:Choice Requires="wps">
            <w:drawing>
              <wp:anchor distT="0" distB="0" distL="114300" distR="114300" simplePos="0" relativeHeight="251738112" behindDoc="0" locked="0" layoutInCell="1" allowOverlap="1">
                <wp:simplePos x="0" y="0"/>
                <wp:positionH relativeFrom="column">
                  <wp:posOffset>5261610</wp:posOffset>
                </wp:positionH>
                <wp:positionV relativeFrom="paragraph">
                  <wp:posOffset>1338580</wp:posOffset>
                </wp:positionV>
                <wp:extent cx="146685" cy="104775"/>
                <wp:effectExtent l="5080" t="4445" r="19685" b="5080"/>
                <wp:wrapNone/>
                <wp:docPr id="71" name="矩形 1861"/>
                <wp:cNvGraphicFramePr/>
                <a:graphic xmlns:a="http://schemas.openxmlformats.org/drawingml/2006/main">
                  <a:graphicData uri="http://schemas.microsoft.com/office/word/2010/wordprocessingShape">
                    <wps:wsp>
                      <wps:cNvSpPr/>
                      <wps:spPr>
                        <a:xfrm>
                          <a:off x="0" y="0"/>
                          <a:ext cx="146685" cy="104775"/>
                        </a:xfrm>
                        <a:prstGeom prst="rect">
                          <a:avLst/>
                        </a:prstGeom>
                        <a:solidFill>
                          <a:srgbClr val="00B0F0"/>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矩形 1861" o:spid="_x0000_s1026" o:spt="1" style="position:absolute;left:0pt;margin-left:414.3pt;margin-top:105.4pt;height:8.25pt;width:11.55pt;z-index:251738112;mso-width-relative:page;mso-height-relative:page;" fillcolor="#00B0F0" filled="t" stroked="t" coordsize="21600,21600" o:gfxdata="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i+dxH9cA&#10;AAALAQAADwAAAAAAAAABACAAAAAiAAAAZHJzL2Rvd25yZXYueG1sUEsBAhQAFAAAAAgAh07iQKoI&#10;DVUgAgAAVAQAAA4AAAAAAAAAAQAgAAAAJgEAAGRycy9lMm9Eb2MueG1sUEsFBgAAAAAGAAYAWQEA&#10;ALgFAAAAAA==&#10;">
                <v:fill on="t" focussize="0,0"/>
                <v:stroke color="#000000" joinstyle="miter"/>
                <v:imagedata o:title=""/>
                <o:lock v:ext="edit" aspectratio="f"/>
              </v:rect>
            </w:pict>
          </mc:Fallback>
        </mc:AlternateContent>
      </w:r>
      <w:r>
        <w:rPr>
          <w:color w:val="auto"/>
          <w:sz w:val="18"/>
          <w:highlight w:val="none"/>
        </w:rPr>
        <mc:AlternateContent>
          <mc:Choice Requires="wps">
            <w:drawing>
              <wp:anchor distT="0" distB="0" distL="114300" distR="114300" simplePos="0" relativeHeight="251737088" behindDoc="0" locked="0" layoutInCell="1" allowOverlap="1">
                <wp:simplePos x="0" y="0"/>
                <wp:positionH relativeFrom="column">
                  <wp:posOffset>5423535</wp:posOffset>
                </wp:positionH>
                <wp:positionV relativeFrom="paragraph">
                  <wp:posOffset>1351915</wp:posOffset>
                </wp:positionV>
                <wp:extent cx="168910" cy="97790"/>
                <wp:effectExtent l="4445" t="4445" r="17145" b="12065"/>
                <wp:wrapNone/>
                <wp:docPr id="70" name="矩形 1861"/>
                <wp:cNvGraphicFramePr/>
                <a:graphic xmlns:a="http://schemas.openxmlformats.org/drawingml/2006/main">
                  <a:graphicData uri="http://schemas.microsoft.com/office/word/2010/wordprocessingShape">
                    <wps:wsp>
                      <wps:cNvSpPr/>
                      <wps:spPr>
                        <a:xfrm>
                          <a:off x="0" y="0"/>
                          <a:ext cx="168910" cy="97790"/>
                        </a:xfrm>
                        <a:prstGeom prst="rect">
                          <a:avLst/>
                        </a:prstGeom>
                        <a:solidFill>
                          <a:srgbClr val="00B050"/>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矩形 1861" o:spid="_x0000_s1026" o:spt="1" style="position:absolute;left:0pt;margin-left:427.05pt;margin-top:106.45pt;height:7.7pt;width:13.3pt;z-index:251737088;mso-width-relative:page;mso-height-relative:page;" fillcolor="#00B050" filled="t" stroked="t" coordsize="21600,21600" o:gfxdata="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K1VeuPXAAAA&#10;CwEAAA8AAAAAAAAAAQAgAAAAIgAAAGRycy9kb3ducmV2LnhtbFBLAQIUABQAAAAIAIdO4kCI+nCY&#10;HgIAAFMEAAAOAAAAAAAAAAEAIAAAACYBAABkcnMvZTJvRG9jLnhtbFBLBQYAAAAABgAGAFkBAAC2&#10;BQAAAAA=&#10;">
                <v:fill on="t" focussize="0,0"/>
                <v:stroke color="#000000" joinstyle="miter"/>
                <v:imagedata o:title=""/>
                <o:lock v:ext="edit" aspectratio="f"/>
              </v:rect>
            </w:pict>
          </mc:Fallback>
        </mc:AlternateContent>
      </w:r>
      <w:r>
        <w:rPr>
          <w:color w:val="auto"/>
          <w:sz w:val="18"/>
          <w:highlight w:val="none"/>
        </w:rPr>
        <mc:AlternateContent>
          <mc:Choice Requires="wps">
            <w:drawing>
              <wp:anchor distT="0" distB="0" distL="114300" distR="114300" simplePos="0" relativeHeight="251693056" behindDoc="0" locked="0" layoutInCell="1" allowOverlap="1">
                <wp:simplePos x="0" y="0"/>
                <wp:positionH relativeFrom="column">
                  <wp:posOffset>2656205</wp:posOffset>
                </wp:positionH>
                <wp:positionV relativeFrom="paragraph">
                  <wp:posOffset>3882390</wp:posOffset>
                </wp:positionV>
                <wp:extent cx="114300" cy="121920"/>
                <wp:effectExtent l="4445" t="4445" r="14605" b="6985"/>
                <wp:wrapNone/>
                <wp:docPr id="38" name="椭圆 2"/>
                <wp:cNvGraphicFramePr/>
                <a:graphic xmlns:a="http://schemas.openxmlformats.org/drawingml/2006/main">
                  <a:graphicData uri="http://schemas.microsoft.com/office/word/2010/wordprocessingShape">
                    <wps:wsp>
                      <wps:cNvSpPr/>
                      <wps:spPr>
                        <a:xfrm>
                          <a:off x="0" y="0"/>
                          <a:ext cx="114300" cy="121920"/>
                        </a:xfrm>
                        <a:prstGeom prst="ellipse">
                          <a:avLst/>
                        </a:prstGeom>
                        <a:solidFill>
                          <a:srgbClr val="FF0000"/>
                        </a:solidFill>
                        <a:ln w="9525" cap="flat" cmpd="sng">
                          <a:solidFill>
                            <a:srgbClr val="000000"/>
                          </a:solidFill>
                          <a:prstDash val="solid"/>
                          <a:headEnd type="none" w="med" len="med"/>
                          <a:tailEnd type="none" w="med" len="med"/>
                        </a:ln>
                      </wps:spPr>
                      <wps:bodyPr vert="horz" wrap="square" anchor="t" anchorCtr="0" upright="1"/>
                    </wps:wsp>
                  </a:graphicData>
                </a:graphic>
              </wp:anchor>
            </w:drawing>
          </mc:Choice>
          <mc:Fallback>
            <w:pict>
              <v:shape id="椭圆 2" o:spid="_x0000_s1026" o:spt="3" type="#_x0000_t3" style="position:absolute;left:0pt;margin-left:209.15pt;margin-top:305.7pt;height:9.6pt;width:9pt;z-index:251693056;mso-width-relative:page;mso-height-relative:page;" fillcolor="#FF0000" filled="t" stroked="t" coordsize="21600,21600" o:gfxdata="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Za0eT2AAAAAsBAAAP&#10;AAAAAAAAAAEAIAAAACIAAABkcnMvZG93bnJldi54bWxQSwECFAAUAAAACACHTuJACPEVkxgCAABK&#10;BAAADgAAAAAAAAABACAAAAAnAQAAZHJzL2Uyb0RvYy54bWxQSwUGAAAAAAYABgBZAQAAsQUAAAAA&#10;">
                <v:fill on="t" focussize="0,0"/>
                <v:stroke color="#000000" joinstyle="round"/>
                <v:imagedata o:title=""/>
                <o:lock v:ext="edit" aspectratio="f"/>
              </v:shape>
            </w:pict>
          </mc:Fallback>
        </mc:AlternateContent>
      </w:r>
      <w:r>
        <w:rPr>
          <w:color w:val="auto"/>
          <w:sz w:val="18"/>
          <w:highlight w:val="none"/>
        </w:rPr>
        <mc:AlternateContent>
          <mc:Choice Requires="wps">
            <w:drawing>
              <wp:anchor distT="0" distB="0" distL="114300" distR="114300" simplePos="0" relativeHeight="251695104" behindDoc="0" locked="0" layoutInCell="1" allowOverlap="1">
                <wp:simplePos x="0" y="0"/>
                <wp:positionH relativeFrom="column">
                  <wp:posOffset>2319020</wp:posOffset>
                </wp:positionH>
                <wp:positionV relativeFrom="paragraph">
                  <wp:posOffset>3966210</wp:posOffset>
                </wp:positionV>
                <wp:extent cx="710565" cy="353060"/>
                <wp:effectExtent l="0" t="0" r="0" b="0"/>
                <wp:wrapNone/>
                <wp:docPr id="40" name="文本框 4"/>
                <wp:cNvGraphicFramePr/>
                <a:graphic xmlns:a="http://schemas.openxmlformats.org/drawingml/2006/main">
                  <a:graphicData uri="http://schemas.microsoft.com/office/word/2010/wordprocessingShape">
                    <wps:wsp>
                      <wps:cNvSpPr txBox="1"/>
                      <wps:spPr>
                        <a:xfrm>
                          <a:off x="0" y="0"/>
                          <a:ext cx="710565" cy="353060"/>
                        </a:xfrm>
                        <a:prstGeom prst="rect">
                          <a:avLst/>
                        </a:prstGeom>
                        <a:noFill/>
                        <a:ln>
                          <a:noFill/>
                        </a:ln>
                      </wps:spPr>
                      <wps:txbx>
                        <w:txbxContent>
                          <w:p w14:paraId="7FDC4952">
                            <w:pPr>
                              <w:rPr>
                                <w:rFonts w:hint="default" w:eastAsia="宋体"/>
                                <w:b/>
                                <w:bCs/>
                                <w:highlight w:val="yellow"/>
                                <w:lang w:val="en-US" w:eastAsia="zh-CN"/>
                              </w:rPr>
                            </w:pPr>
                            <w:r>
                              <w:rPr>
                                <w:rFonts w:hint="eastAsia" w:ascii="Times New Roman" w:eastAsia="宋体"/>
                                <w:b/>
                                <w:bCs/>
                                <w:highlight w:val="yellow"/>
                                <w:lang w:val="en-US" w:eastAsia="zh-CN"/>
                              </w:rPr>
                              <w:t>DW002</w:t>
                            </w:r>
                          </w:p>
                        </w:txbxContent>
                      </wps:txbx>
                      <wps:bodyPr vert="horz" wrap="square" anchor="t" anchorCtr="0" upright="1"/>
                    </wps:wsp>
                  </a:graphicData>
                </a:graphic>
              </wp:anchor>
            </w:drawing>
          </mc:Choice>
          <mc:Fallback>
            <w:pict>
              <v:shape id="文本框 4" o:spid="_x0000_s1026" o:spt="202" type="#_x0000_t202" style="position:absolute;left:0pt;margin-left:182.6pt;margin-top:312.3pt;height:27.8pt;width:55.95pt;z-index:251695104;mso-width-relative:page;mso-height-relative:page;" filled="f" stroked="f" coordsize="21600,21600" o:gfxdata="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iCVh2QAAAAsBAAAPAAAAAAAAAAEAIAAAACIAAABk&#10;cnMvZG93bnJldi54bWxQSwECFAAUAAAACACHTuJALQliVcwBAACBAwAADgAAAAAAAAABACAAAAAo&#10;AQAAZHJzL2Uyb0RvYy54bWxQSwUGAAAAAAYABgBZAQAAZgUAAAAA&#10;">
                <v:fill on="f" focussize="0,0"/>
                <v:stroke on="f"/>
                <v:imagedata o:title=""/>
                <o:lock v:ext="edit" aspectratio="f"/>
                <v:textbox>
                  <w:txbxContent>
                    <w:p w14:paraId="7FDC4952">
                      <w:pPr>
                        <w:rPr>
                          <w:rFonts w:hint="default" w:eastAsia="宋体"/>
                          <w:b/>
                          <w:bCs/>
                          <w:highlight w:val="yellow"/>
                          <w:lang w:val="en-US" w:eastAsia="zh-CN"/>
                        </w:rPr>
                      </w:pPr>
                      <w:r>
                        <w:rPr>
                          <w:rFonts w:hint="eastAsia" w:ascii="Times New Roman" w:eastAsia="宋体"/>
                          <w:b/>
                          <w:bCs/>
                          <w:highlight w:val="yellow"/>
                          <w:lang w:val="en-US" w:eastAsia="zh-CN"/>
                        </w:rPr>
                        <w:t>DW002</w:t>
                      </w:r>
                    </w:p>
                  </w:txbxContent>
                </v:textbox>
              </v:shape>
            </w:pict>
          </mc:Fallback>
        </mc:AlternateContent>
      </w:r>
      <w:r>
        <w:rPr>
          <w:color w:val="auto"/>
          <w:sz w:val="18"/>
          <w:highlight w:val="none"/>
        </w:rPr>
        <mc:AlternateContent>
          <mc:Choice Requires="wps">
            <w:drawing>
              <wp:anchor distT="0" distB="0" distL="114300" distR="114300" simplePos="0" relativeHeight="251685888" behindDoc="0" locked="0" layoutInCell="1" allowOverlap="1">
                <wp:simplePos x="0" y="0"/>
                <wp:positionH relativeFrom="column">
                  <wp:posOffset>6132195</wp:posOffset>
                </wp:positionH>
                <wp:positionV relativeFrom="paragraph">
                  <wp:posOffset>4094480</wp:posOffset>
                </wp:positionV>
                <wp:extent cx="674370" cy="314325"/>
                <wp:effectExtent l="0" t="0" r="0" b="0"/>
                <wp:wrapNone/>
                <wp:docPr id="29" name="文本框 1882"/>
                <wp:cNvGraphicFramePr/>
                <a:graphic xmlns:a="http://schemas.openxmlformats.org/drawingml/2006/main">
                  <a:graphicData uri="http://schemas.microsoft.com/office/word/2010/wordprocessingShape">
                    <wps:wsp>
                      <wps:cNvSpPr txBox="1"/>
                      <wps:spPr>
                        <a:xfrm>
                          <a:off x="0" y="0"/>
                          <a:ext cx="674370" cy="314325"/>
                        </a:xfrm>
                        <a:prstGeom prst="rect">
                          <a:avLst/>
                        </a:prstGeom>
                        <a:noFill/>
                        <a:ln>
                          <a:noFill/>
                        </a:ln>
                      </wps:spPr>
                      <wps:txbx>
                        <w:txbxContent>
                          <w:p w14:paraId="42DF7F60">
                            <w:pPr>
                              <w:rPr>
                                <w:rFonts w:hint="default" w:eastAsia="宋体"/>
                                <w:b/>
                                <w:bCs/>
                                <w:highlight w:val="yellow"/>
                                <w:lang w:val="en-US" w:eastAsia="zh-CN"/>
                              </w:rPr>
                            </w:pPr>
                            <w:r>
                              <w:rPr>
                                <w:rFonts w:hint="eastAsia" w:ascii="Times New Roman" w:eastAsia="宋体"/>
                                <w:b/>
                                <w:bCs/>
                                <w:highlight w:val="yellow"/>
                                <w:lang w:val="en-US" w:eastAsia="zh-CN"/>
                              </w:rPr>
                              <w:t>DW001</w:t>
                            </w:r>
                          </w:p>
                        </w:txbxContent>
                      </wps:txbx>
                      <wps:bodyPr vert="horz" wrap="square" anchor="t" anchorCtr="0" upright="1"/>
                    </wps:wsp>
                  </a:graphicData>
                </a:graphic>
              </wp:anchor>
            </w:drawing>
          </mc:Choice>
          <mc:Fallback>
            <w:pict>
              <v:shape id="文本框 1882" o:spid="_x0000_s1026" o:spt="202" type="#_x0000_t202" style="position:absolute;left:0pt;margin-left:482.85pt;margin-top:322.4pt;height:24.75pt;width:53.1pt;z-index:251685888;mso-width-relative:page;mso-height-relative:page;" filled="f" stroked="f" coordsize="21600,21600" o:gfxdata="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ZI1y02QAAAAwBAAAPAAAAAAAAAAEAIAAAACIA&#10;AABkcnMvZG93bnJldi54bWxQSwECFAAUAAAACACHTuJAUCe97s8BAACEAwAADgAAAAAAAAABACAA&#10;AAAoAQAAZHJzL2Uyb0RvYy54bWxQSwUGAAAAAAYABgBZAQAAaQUAAAAA&#10;">
                <v:fill on="f" focussize="0,0"/>
                <v:stroke on="f"/>
                <v:imagedata o:title=""/>
                <o:lock v:ext="edit" aspectratio="f"/>
                <v:textbox>
                  <w:txbxContent>
                    <w:p w14:paraId="42DF7F60">
                      <w:pPr>
                        <w:rPr>
                          <w:rFonts w:hint="default" w:eastAsia="宋体"/>
                          <w:b/>
                          <w:bCs/>
                          <w:highlight w:val="yellow"/>
                          <w:lang w:val="en-US" w:eastAsia="zh-CN"/>
                        </w:rPr>
                      </w:pPr>
                      <w:r>
                        <w:rPr>
                          <w:rFonts w:hint="eastAsia" w:ascii="Times New Roman" w:eastAsia="宋体"/>
                          <w:b/>
                          <w:bCs/>
                          <w:highlight w:val="yellow"/>
                          <w:lang w:val="en-US" w:eastAsia="zh-CN"/>
                        </w:rPr>
                        <w:t>DW001</w:t>
                      </w:r>
                    </w:p>
                  </w:txbxContent>
                </v:textbox>
              </v:shape>
            </w:pict>
          </mc:Fallback>
        </mc:AlternateContent>
      </w:r>
      <w:r>
        <w:rPr>
          <w:color w:val="auto"/>
          <w:sz w:val="18"/>
          <w:highlight w:val="none"/>
        </w:rPr>
        <mc:AlternateContent>
          <mc:Choice Requires="wps">
            <w:drawing>
              <wp:anchor distT="0" distB="0" distL="114300" distR="114300" simplePos="0" relativeHeight="251694080" behindDoc="0" locked="0" layoutInCell="1" allowOverlap="1">
                <wp:simplePos x="0" y="0"/>
                <wp:positionH relativeFrom="column">
                  <wp:posOffset>5998845</wp:posOffset>
                </wp:positionH>
                <wp:positionV relativeFrom="paragraph">
                  <wp:posOffset>4148455</wp:posOffset>
                </wp:positionV>
                <wp:extent cx="114300" cy="121920"/>
                <wp:effectExtent l="4445" t="4445" r="14605" b="6985"/>
                <wp:wrapNone/>
                <wp:docPr id="39" name="椭圆 3"/>
                <wp:cNvGraphicFramePr/>
                <a:graphic xmlns:a="http://schemas.openxmlformats.org/drawingml/2006/main">
                  <a:graphicData uri="http://schemas.microsoft.com/office/word/2010/wordprocessingShape">
                    <wps:wsp>
                      <wps:cNvSpPr/>
                      <wps:spPr>
                        <a:xfrm>
                          <a:off x="0" y="0"/>
                          <a:ext cx="114300" cy="121920"/>
                        </a:xfrm>
                        <a:prstGeom prst="ellipse">
                          <a:avLst/>
                        </a:prstGeom>
                        <a:solidFill>
                          <a:srgbClr val="FF0000"/>
                        </a:solidFill>
                        <a:ln w="9525" cap="flat" cmpd="sng">
                          <a:solidFill>
                            <a:srgbClr val="000000"/>
                          </a:solidFill>
                          <a:prstDash val="solid"/>
                          <a:headEnd type="none" w="med" len="med"/>
                          <a:tailEnd type="none" w="med" len="med"/>
                        </a:ln>
                      </wps:spPr>
                      <wps:bodyPr wrap="square" upright="1"/>
                    </wps:wsp>
                  </a:graphicData>
                </a:graphic>
              </wp:anchor>
            </w:drawing>
          </mc:Choice>
          <mc:Fallback>
            <w:pict>
              <v:shape id="椭圆 3" o:spid="_x0000_s1026" o:spt="3" type="#_x0000_t3" style="position:absolute;left:0pt;margin-left:472.35pt;margin-top:326.65pt;height:9.6pt;width:9pt;z-index:251694080;mso-width-relative:page;mso-height-relative:page;" fillcolor="#FF0000" filled="t" stroked="t" coordsize="21600,21600" o:gfxdata="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0aO4x2gAAAAsBAAAPAAAAAAAAAAEAIAAAACIAAABk&#10;cnMvZG93bnJldi54bWxQSwECFAAUAAAACACHTuJAHmIqNQQCAAAlBAAADgAAAAAAAAABACAAAAAp&#10;AQAAZHJzL2Uyb0RvYy54bWxQSwUGAAAAAAYABgBZAQAAnwUAAAAA&#10;">
                <v:fill on="t" focussize="0,0"/>
                <v:stroke color="#000000" joinstyle="round"/>
                <v:imagedata o:title=""/>
                <o:lock v:ext="edit" aspectratio="f"/>
              </v:shape>
            </w:pict>
          </mc:Fallback>
        </mc:AlternateContent>
      </w:r>
      <w:r>
        <w:rPr>
          <w:color w:val="auto"/>
          <w:sz w:val="18"/>
          <w:highlight w:val="none"/>
        </w:rPr>
        <mc:AlternateContent>
          <mc:Choice Requires="wps">
            <w:drawing>
              <wp:anchor distT="0" distB="0" distL="114300" distR="114300" simplePos="0" relativeHeight="251675648" behindDoc="0" locked="0" layoutInCell="1" allowOverlap="1">
                <wp:simplePos x="0" y="0"/>
                <wp:positionH relativeFrom="column">
                  <wp:posOffset>695960</wp:posOffset>
                </wp:positionH>
                <wp:positionV relativeFrom="paragraph">
                  <wp:posOffset>2012315</wp:posOffset>
                </wp:positionV>
                <wp:extent cx="1151255" cy="338455"/>
                <wp:effectExtent l="4445" t="4445" r="6350" b="19050"/>
                <wp:wrapNone/>
                <wp:docPr id="19" name="文本框 1860"/>
                <wp:cNvGraphicFramePr/>
                <a:graphic xmlns:a="http://schemas.openxmlformats.org/drawingml/2006/main">
                  <a:graphicData uri="http://schemas.microsoft.com/office/word/2010/wordprocessingShape">
                    <wps:wsp>
                      <wps:cNvSpPr txBox="1"/>
                      <wps:spPr>
                        <a:xfrm>
                          <a:off x="0" y="0"/>
                          <a:ext cx="1151255" cy="33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077B46">
                            <w:pPr>
                              <w:rPr>
                                <w:rFonts w:hint="default" w:eastAsia="宋体"/>
                                <w:b/>
                                <w:bCs/>
                                <w:highlight w:val="yellow"/>
                                <w:lang w:val="en-US" w:eastAsia="zh-CN"/>
                              </w:rPr>
                            </w:pPr>
                            <w:r>
                              <w:rPr>
                                <w:rFonts w:hint="eastAsia" w:ascii="Times New Roman" w:eastAsia="宋体"/>
                                <w:b/>
                                <w:bCs/>
                                <w:highlight w:val="yellow"/>
                                <w:lang w:val="en-US" w:eastAsia="zh-CN"/>
                              </w:rPr>
                              <w:t>自建污水处理站</w:t>
                            </w:r>
                          </w:p>
                        </w:txbxContent>
                      </wps:txbx>
                      <wps:bodyPr vert="horz" wrap="square" anchor="t" anchorCtr="0" upright="1"/>
                    </wps:wsp>
                  </a:graphicData>
                </a:graphic>
              </wp:anchor>
            </w:drawing>
          </mc:Choice>
          <mc:Fallback>
            <w:pict>
              <v:shape id="文本框 1860" o:spid="_x0000_s1026" o:spt="202" type="#_x0000_t202" style="position:absolute;left:0pt;margin-left:54.8pt;margin-top:158.45pt;height:26.65pt;width:90.65pt;z-index:251675648;mso-width-relative:page;mso-height-relative:page;" fillcolor="#FFFFFF" filled="t" stroked="t" coordsize="21600,21600" o:gfxdata="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JuxU9kAAAALAQAADwAAAAAAAAABACAAAAAiAAAAZHJzL2Rvd25yZXYueG1sUEsBAhQA&#10;FAAAAAgAh07iQDVDveIqAgAAbQQAAA4AAAAAAAAAAQAgAAAAKAEAAGRycy9lMm9Eb2MueG1sUEsF&#10;BgAAAAAGAAYAWQEAAMQFAAAAAA==&#10;">
                <v:fill on="t" focussize="0,0"/>
                <v:stroke color="#000000" joinstyle="miter"/>
                <v:imagedata o:title=""/>
                <o:lock v:ext="edit" aspectratio="f"/>
                <v:textbox>
                  <w:txbxContent>
                    <w:p w14:paraId="13077B46">
                      <w:pPr>
                        <w:rPr>
                          <w:rFonts w:hint="default" w:eastAsia="宋体"/>
                          <w:b/>
                          <w:bCs/>
                          <w:highlight w:val="yellow"/>
                          <w:lang w:val="en-US" w:eastAsia="zh-CN"/>
                        </w:rPr>
                      </w:pPr>
                      <w:r>
                        <w:rPr>
                          <w:rFonts w:hint="eastAsia" w:ascii="Times New Roman" w:eastAsia="宋体"/>
                          <w:b/>
                          <w:bCs/>
                          <w:highlight w:val="yellow"/>
                          <w:lang w:val="en-US" w:eastAsia="zh-CN"/>
                        </w:rPr>
                        <w:t>自建污水处理站</w:t>
                      </w:r>
                    </w:p>
                  </w:txbxContent>
                </v:textbox>
              </v:shape>
            </w:pict>
          </mc:Fallback>
        </mc:AlternateContent>
      </w:r>
      <w:r>
        <w:rPr>
          <w:color w:val="auto"/>
          <w:sz w:val="18"/>
          <w:highlight w:val="none"/>
        </w:rPr>
        <mc:AlternateContent>
          <mc:Choice Requires="wps">
            <w:drawing>
              <wp:anchor distT="0" distB="0" distL="114300" distR="114300" simplePos="0" relativeHeight="251742208" behindDoc="0" locked="0" layoutInCell="1" allowOverlap="1">
                <wp:simplePos x="0" y="0"/>
                <wp:positionH relativeFrom="column">
                  <wp:posOffset>1517650</wp:posOffset>
                </wp:positionH>
                <wp:positionV relativeFrom="paragraph">
                  <wp:posOffset>1799590</wp:posOffset>
                </wp:positionV>
                <wp:extent cx="177800" cy="217170"/>
                <wp:effectExtent l="3810" t="3175" r="8890" b="8255"/>
                <wp:wrapNone/>
                <wp:docPr id="75" name="直线 158"/>
                <wp:cNvGraphicFramePr/>
                <a:graphic xmlns:a="http://schemas.openxmlformats.org/drawingml/2006/main">
                  <a:graphicData uri="http://schemas.microsoft.com/office/word/2010/wordprocessingShape">
                    <wps:wsp>
                      <wps:cNvCnPr/>
                      <wps:spPr>
                        <a:xfrm flipH="1">
                          <a:off x="0" y="0"/>
                          <a:ext cx="177800" cy="2171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8" o:spid="_x0000_s1026" o:spt="20" style="position:absolute;left:0pt;flip:x;margin-left:119.5pt;margin-top:141.7pt;height:17.1pt;width:14pt;z-index:251742208;mso-width-relative:page;mso-height-relative:page;" filled="f" stroked="t" coordsize="21600,21600" o:gfxdata="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RdiuhdkAAAALAQAADwAAAAAAAAABACAAAAAiAAAAZHJzL2Rvd25yZXYueG1s&#10;UEsBAhQAFAAAAAgAh07iQPHVodr3AQAA7AMAAA4AAAAAAAAAAQAgAAAAKAEAAGRycy9lMm9Eb2Mu&#10;eG1sUEsFBgAAAAAGAAYAWQEAAJEFAAAAAA==&#10;">
                <v:fill on="f" focussize="0,0"/>
                <v:stroke color="#000000" joinstyle="round"/>
                <v:imagedata o:title=""/>
                <o:lock v:ext="edit" aspectratio="f"/>
              </v:line>
            </w:pict>
          </mc:Fallback>
        </mc:AlternateContent>
      </w:r>
      <w:r>
        <w:rPr>
          <w:color w:val="auto"/>
          <w:sz w:val="18"/>
          <w:highlight w:val="none"/>
        </w:rPr>
        <mc:AlternateContent>
          <mc:Choice Requires="wps">
            <w:drawing>
              <wp:anchor distT="0" distB="0" distL="114300" distR="114300" simplePos="0" relativeHeight="251674624" behindDoc="0" locked="0" layoutInCell="1" allowOverlap="1">
                <wp:simplePos x="0" y="0"/>
                <wp:positionH relativeFrom="column">
                  <wp:posOffset>1675765</wp:posOffset>
                </wp:positionH>
                <wp:positionV relativeFrom="paragraph">
                  <wp:posOffset>1530350</wp:posOffset>
                </wp:positionV>
                <wp:extent cx="149860" cy="272415"/>
                <wp:effectExtent l="5080" t="4445" r="16510" b="8890"/>
                <wp:wrapNone/>
                <wp:docPr id="18" name="矩形 1858"/>
                <wp:cNvGraphicFramePr/>
                <a:graphic xmlns:a="http://schemas.openxmlformats.org/drawingml/2006/main">
                  <a:graphicData uri="http://schemas.microsoft.com/office/word/2010/wordprocessingShape">
                    <wps:wsp>
                      <wps:cNvSpPr/>
                      <wps:spPr>
                        <a:xfrm>
                          <a:off x="0" y="0"/>
                          <a:ext cx="149860" cy="272415"/>
                        </a:xfrm>
                        <a:prstGeom prst="rect">
                          <a:avLst/>
                        </a:prstGeom>
                        <a:solidFill>
                          <a:srgbClr val="0070C0"/>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矩形 1858" o:spid="_x0000_s1026" o:spt="1" style="position:absolute;left:0pt;margin-left:131.95pt;margin-top:120.5pt;height:21.45pt;width:11.8pt;z-index:251674624;mso-width-relative:page;mso-height-relative:page;" fillcolor="#0070C0" filled="t" stroked="t" coordsize="21600,21600" o:gfxdata="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0D&#10;zo/aAAAACwEAAA8AAAAAAAAAAQAgAAAAIgAAAGRycy9kb3ducmV2LnhtbFBLAQIUABQAAAAIAIdO&#10;4kAj0Q8dIQIAAFQEAAAOAAAAAAAAAAEAIAAAACkBAABkcnMvZTJvRG9jLnhtbFBLBQYAAAAABgAG&#10;AFkBAAC8BQAAAAA=&#10;">
                <v:fill on="t" focussize="0,0"/>
                <v:stroke color="#000000" joinstyle="miter"/>
                <v:imagedata o:title=""/>
                <o:lock v:ext="edit" aspectratio="f"/>
              </v:rect>
            </w:pict>
          </mc:Fallback>
        </mc:AlternateContent>
      </w:r>
      <w:r>
        <w:rPr>
          <w:color w:val="auto"/>
          <w:sz w:val="18"/>
          <w:highlight w:val="none"/>
        </w:rPr>
        <mc:AlternateContent>
          <mc:Choice Requires="wps">
            <w:drawing>
              <wp:anchor distT="0" distB="0" distL="114300" distR="114300" simplePos="0" relativeHeight="251688960" behindDoc="0" locked="0" layoutInCell="1" allowOverlap="1">
                <wp:simplePos x="0" y="0"/>
                <wp:positionH relativeFrom="column">
                  <wp:posOffset>6124575</wp:posOffset>
                </wp:positionH>
                <wp:positionV relativeFrom="paragraph">
                  <wp:posOffset>2791460</wp:posOffset>
                </wp:positionV>
                <wp:extent cx="596265" cy="314325"/>
                <wp:effectExtent l="0" t="0" r="0" b="0"/>
                <wp:wrapNone/>
                <wp:docPr id="34" name="文本框 1884"/>
                <wp:cNvGraphicFramePr/>
                <a:graphic xmlns:a="http://schemas.openxmlformats.org/drawingml/2006/main">
                  <a:graphicData uri="http://schemas.microsoft.com/office/word/2010/wordprocessingShape">
                    <wps:wsp>
                      <wps:cNvSpPr txBox="1"/>
                      <wps:spPr>
                        <a:xfrm>
                          <a:off x="0" y="0"/>
                          <a:ext cx="596265" cy="314325"/>
                        </a:xfrm>
                        <a:prstGeom prst="rect">
                          <a:avLst/>
                        </a:prstGeom>
                        <a:noFill/>
                        <a:ln>
                          <a:noFill/>
                        </a:ln>
                      </wps:spPr>
                      <wps:txbx>
                        <w:txbxContent>
                          <w:p w14:paraId="70122388">
                            <w:pPr>
                              <w:rPr>
                                <w:rFonts w:hint="default" w:eastAsia="宋体"/>
                                <w:b/>
                                <w:bCs/>
                                <w:highlight w:val="yellow"/>
                                <w:lang w:val="en-US" w:eastAsia="zh-CN"/>
                              </w:rPr>
                            </w:pPr>
                            <w:r>
                              <w:rPr>
                                <w:rFonts w:hint="eastAsia"/>
                                <w:b/>
                                <w:bCs/>
                                <w:highlight w:val="yellow"/>
                                <w:lang w:val="en-US" w:eastAsia="zh-CN"/>
                              </w:rPr>
                              <w:t>DA003</w:t>
                            </w:r>
                          </w:p>
                        </w:txbxContent>
                      </wps:txbx>
                      <wps:bodyPr wrap="square" upright="1"/>
                    </wps:wsp>
                  </a:graphicData>
                </a:graphic>
              </wp:anchor>
            </w:drawing>
          </mc:Choice>
          <mc:Fallback>
            <w:pict>
              <v:shape id="文本框 1884" o:spid="_x0000_s1026" o:spt="202" type="#_x0000_t202" style="position:absolute;left:0pt;margin-left:482.25pt;margin-top:219.8pt;height:24.75pt;width:46.95pt;z-index:251688960;mso-width-relative:page;mso-height-relative:page;" filled="f" stroked="f" coordsize="21600,21600" o:gfxdata="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kfJy/NgAAAAMAQAADwAAAAAAAAABACAAAAAiAAAAZHJzL2Rvd25yZXYueG1sUEsBAhQA&#10;FAAAAAgAh07iQHTVRSq5AQAAXwMAAA4AAAAAAAAAAQAgAAAAJwEAAGRycy9lMm9Eb2MueG1sUEsF&#10;BgAAAAAGAAYAWQEAAFIFAAAAAA==&#10;">
                <v:fill on="f" focussize="0,0"/>
                <v:stroke on="f"/>
                <v:imagedata o:title=""/>
                <o:lock v:ext="edit" aspectratio="f"/>
                <v:textbox>
                  <w:txbxContent>
                    <w:p w14:paraId="70122388">
                      <w:pPr>
                        <w:rPr>
                          <w:rFonts w:hint="default" w:eastAsia="宋体"/>
                          <w:b/>
                          <w:bCs/>
                          <w:highlight w:val="yellow"/>
                          <w:lang w:val="en-US" w:eastAsia="zh-CN"/>
                        </w:rPr>
                      </w:pPr>
                      <w:r>
                        <w:rPr>
                          <w:rFonts w:hint="eastAsia"/>
                          <w:b/>
                          <w:bCs/>
                          <w:highlight w:val="yellow"/>
                          <w:lang w:val="en-US" w:eastAsia="zh-CN"/>
                        </w:rPr>
                        <w:t>DA003</w:t>
                      </w:r>
                    </w:p>
                  </w:txbxContent>
                </v:textbox>
              </v:shape>
            </w:pict>
          </mc:Fallback>
        </mc:AlternateContent>
      </w:r>
      <w:r>
        <w:rPr>
          <w:color w:val="auto"/>
          <w:sz w:val="18"/>
          <w:highlight w:val="none"/>
        </w:rPr>
        <mc:AlternateContent>
          <mc:Choice Requires="wps">
            <w:drawing>
              <wp:anchor distT="0" distB="0" distL="114300" distR="114300" simplePos="0" relativeHeight="251684864" behindDoc="0" locked="0" layoutInCell="1" allowOverlap="1">
                <wp:simplePos x="0" y="0"/>
                <wp:positionH relativeFrom="column">
                  <wp:posOffset>6169660</wp:posOffset>
                </wp:positionH>
                <wp:positionV relativeFrom="paragraph">
                  <wp:posOffset>3062605</wp:posOffset>
                </wp:positionV>
                <wp:extent cx="114300" cy="121920"/>
                <wp:effectExtent l="4445" t="4445" r="14605" b="6985"/>
                <wp:wrapNone/>
                <wp:docPr id="28" name="椭圆 1880"/>
                <wp:cNvGraphicFramePr/>
                <a:graphic xmlns:a="http://schemas.openxmlformats.org/drawingml/2006/main">
                  <a:graphicData uri="http://schemas.microsoft.com/office/word/2010/wordprocessingShape">
                    <wps:wsp>
                      <wps:cNvSpPr/>
                      <wps:spPr>
                        <a:xfrm>
                          <a:off x="0" y="0"/>
                          <a:ext cx="114300" cy="121920"/>
                        </a:xfrm>
                        <a:prstGeom prst="ellipse">
                          <a:avLst/>
                        </a:prstGeom>
                        <a:solidFill>
                          <a:srgbClr val="00B0F0"/>
                        </a:solidFill>
                        <a:ln w="9525" cap="flat" cmpd="sng">
                          <a:solidFill>
                            <a:srgbClr val="000000"/>
                          </a:solidFill>
                          <a:prstDash val="solid"/>
                          <a:headEnd type="none" w="med" len="med"/>
                          <a:tailEnd type="none" w="med" len="med"/>
                        </a:ln>
                      </wps:spPr>
                      <wps:bodyPr vert="horz" wrap="square" anchor="t" anchorCtr="0" upright="1"/>
                    </wps:wsp>
                  </a:graphicData>
                </a:graphic>
              </wp:anchor>
            </w:drawing>
          </mc:Choice>
          <mc:Fallback>
            <w:pict>
              <v:shape id="椭圆 1880" o:spid="_x0000_s1026" o:spt="3" type="#_x0000_t3" style="position:absolute;left:0pt;margin-left:485.8pt;margin-top:241.15pt;height:9.6pt;width:9pt;z-index:251684864;mso-width-relative:page;mso-height-relative:page;" fillcolor="#00B0F0" filled="t" stroked="t" coordsize="21600,21600" o:gfxdata="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Jyq6Ofd&#10;AAAACwEAAA8AAAAAAAAAAQAgAAAAIgAAAGRycy9kb3ducmV2LnhtbFBLAQIUABQAAAAIAIdO4kCF&#10;+MMqGwIAAE0EAAAOAAAAAAAAAAEAIAAAACwBAABkcnMvZTJvRG9jLnhtbFBLBQYAAAAABgAGAFkB&#10;AAC5BQAAAAA=&#10;">
                <v:fill on="t" focussize="0,0"/>
                <v:stroke color="#000000" joinstyle="round"/>
                <v:imagedata o:title=""/>
                <o:lock v:ext="edit" aspectratio="f"/>
              </v:shape>
            </w:pict>
          </mc:Fallback>
        </mc:AlternateContent>
      </w:r>
      <w:r>
        <w:rPr>
          <w:color w:val="auto"/>
          <w:sz w:val="18"/>
          <w:highlight w:val="none"/>
        </w:rPr>
        <mc:AlternateContent>
          <mc:Choice Requires="wps">
            <w:drawing>
              <wp:anchor distT="0" distB="0" distL="114300" distR="114300" simplePos="0" relativeHeight="251686912" behindDoc="0" locked="0" layoutInCell="1" allowOverlap="1">
                <wp:simplePos x="0" y="0"/>
                <wp:positionH relativeFrom="column">
                  <wp:posOffset>3859530</wp:posOffset>
                </wp:positionH>
                <wp:positionV relativeFrom="paragraph">
                  <wp:posOffset>1261745</wp:posOffset>
                </wp:positionV>
                <wp:extent cx="114300" cy="121920"/>
                <wp:effectExtent l="4445" t="4445" r="14605" b="6985"/>
                <wp:wrapNone/>
                <wp:docPr id="30" name="椭圆 1883"/>
                <wp:cNvGraphicFramePr/>
                <a:graphic xmlns:a="http://schemas.openxmlformats.org/drawingml/2006/main">
                  <a:graphicData uri="http://schemas.microsoft.com/office/word/2010/wordprocessingShape">
                    <wps:wsp>
                      <wps:cNvSpPr/>
                      <wps:spPr>
                        <a:xfrm>
                          <a:off x="0" y="0"/>
                          <a:ext cx="114300" cy="121920"/>
                        </a:xfrm>
                        <a:prstGeom prst="ellipse">
                          <a:avLst/>
                        </a:prstGeom>
                        <a:solidFill>
                          <a:srgbClr val="00B0F0"/>
                        </a:solidFill>
                        <a:ln w="9525" cap="flat" cmpd="sng">
                          <a:solidFill>
                            <a:srgbClr val="000000"/>
                          </a:solidFill>
                          <a:prstDash val="solid"/>
                          <a:headEnd type="none" w="med" len="med"/>
                          <a:tailEnd type="none" w="med" len="med"/>
                        </a:ln>
                      </wps:spPr>
                      <wps:bodyPr wrap="square" upright="1"/>
                    </wps:wsp>
                  </a:graphicData>
                </a:graphic>
              </wp:anchor>
            </w:drawing>
          </mc:Choice>
          <mc:Fallback>
            <w:pict>
              <v:shape id="椭圆 1883" o:spid="_x0000_s1026" o:spt="3" type="#_x0000_t3" style="position:absolute;left:0pt;margin-left:303.9pt;margin-top:99.35pt;height:9.6pt;width:9pt;z-index:251686912;mso-width-relative:page;mso-height-relative:page;" fillcolor="#00B0F0" filled="t" stroked="t" coordsize="21600,21600" o:gfxdata="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ycwUi9wAAAALAQAADwAAAAAAAAABACAA&#10;AAAiAAAAZHJzL2Rvd25yZXYueG1sUEsBAhQAFAAAAAgAh07iQHnp6lcJAgAAKAQAAA4AAAAAAAAA&#10;AQAgAAAAKwEAAGRycy9lMm9Eb2MueG1sUEsFBgAAAAAGAAYAWQEAAKYFAAAAAA==&#10;">
                <v:fill on="t" focussize="0,0"/>
                <v:stroke color="#000000" joinstyle="round"/>
                <v:imagedata o:title=""/>
                <o:lock v:ext="edit" aspectratio="f"/>
              </v:shape>
            </w:pict>
          </mc:Fallback>
        </mc:AlternateContent>
      </w:r>
      <w:r>
        <w:rPr>
          <w:color w:val="auto"/>
          <w:sz w:val="18"/>
          <w:highlight w:val="none"/>
        </w:rPr>
        <mc:AlternateContent>
          <mc:Choice Requires="wps">
            <w:drawing>
              <wp:anchor distT="0" distB="0" distL="114300" distR="114300" simplePos="0" relativeHeight="251741184" behindDoc="0" locked="0" layoutInCell="1" allowOverlap="1">
                <wp:simplePos x="0" y="0"/>
                <wp:positionH relativeFrom="column">
                  <wp:posOffset>2324735</wp:posOffset>
                </wp:positionH>
                <wp:positionV relativeFrom="paragraph">
                  <wp:posOffset>956310</wp:posOffset>
                </wp:positionV>
                <wp:extent cx="190500" cy="180975"/>
                <wp:effectExtent l="3175" t="3175" r="15875" b="6350"/>
                <wp:wrapNone/>
                <wp:docPr id="74" name="直线 157"/>
                <wp:cNvGraphicFramePr/>
                <a:graphic xmlns:a="http://schemas.openxmlformats.org/drawingml/2006/main">
                  <a:graphicData uri="http://schemas.microsoft.com/office/word/2010/wordprocessingShape">
                    <wps:wsp>
                      <wps:cNvCnPr/>
                      <wps:spPr>
                        <a:xfrm>
                          <a:off x="0" y="0"/>
                          <a:ext cx="190500" cy="18097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7" o:spid="_x0000_s1026" o:spt="20" style="position:absolute;left:0pt;margin-left:183.05pt;margin-top:75.3pt;height:14.25pt;width:15pt;z-index:251741184;mso-width-relative:page;mso-height-relative:page;" filled="f" stroked="t" coordsize="21600,21600" o:gfxdata="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QkMzXYAAAACwEAAA8AAAAAAAAAAQAgAAAAIgAAAGRycy9kb3ducmV2LnhtbFBLAQIUABQAAAAI&#10;AIdO4kCxV1po7QEAAOIDAAAOAAAAAAAAAAEAIAAAACcBAABkcnMvZTJvRG9jLnhtbFBLBQYAAAAA&#10;BgAGAFkBAACGBQAAAAA=&#10;">
                <v:fill on="f" focussize="0,0"/>
                <v:stroke color="#000000" joinstyle="round"/>
                <v:imagedata o:title=""/>
                <o:lock v:ext="edit" aspectratio="f"/>
              </v:line>
            </w:pict>
          </mc:Fallback>
        </mc:AlternateContent>
      </w:r>
      <w:r>
        <w:rPr>
          <w:color w:val="auto"/>
          <w:sz w:val="18"/>
          <w:highlight w:val="none"/>
        </w:rPr>
        <mc:AlternateContent>
          <mc:Choice Requires="wps">
            <w:drawing>
              <wp:anchor distT="0" distB="0" distL="114300" distR="114300" simplePos="0" relativeHeight="251740160" behindDoc="0" locked="0" layoutInCell="1" allowOverlap="1">
                <wp:simplePos x="0" y="0"/>
                <wp:positionH relativeFrom="column">
                  <wp:posOffset>5367655</wp:posOffset>
                </wp:positionH>
                <wp:positionV relativeFrom="paragraph">
                  <wp:posOffset>1220470</wp:posOffset>
                </wp:positionV>
                <wp:extent cx="138430" cy="154940"/>
                <wp:effectExtent l="3810" t="3175" r="10160" b="13335"/>
                <wp:wrapNone/>
                <wp:docPr id="73" name="直线 156"/>
                <wp:cNvGraphicFramePr/>
                <a:graphic xmlns:a="http://schemas.openxmlformats.org/drawingml/2006/main">
                  <a:graphicData uri="http://schemas.microsoft.com/office/word/2010/wordprocessingShape">
                    <wps:wsp>
                      <wps:cNvCnPr/>
                      <wps:spPr>
                        <a:xfrm>
                          <a:off x="0" y="0"/>
                          <a:ext cx="138430" cy="1549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6" o:spid="_x0000_s1026" o:spt="20" style="position:absolute;left:0pt;margin-left:422.65pt;margin-top:96.1pt;height:12.2pt;width:10.9pt;z-index:251740160;mso-width-relative:page;mso-height-relative:page;" filled="f" stroked="t" coordsize="21600,21600" o:gfxdata="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xWyvE2QAAAAsBAAAPAAAAAAAAAAEAIAAAACIAAABkcnMvZG93bnJldi54bWxQSwECFAAU&#10;AAAACACHTuJAQgivSfABAADiAwAADgAAAAAAAAABACAAAAAoAQAAZHJzL2Uyb0RvYy54bWxQSwUG&#10;AAAAAAYABgBZAQAAigUAAAAA&#10;">
                <v:fill on="f" focussize="0,0"/>
                <v:stroke color="#000000" joinstyle="round"/>
                <v:imagedata o:title=""/>
                <o:lock v:ext="edit" aspectratio="f"/>
              </v:line>
            </w:pict>
          </mc:Fallback>
        </mc:AlternateContent>
      </w:r>
      <w:r>
        <w:rPr>
          <w:color w:val="auto"/>
          <w:sz w:val="18"/>
          <w:highlight w:val="none"/>
        </w:rPr>
        <mc:AlternateContent>
          <mc:Choice Requires="wps">
            <w:drawing>
              <wp:anchor distT="0" distB="0" distL="114300" distR="114300" simplePos="0" relativeHeight="251703296" behindDoc="0" locked="0" layoutInCell="1" allowOverlap="1">
                <wp:simplePos x="0" y="0"/>
                <wp:positionH relativeFrom="column">
                  <wp:posOffset>2404745</wp:posOffset>
                </wp:positionH>
                <wp:positionV relativeFrom="paragraph">
                  <wp:posOffset>1049020</wp:posOffset>
                </wp:positionV>
                <wp:extent cx="158750" cy="270510"/>
                <wp:effectExtent l="5080" t="4445" r="10160" b="8255"/>
                <wp:wrapNone/>
                <wp:docPr id="50" name="矩形 1858"/>
                <wp:cNvGraphicFramePr/>
                <a:graphic xmlns:a="http://schemas.openxmlformats.org/drawingml/2006/main">
                  <a:graphicData uri="http://schemas.microsoft.com/office/word/2010/wordprocessingShape">
                    <wps:wsp>
                      <wps:cNvSpPr/>
                      <wps:spPr>
                        <a:xfrm rot="5400000">
                          <a:off x="0" y="0"/>
                          <a:ext cx="158750" cy="270510"/>
                        </a:xfrm>
                        <a:prstGeom prst="rect">
                          <a:avLst/>
                        </a:prstGeom>
                        <a:solidFill>
                          <a:srgbClr val="FF0000"/>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矩形 1858" o:spid="_x0000_s1026" o:spt="1" style="position:absolute;left:0pt;margin-left:189.35pt;margin-top:82.6pt;height:21.3pt;width:12.5pt;rotation:5898240f;z-index:251703296;mso-width-relative:page;mso-height-relative:page;" fillcolor="#FF0000" filled="t" stroked="t" coordsize="21600,21600" o:gfxdata="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UkvUg2QAAAAsBAAAPAAAAAAAAAAEAIAAAACIAAABkcnMvZG93bnJldi54bWxQSwECFAAUAAAA&#10;CACHTuJAiOSKsiYCAABiBAAADgAAAAAAAAABACAAAAAoAQAAZHJzL2Uyb0RvYy54bWxQSwUGAAAA&#10;AAYABgBZAQAAwAUAAAAA&#10;">
                <v:fill on="t" focussize="0,0"/>
                <v:stroke color="#000000" joinstyle="miter"/>
                <v:imagedata o:title=""/>
                <o:lock v:ext="edit" aspectratio="f"/>
              </v:rect>
            </w:pict>
          </mc:Fallback>
        </mc:AlternateContent>
      </w:r>
      <w:r>
        <w:rPr>
          <w:color w:val="auto"/>
          <w:sz w:val="21"/>
          <w:highlight w:val="none"/>
        </w:rPr>
        <mc:AlternateContent>
          <mc:Choice Requires="wps">
            <w:drawing>
              <wp:anchor distT="0" distB="0" distL="114300" distR="114300" simplePos="0" relativeHeight="251736064" behindDoc="0" locked="0" layoutInCell="1" allowOverlap="1">
                <wp:simplePos x="0" y="0"/>
                <wp:positionH relativeFrom="column">
                  <wp:posOffset>6040755</wp:posOffset>
                </wp:positionH>
                <wp:positionV relativeFrom="paragraph">
                  <wp:posOffset>1488440</wp:posOffset>
                </wp:positionV>
                <wp:extent cx="723900" cy="316230"/>
                <wp:effectExtent l="0" t="0" r="0" b="0"/>
                <wp:wrapNone/>
                <wp:docPr id="69" name="文本框 151"/>
                <wp:cNvGraphicFramePr/>
                <a:graphic xmlns:a="http://schemas.openxmlformats.org/drawingml/2006/main">
                  <a:graphicData uri="http://schemas.microsoft.com/office/word/2010/wordprocessingShape">
                    <wps:wsp>
                      <wps:cNvSpPr txBox="1"/>
                      <wps:spPr>
                        <a:xfrm>
                          <a:off x="0" y="0"/>
                          <a:ext cx="723900" cy="316230"/>
                        </a:xfrm>
                        <a:prstGeom prst="rect">
                          <a:avLst/>
                        </a:prstGeom>
                        <a:noFill/>
                        <a:ln w="12700">
                          <a:noFill/>
                        </a:ln>
                      </wps:spPr>
                      <wps:txbx>
                        <w:txbxContent>
                          <w:p w14:paraId="019DBC2F">
                            <w:pPr>
                              <w:rPr>
                                <w:rFonts w:hint="default" w:eastAsia="宋体"/>
                                <w:b/>
                                <w:bCs/>
                                <w:color w:val="FF0000"/>
                                <w:sz w:val="15"/>
                                <w:szCs w:val="15"/>
                                <w:lang w:val="en-US" w:eastAsia="zh-CN"/>
                              </w:rPr>
                            </w:pPr>
                            <w:r>
                              <w:rPr>
                                <w:rFonts w:hint="eastAsia" w:ascii="Times New Roman" w:eastAsia="宋体"/>
                                <w:b/>
                                <w:bCs/>
                                <w:color w:val="FF0000"/>
                                <w:sz w:val="15"/>
                                <w:szCs w:val="15"/>
                                <w:lang w:val="en-US" w:eastAsia="zh-CN"/>
                              </w:rPr>
                              <w:t>综合楼</w:t>
                            </w:r>
                          </w:p>
                        </w:txbxContent>
                      </wps:txbx>
                      <wps:bodyPr wrap="square" upright="0"/>
                    </wps:wsp>
                  </a:graphicData>
                </a:graphic>
              </wp:anchor>
            </w:drawing>
          </mc:Choice>
          <mc:Fallback>
            <w:pict>
              <v:shape id="文本框 151" o:spid="_x0000_s1026" o:spt="202" type="#_x0000_t202" style="position:absolute;left:0pt;margin-left:475.65pt;margin-top:117.2pt;height:24.9pt;width:57pt;z-index:251736064;mso-width-relative:page;mso-height-relative:page;" filled="f" stroked="f" coordsize="21600,21600" o:gfxdata="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rFnUttoAAAAMAQAADwAAAAAAAAABACAAAAAiAAAAZHJzL2Rvd25yZXYu&#10;eG1sUEsBAhQAFAAAAAgAh07iQPJx6/zAAQAAaAMAAA4AAAAAAAAAAQAgAAAAKQEAAGRycy9lMm9E&#10;b2MueG1sUEsFBgAAAAAGAAYAWQEAAFsFAAAAAA==&#10;">
                <v:fill on="f" focussize="0,0"/>
                <v:stroke on="f" weight="1pt"/>
                <v:imagedata o:title=""/>
                <o:lock v:ext="edit" aspectratio="f"/>
                <v:textbox>
                  <w:txbxContent>
                    <w:p w14:paraId="019DBC2F">
                      <w:pPr>
                        <w:rPr>
                          <w:rFonts w:hint="default" w:eastAsia="宋体"/>
                          <w:b/>
                          <w:bCs/>
                          <w:color w:val="FF0000"/>
                          <w:sz w:val="15"/>
                          <w:szCs w:val="15"/>
                          <w:lang w:val="en-US" w:eastAsia="zh-CN"/>
                        </w:rPr>
                      </w:pPr>
                      <w:r>
                        <w:rPr>
                          <w:rFonts w:hint="eastAsia" w:ascii="Times New Roman" w:eastAsia="宋体"/>
                          <w:b/>
                          <w:bCs/>
                          <w:color w:val="FF0000"/>
                          <w:sz w:val="15"/>
                          <w:szCs w:val="15"/>
                          <w:lang w:val="en-US" w:eastAsia="zh-CN"/>
                        </w:rPr>
                        <w:t>综合楼</w:t>
                      </w:r>
                    </w:p>
                  </w:txbxContent>
                </v:textbox>
              </v:shape>
            </w:pict>
          </mc:Fallback>
        </mc:AlternateContent>
      </w:r>
      <w:r>
        <w:rPr>
          <w:color w:val="auto"/>
          <w:sz w:val="21"/>
          <w:highlight w:val="none"/>
        </w:rPr>
        <mc:AlternateContent>
          <mc:Choice Requires="wps">
            <w:drawing>
              <wp:anchor distT="0" distB="0" distL="114300" distR="114300" simplePos="0" relativeHeight="251735040" behindDoc="0" locked="0" layoutInCell="1" allowOverlap="1">
                <wp:simplePos x="0" y="0"/>
                <wp:positionH relativeFrom="column">
                  <wp:posOffset>5871845</wp:posOffset>
                </wp:positionH>
                <wp:positionV relativeFrom="paragraph">
                  <wp:posOffset>3107690</wp:posOffset>
                </wp:positionV>
                <wp:extent cx="723900" cy="316230"/>
                <wp:effectExtent l="0" t="0" r="0" b="0"/>
                <wp:wrapNone/>
                <wp:docPr id="68" name="文本框 150"/>
                <wp:cNvGraphicFramePr/>
                <a:graphic xmlns:a="http://schemas.openxmlformats.org/drawingml/2006/main">
                  <a:graphicData uri="http://schemas.microsoft.com/office/word/2010/wordprocessingShape">
                    <wps:wsp>
                      <wps:cNvSpPr txBox="1"/>
                      <wps:spPr>
                        <a:xfrm>
                          <a:off x="0" y="0"/>
                          <a:ext cx="723900" cy="316230"/>
                        </a:xfrm>
                        <a:prstGeom prst="rect">
                          <a:avLst/>
                        </a:prstGeom>
                        <a:noFill/>
                        <a:ln w="12700">
                          <a:noFill/>
                        </a:ln>
                      </wps:spPr>
                      <wps:txbx>
                        <w:txbxContent>
                          <w:p w14:paraId="247FE381">
                            <w:pPr>
                              <w:rPr>
                                <w:rFonts w:hint="default" w:eastAsia="宋体"/>
                                <w:b/>
                                <w:bCs/>
                                <w:color w:val="FF0000"/>
                                <w:sz w:val="15"/>
                                <w:szCs w:val="15"/>
                                <w:lang w:val="en-US" w:eastAsia="zh-CN"/>
                              </w:rPr>
                            </w:pPr>
                            <w:r>
                              <w:rPr>
                                <w:rFonts w:hint="eastAsia" w:ascii="Times New Roman" w:eastAsia="宋体"/>
                                <w:b/>
                                <w:bCs/>
                                <w:color w:val="FF0000"/>
                                <w:sz w:val="15"/>
                                <w:szCs w:val="15"/>
                                <w:lang w:val="en-US" w:eastAsia="zh-CN"/>
                              </w:rPr>
                              <w:t>宿舍楼</w:t>
                            </w:r>
                          </w:p>
                        </w:txbxContent>
                      </wps:txbx>
                      <wps:bodyPr wrap="square" upright="0"/>
                    </wps:wsp>
                  </a:graphicData>
                </a:graphic>
              </wp:anchor>
            </w:drawing>
          </mc:Choice>
          <mc:Fallback>
            <w:pict>
              <v:shape id="文本框 150" o:spid="_x0000_s1026" o:spt="202" type="#_x0000_t202" style="position:absolute;left:0pt;margin-left:462.35pt;margin-top:244.7pt;height:24.9pt;width:57pt;z-index:251735040;mso-width-relative:page;mso-height-relative:page;" filled="f" stroked="f" coordsize="21600,21600" o:gfxdata="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lpI+2gAAAAwBAAAPAAAAAAAAAAEAIAAAACIAAABkcnMvZG93bnJldi54&#10;bWxQSwECFAAUAAAACACHTuJAHhg9bL8BAABoAwAADgAAAAAAAAABACAAAAApAQAAZHJzL2Uyb0Rv&#10;Yy54bWxQSwUGAAAAAAYABgBZAQAAWgUAAAAA&#10;">
                <v:fill on="f" focussize="0,0"/>
                <v:stroke on="f" weight="1pt"/>
                <v:imagedata o:title=""/>
                <o:lock v:ext="edit" aspectratio="f"/>
                <v:textbox>
                  <w:txbxContent>
                    <w:p w14:paraId="247FE381">
                      <w:pPr>
                        <w:rPr>
                          <w:rFonts w:hint="default" w:eastAsia="宋体"/>
                          <w:b/>
                          <w:bCs/>
                          <w:color w:val="FF0000"/>
                          <w:sz w:val="15"/>
                          <w:szCs w:val="15"/>
                          <w:lang w:val="en-US" w:eastAsia="zh-CN"/>
                        </w:rPr>
                      </w:pPr>
                      <w:r>
                        <w:rPr>
                          <w:rFonts w:hint="eastAsia" w:ascii="Times New Roman" w:eastAsia="宋体"/>
                          <w:b/>
                          <w:bCs/>
                          <w:color w:val="FF0000"/>
                          <w:sz w:val="15"/>
                          <w:szCs w:val="15"/>
                          <w:lang w:val="en-US" w:eastAsia="zh-CN"/>
                        </w:rPr>
                        <w:t>宿舍楼</w:t>
                      </w:r>
                    </w:p>
                  </w:txbxContent>
                </v:textbox>
              </v:shape>
            </w:pict>
          </mc:Fallback>
        </mc:AlternateContent>
      </w:r>
      <w:bookmarkEnd w:id="70"/>
      <w:r>
        <w:rPr>
          <w:color w:val="auto"/>
          <w:highlight w:val="none"/>
        </w:rPr>
        <w:drawing>
          <wp:inline distT="0" distB="0" distL="114300" distR="114300">
            <wp:extent cx="7527290" cy="5088255"/>
            <wp:effectExtent l="0" t="0" r="16510" b="17145"/>
            <wp:docPr id="176" name="图片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670"/>
                    <pic:cNvPicPr>
                      <a:picLocks noChangeAspect="1"/>
                    </pic:cNvPicPr>
                  </pic:nvPicPr>
                  <pic:blipFill>
                    <a:blip r:embed="rId67"/>
                    <a:stretch>
                      <a:fillRect/>
                    </a:stretch>
                  </pic:blipFill>
                  <pic:spPr>
                    <a:xfrm>
                      <a:off x="0" y="0"/>
                      <a:ext cx="7527290" cy="5088255"/>
                    </a:xfrm>
                    <a:prstGeom prst="rect">
                      <a:avLst/>
                    </a:prstGeom>
                    <a:noFill/>
                    <a:ln>
                      <a:noFill/>
                    </a:ln>
                  </pic:spPr>
                </pic:pic>
              </a:graphicData>
            </a:graphic>
          </wp:inline>
        </w:drawing>
      </w:r>
    </w:p>
    <w:p w14:paraId="0776D91B">
      <w:pPr>
        <w:spacing w:after="0" w:line="240" w:lineRule="auto"/>
        <w:jc w:val="center"/>
        <w:outlineLvl w:val="0"/>
        <w:rPr>
          <w:rFonts w:hint="default" w:ascii="Times New Roman" w:hAnsi="Times New Roman" w:cs="Times New Roman"/>
          <w:b/>
          <w:bCs/>
          <w:color w:val="auto"/>
          <w:sz w:val="24"/>
          <w:highlight w:val="none"/>
        </w:rPr>
        <w:sectPr>
          <w:pgSz w:w="16838" w:h="11906" w:orient="landscape"/>
          <w:pgMar w:top="1247" w:right="1701" w:bottom="1304" w:left="1701" w:header="850" w:footer="992" w:gutter="340"/>
          <w:pgBorders>
            <w:top w:val="none" w:sz="0" w:space="0"/>
            <w:left w:val="none" w:sz="0" w:space="0"/>
            <w:bottom w:val="none" w:sz="0" w:space="0"/>
            <w:right w:val="none" w:sz="0" w:space="0"/>
          </w:pgBorders>
          <w:pgNumType w:fmt="decimal"/>
          <w:cols w:space="720" w:num="1"/>
          <w:docGrid w:type="lines" w:linePitch="412" w:charSpace="0"/>
        </w:sectPr>
      </w:pPr>
      <w:bookmarkStart w:id="71" w:name="_Toc1343"/>
      <w:r>
        <w:rPr>
          <w:rFonts w:hint="default" w:ascii="Times New Roman" w:hAnsi="Times New Roman" w:eastAsia="宋体" w:cs="Times New Roman"/>
          <w:b/>
          <w:bCs/>
          <w:color w:val="auto"/>
          <w:kern w:val="0"/>
          <w:sz w:val="24"/>
          <w:szCs w:val="20"/>
          <w:highlight w:val="none"/>
          <w:lang w:val="en-US" w:eastAsia="zh-CN" w:bidi="ar-SA"/>
        </w:rPr>
        <w:t>附图</w:t>
      </w:r>
      <w:r>
        <w:rPr>
          <w:rFonts w:hint="eastAsia" w:ascii="Times New Roman" w:hAnsi="Times New Roman" w:eastAsia="宋体" w:cs="Times New Roman"/>
          <w:b/>
          <w:bCs/>
          <w:color w:val="auto"/>
          <w:kern w:val="0"/>
          <w:sz w:val="24"/>
          <w:szCs w:val="20"/>
          <w:highlight w:val="none"/>
          <w:lang w:val="en-US" w:eastAsia="zh-CN" w:bidi="ar-SA"/>
        </w:rPr>
        <w:t>4</w:t>
      </w:r>
      <w:r>
        <w:rPr>
          <w:rFonts w:hint="default" w:ascii="Times New Roman" w:hAnsi="Times New Roman" w:eastAsia="宋体" w:cs="Times New Roman"/>
          <w:b/>
          <w:bCs/>
          <w:color w:val="auto"/>
          <w:kern w:val="0"/>
          <w:sz w:val="24"/>
          <w:szCs w:val="20"/>
          <w:highlight w:val="none"/>
          <w:lang w:val="en-US" w:eastAsia="zh-CN" w:bidi="ar-SA"/>
        </w:rPr>
        <w:t xml:space="preserve"> 项目</w:t>
      </w:r>
      <w:r>
        <w:rPr>
          <w:rFonts w:hint="eastAsia" w:ascii="Times New Roman" w:hAnsi="Times New Roman" w:eastAsia="宋体" w:cs="Times New Roman"/>
          <w:b/>
          <w:bCs/>
          <w:color w:val="auto"/>
          <w:kern w:val="0"/>
          <w:sz w:val="24"/>
          <w:szCs w:val="20"/>
          <w:highlight w:val="none"/>
          <w:lang w:val="en-US" w:eastAsia="zh-CN" w:bidi="ar-SA"/>
        </w:rPr>
        <w:t>总</w:t>
      </w:r>
      <w:r>
        <w:rPr>
          <w:rFonts w:hint="default" w:ascii="Times New Roman" w:hAnsi="Times New Roman" w:eastAsia="宋体" w:cs="Times New Roman"/>
          <w:b/>
          <w:bCs/>
          <w:color w:val="auto"/>
          <w:kern w:val="0"/>
          <w:sz w:val="24"/>
          <w:szCs w:val="20"/>
          <w:highlight w:val="none"/>
          <w:lang w:val="en-US" w:eastAsia="zh-CN" w:bidi="ar-SA"/>
        </w:rPr>
        <w:t>平面布置图</w:t>
      </w:r>
      <w:bookmarkEnd w:id="71"/>
    </w:p>
    <w:p w14:paraId="26983EB6">
      <w:pPr>
        <w:widowControl/>
        <w:snapToGrid w:val="0"/>
        <w:spacing w:before="60" w:after="0" w:line="240" w:lineRule="auto"/>
        <w:ind w:right="113"/>
        <w:jc w:val="center"/>
        <w:rPr>
          <w:rFonts w:hint="default" w:ascii="Times New Roman" w:hAnsi="Times New Roman" w:eastAsia="宋体" w:cs="Times New Roman"/>
          <w:b/>
          <w:bCs/>
          <w:color w:val="auto"/>
          <w:kern w:val="0"/>
          <w:sz w:val="24"/>
          <w:szCs w:val="20"/>
          <w:highlight w:val="none"/>
          <w:lang w:val="en-US" w:eastAsia="zh-CN" w:bidi="ar-SA"/>
        </w:rPr>
      </w:pPr>
      <w:r>
        <w:rPr>
          <w:rFonts w:ascii="Times New Roman" w:hAnsi="Times New Roman" w:eastAsia="宋体" w:cs="Times New Roman"/>
          <w:color w:val="auto"/>
          <w:kern w:val="0"/>
          <w:sz w:val="18"/>
          <w:szCs w:val="20"/>
          <w:highlight w:val="none"/>
          <w:lang w:val="en-US" w:eastAsia="zh-CN" w:bidi="ar-SA"/>
        </w:rPr>
        <mc:AlternateContent>
          <mc:Choice Requires="wps">
            <w:drawing>
              <wp:anchor distT="0" distB="0" distL="114300" distR="114300" simplePos="0" relativeHeight="251672576" behindDoc="0" locked="0" layoutInCell="1" allowOverlap="1">
                <wp:simplePos x="0" y="0"/>
                <wp:positionH relativeFrom="column">
                  <wp:posOffset>899160</wp:posOffset>
                </wp:positionH>
                <wp:positionV relativeFrom="paragraph">
                  <wp:posOffset>1364615</wp:posOffset>
                </wp:positionV>
                <wp:extent cx="3726180" cy="762000"/>
                <wp:effectExtent l="6350" t="6350" r="20320" b="12700"/>
                <wp:wrapNone/>
                <wp:docPr id="16" name="矩形 1856"/>
                <wp:cNvGraphicFramePr/>
                <a:graphic xmlns:a="http://schemas.openxmlformats.org/drawingml/2006/main">
                  <a:graphicData uri="http://schemas.microsoft.com/office/word/2010/wordprocessingShape">
                    <wps:wsp>
                      <wps:cNvSpPr/>
                      <wps:spPr>
                        <a:xfrm>
                          <a:off x="0" y="0"/>
                          <a:ext cx="3726180" cy="762000"/>
                        </a:xfrm>
                        <a:prstGeom prst="rect">
                          <a:avLst/>
                        </a:prstGeom>
                        <a:noFill/>
                        <a:ln w="12700" cap="flat" cmpd="sng">
                          <a:solidFill>
                            <a:srgbClr val="FF0000"/>
                          </a:solidFill>
                          <a:prstDash val="solid"/>
                          <a:miter/>
                          <a:headEnd type="none" w="med" len="med"/>
                          <a:tailEnd type="none" w="med" len="med"/>
                        </a:ln>
                      </wps:spPr>
                      <wps:bodyPr vert="horz" wrap="square" anchor="t" anchorCtr="0" upright="1"/>
                    </wps:wsp>
                  </a:graphicData>
                </a:graphic>
              </wp:anchor>
            </w:drawing>
          </mc:Choice>
          <mc:Fallback>
            <w:pict>
              <v:rect id="矩形 1856" o:spid="_x0000_s1026" o:spt="1" style="position:absolute;left:0pt;margin-left:70.8pt;margin-top:107.45pt;height:60pt;width:293.4pt;z-index:251672576;mso-width-relative:page;mso-height-relative:page;" filled="f" stroked="t" coordsize="21600,21600" o:gfxdata="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2F3Pa2gAAAAsBAAAP&#10;AAAAAAAAAAEAIAAAACIAAABkcnMvZG93bnJldi54bWxQSwECFAAUAAAACACHTuJAE2eH9hYCAAAt&#10;BAAADgAAAAAAAAABACAAAAApAQAAZHJzL2Uyb0RvYy54bWxQSwUGAAAAAAYABgBZAQAAsQUAAAAA&#10;">
                <v:fill on="f" focussize="0,0"/>
                <v:stroke weight="1pt" color="#FF0000" joinstyle="miter"/>
                <v:imagedata o:title=""/>
                <o:lock v:ext="edit" aspectratio="f"/>
              </v:rect>
            </w:pict>
          </mc:Fallback>
        </mc:AlternateContent>
      </w:r>
      <w:r>
        <w:rPr>
          <w:rFonts w:ascii="Times New Roman" w:hAnsi="Times New Roman" w:eastAsia="宋体" w:cs="Times New Roman"/>
          <w:color w:val="auto"/>
          <w:kern w:val="0"/>
          <w:sz w:val="18"/>
          <w:szCs w:val="20"/>
          <w:highlight w:val="none"/>
          <w:lang w:val="en-US" w:eastAsia="zh-CN" w:bidi="ar-SA"/>
        </w:rPr>
        <mc:AlternateContent>
          <mc:Choice Requires="wps">
            <w:drawing>
              <wp:anchor distT="0" distB="0" distL="114300" distR="114300" simplePos="0" relativeHeight="251683840" behindDoc="0" locked="0" layoutInCell="1" allowOverlap="1">
                <wp:simplePos x="0" y="0"/>
                <wp:positionH relativeFrom="column">
                  <wp:posOffset>840740</wp:posOffset>
                </wp:positionH>
                <wp:positionV relativeFrom="paragraph">
                  <wp:posOffset>283210</wp:posOffset>
                </wp:positionV>
                <wp:extent cx="1151255" cy="338455"/>
                <wp:effectExtent l="4445" t="4445" r="6350" b="19050"/>
                <wp:wrapNone/>
                <wp:docPr id="27" name="文本框 1876"/>
                <wp:cNvGraphicFramePr/>
                <a:graphic xmlns:a="http://schemas.openxmlformats.org/drawingml/2006/main">
                  <a:graphicData uri="http://schemas.microsoft.com/office/word/2010/wordprocessingShape">
                    <wps:wsp>
                      <wps:cNvSpPr txBox="1"/>
                      <wps:spPr>
                        <a:xfrm>
                          <a:off x="0" y="0"/>
                          <a:ext cx="1151255" cy="33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F3E52FA">
                            <w:pPr>
                              <w:rPr>
                                <w:rFonts w:hint="default" w:eastAsia="宋体"/>
                                <w:b/>
                                <w:bCs/>
                                <w:highlight w:val="yellow"/>
                                <w:lang w:val="en-US" w:eastAsia="zh-CN"/>
                              </w:rPr>
                            </w:pPr>
                            <w:r>
                              <w:rPr>
                                <w:rFonts w:hint="eastAsia" w:ascii="Times New Roman" w:eastAsia="宋体"/>
                                <w:b/>
                                <w:bCs/>
                                <w:highlight w:val="yellow"/>
                                <w:lang w:val="en-US" w:eastAsia="zh-CN"/>
                              </w:rPr>
                              <w:t>自建污水处理站</w:t>
                            </w:r>
                          </w:p>
                        </w:txbxContent>
                      </wps:txbx>
                      <wps:bodyPr wrap="square" upright="1"/>
                    </wps:wsp>
                  </a:graphicData>
                </a:graphic>
              </wp:anchor>
            </w:drawing>
          </mc:Choice>
          <mc:Fallback>
            <w:pict>
              <v:shape id="文本框 1876" o:spid="_x0000_s1026" o:spt="202" type="#_x0000_t202" style="position:absolute;left:0pt;margin-left:66.2pt;margin-top:22.3pt;height:26.65pt;width:90.65pt;z-index:251683840;mso-width-relative:page;mso-height-relative:page;" fillcolor="#FFFFFF" filled="t" stroked="t" coordsize="21600,21600" o:gfxdata="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HrpUedkAAAAJAQAA&#10;DwAAAAAAAAABACAAAAAiAAAAZHJzL2Rvd25yZXYueG1sUEsBAhQAFAAAAAgAh07iQGVsXPAYAgAA&#10;SAQAAA4AAAAAAAAAAQAgAAAAKAEAAGRycy9lMm9Eb2MueG1sUEsFBgAAAAAGAAYAWQEAALIFAAAA&#10;AA==&#10;">
                <v:fill on="t" focussize="0,0"/>
                <v:stroke color="#000000" joinstyle="miter"/>
                <v:imagedata o:title=""/>
                <o:lock v:ext="edit" aspectratio="f"/>
                <v:textbox>
                  <w:txbxContent>
                    <w:p w14:paraId="2F3E52FA">
                      <w:pPr>
                        <w:rPr>
                          <w:rFonts w:hint="default" w:eastAsia="宋体"/>
                          <w:b/>
                          <w:bCs/>
                          <w:highlight w:val="yellow"/>
                          <w:lang w:val="en-US" w:eastAsia="zh-CN"/>
                        </w:rPr>
                      </w:pPr>
                      <w:r>
                        <w:rPr>
                          <w:rFonts w:hint="eastAsia" w:ascii="Times New Roman" w:eastAsia="宋体"/>
                          <w:b/>
                          <w:bCs/>
                          <w:highlight w:val="yellow"/>
                          <w:lang w:val="en-US" w:eastAsia="zh-CN"/>
                        </w:rPr>
                        <w:t>自建污水处理站</w:t>
                      </w:r>
                    </w:p>
                  </w:txbxContent>
                </v:textbox>
              </v:shape>
            </w:pict>
          </mc:Fallback>
        </mc:AlternateContent>
      </w:r>
      <w:r>
        <w:rPr>
          <w:rFonts w:ascii="Times New Roman" w:hAnsi="Times New Roman" w:eastAsia="宋体" w:cs="Times New Roman"/>
          <w:color w:val="auto"/>
          <w:kern w:val="0"/>
          <w:sz w:val="18"/>
          <w:szCs w:val="20"/>
          <w:highlight w:val="none"/>
          <w:lang w:val="en-US" w:eastAsia="zh-CN" w:bidi="ar-SA"/>
        </w:rPr>
        <mc:AlternateContent>
          <mc:Choice Requires="wps">
            <w:drawing>
              <wp:anchor distT="0" distB="0" distL="114300" distR="114300" simplePos="0" relativeHeight="251682816" behindDoc="0" locked="0" layoutInCell="1" allowOverlap="1">
                <wp:simplePos x="0" y="0"/>
                <wp:positionH relativeFrom="column">
                  <wp:posOffset>285115</wp:posOffset>
                </wp:positionH>
                <wp:positionV relativeFrom="paragraph">
                  <wp:posOffset>539750</wp:posOffset>
                </wp:positionV>
                <wp:extent cx="568960" cy="434340"/>
                <wp:effectExtent l="3175" t="3810" r="18415" b="19050"/>
                <wp:wrapNone/>
                <wp:docPr id="26" name="直线 1877"/>
                <wp:cNvGraphicFramePr/>
                <a:graphic xmlns:a="http://schemas.openxmlformats.org/drawingml/2006/main">
                  <a:graphicData uri="http://schemas.microsoft.com/office/word/2010/wordprocessingShape">
                    <wps:wsp>
                      <wps:cNvCnPr/>
                      <wps:spPr>
                        <a:xfrm flipV="1">
                          <a:off x="0" y="0"/>
                          <a:ext cx="568960" cy="4343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77" o:spid="_x0000_s1026" o:spt="20" style="position:absolute;left:0pt;flip:y;margin-left:22.45pt;margin-top:42.5pt;height:34.2pt;width:44.8pt;z-index:251682816;mso-width-relative:page;mso-height-relative:page;" filled="f" stroked="t" coordsize="21600,21600" o:gfxdata="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rymGn2AAAAAkBAAAPAAAAAAAAAAEAIAAAACIAAABkcnMvZG93bnJldi54bWxQ&#10;SwECFAAUAAAACACHTuJAJtSiBPcBAADtAwAADgAAAAAAAAABACAAAAAnAQAAZHJzL2Uyb0RvYy54&#10;bWxQSwUGAAAAAAYABgBZAQAAkAUAAAAA&#10;">
                <v:fill on="f" focussize="0,0"/>
                <v:stroke color="#000000" joinstyle="round"/>
                <v:imagedata o:title=""/>
                <o:lock v:ext="edit" aspectratio="f"/>
              </v:line>
            </w:pict>
          </mc:Fallback>
        </mc:AlternateContent>
      </w:r>
      <w:r>
        <w:rPr>
          <w:rFonts w:ascii="Times New Roman" w:hAnsi="Times New Roman" w:eastAsia="宋体" w:cs="Times New Roman"/>
          <w:color w:val="auto"/>
          <w:kern w:val="0"/>
          <w:sz w:val="18"/>
          <w:szCs w:val="20"/>
          <w:highlight w:val="none"/>
          <w:lang w:val="en-US" w:eastAsia="zh-CN" w:bidi="ar-SA"/>
        </w:rPr>
        <mc:AlternateContent>
          <mc:Choice Requires="wps">
            <w:drawing>
              <wp:anchor distT="0" distB="0" distL="114300" distR="114300" simplePos="0" relativeHeight="251681792" behindDoc="0" locked="0" layoutInCell="1" allowOverlap="1">
                <wp:simplePos x="0" y="0"/>
                <wp:positionH relativeFrom="column">
                  <wp:posOffset>206375</wp:posOffset>
                </wp:positionH>
                <wp:positionV relativeFrom="paragraph">
                  <wp:posOffset>980440</wp:posOffset>
                </wp:positionV>
                <wp:extent cx="215900" cy="444500"/>
                <wp:effectExtent l="4445" t="4445" r="8255" b="8255"/>
                <wp:wrapNone/>
                <wp:docPr id="25" name="矩形 1875"/>
                <wp:cNvGraphicFramePr/>
                <a:graphic xmlns:a="http://schemas.openxmlformats.org/drawingml/2006/main">
                  <a:graphicData uri="http://schemas.microsoft.com/office/word/2010/wordprocessingShape">
                    <wps:wsp>
                      <wps:cNvSpPr/>
                      <wps:spPr>
                        <a:xfrm rot="10800000">
                          <a:off x="0" y="0"/>
                          <a:ext cx="215900" cy="444500"/>
                        </a:xfrm>
                        <a:prstGeom prst="rect">
                          <a:avLst/>
                        </a:prstGeom>
                        <a:solidFill>
                          <a:srgbClr val="0070C0"/>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矩形 1875" o:spid="_x0000_s1026" o:spt="1" style="position:absolute;left:0pt;margin-left:16.25pt;margin-top:77.2pt;height:35pt;width:17pt;rotation:11796480f;z-index:251681792;mso-width-relative:page;mso-height-relative:page;" fillcolor="#0070C0" filled="t" stroked="t" coordsize="21600,21600" o:gfxdata="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LrKrndgAAAAJAQAADwAAAAAAAAABACAAAAAiAAAAZHJzL2Rvd25yZXYueG1sUEsBAhQAFAAAAAgA&#10;h07iQELG380lAgAAYwQAAA4AAAAAAAAAAQAgAAAAJwEAAGRycy9lMm9Eb2MueG1sUEsFBgAAAAAG&#10;AAYAWQEAAL4FAAAAAA==&#10;">
                <v:fill on="t" focussize="0,0"/>
                <v:stroke color="#000000" joinstyle="miter"/>
                <v:imagedata o:title=""/>
                <o:lock v:ext="edit" aspectratio="f"/>
              </v:rect>
            </w:pict>
          </mc:Fallback>
        </mc:AlternateContent>
      </w:r>
      <w:r>
        <w:rPr>
          <w:rFonts w:ascii="Times New Roman" w:hAnsi="Times New Roman" w:eastAsia="宋体" w:cs="Times New Roman"/>
          <w:color w:val="auto"/>
          <w:kern w:val="0"/>
          <w:sz w:val="18"/>
          <w:szCs w:val="20"/>
          <w:highlight w:val="none"/>
          <w:lang w:val="en-US" w:eastAsia="zh-CN" w:bidi="ar-SA"/>
        </w:rPr>
        <mc:AlternateContent>
          <mc:Choice Requires="wps">
            <w:drawing>
              <wp:anchor distT="0" distB="0" distL="114300" distR="114300" simplePos="0" relativeHeight="251679744" behindDoc="0" locked="0" layoutInCell="1" allowOverlap="1">
                <wp:simplePos x="0" y="0"/>
                <wp:positionH relativeFrom="column">
                  <wp:posOffset>7249160</wp:posOffset>
                </wp:positionH>
                <wp:positionV relativeFrom="paragraph">
                  <wp:posOffset>189230</wp:posOffset>
                </wp:positionV>
                <wp:extent cx="596265" cy="307975"/>
                <wp:effectExtent l="4445" t="4445" r="8890" b="11430"/>
                <wp:wrapNone/>
                <wp:docPr id="23" name="文本框 1865"/>
                <wp:cNvGraphicFramePr/>
                <a:graphic xmlns:a="http://schemas.openxmlformats.org/drawingml/2006/main">
                  <a:graphicData uri="http://schemas.microsoft.com/office/word/2010/wordprocessingShape">
                    <wps:wsp>
                      <wps:cNvSpPr txBox="1"/>
                      <wps:spPr>
                        <a:xfrm>
                          <a:off x="0" y="0"/>
                          <a:ext cx="596265" cy="3079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5DA2DF1">
                            <w:pPr>
                              <w:rPr>
                                <w:rFonts w:hint="default" w:eastAsia="宋体"/>
                                <w:b/>
                                <w:bCs/>
                                <w:highlight w:val="yellow"/>
                                <w:lang w:val="en-US" w:eastAsia="zh-CN"/>
                              </w:rPr>
                            </w:pPr>
                            <w:r>
                              <w:rPr>
                                <w:rFonts w:hint="eastAsia" w:ascii="Times New Roman" w:eastAsia="宋体"/>
                                <w:b/>
                                <w:bCs/>
                                <w:highlight w:val="yellow"/>
                                <w:lang w:val="en-US" w:eastAsia="zh-CN"/>
                              </w:rPr>
                              <w:t>危废仓</w:t>
                            </w:r>
                          </w:p>
                        </w:txbxContent>
                      </wps:txbx>
                      <wps:bodyPr wrap="square" upright="1"/>
                    </wps:wsp>
                  </a:graphicData>
                </a:graphic>
              </wp:anchor>
            </w:drawing>
          </mc:Choice>
          <mc:Fallback>
            <w:pict>
              <v:shape id="文本框 1865" o:spid="_x0000_s1026" o:spt="202" type="#_x0000_t202" style="position:absolute;left:0pt;margin-left:570.8pt;margin-top:14.9pt;height:24.25pt;width:46.95pt;z-index:251679744;mso-width-relative:page;mso-height-relative:page;" fillcolor="#FFFFFF" filled="t" stroked="t" coordsize="21600,21600" o:gfxdata="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x6aKD2gAAAAsB&#10;AAAPAAAAAAAAAAEAIAAAACIAAABkcnMvZG93bnJldi54bWxQSwECFAAUAAAACACHTuJA82sV5BkC&#10;AABHBAAADgAAAAAAAAABACAAAAApAQAAZHJzL2Uyb0RvYy54bWxQSwUGAAAAAAYABgBZAQAAtAUA&#10;AAAA&#10;">
                <v:fill on="t" focussize="0,0"/>
                <v:stroke color="#000000" joinstyle="miter"/>
                <v:imagedata o:title=""/>
                <o:lock v:ext="edit" aspectratio="f"/>
                <v:textbox>
                  <w:txbxContent>
                    <w:p w14:paraId="25DA2DF1">
                      <w:pPr>
                        <w:rPr>
                          <w:rFonts w:hint="default" w:eastAsia="宋体"/>
                          <w:b/>
                          <w:bCs/>
                          <w:highlight w:val="yellow"/>
                          <w:lang w:val="en-US" w:eastAsia="zh-CN"/>
                        </w:rPr>
                      </w:pPr>
                      <w:r>
                        <w:rPr>
                          <w:rFonts w:hint="eastAsia" w:ascii="Times New Roman" w:eastAsia="宋体"/>
                          <w:b/>
                          <w:bCs/>
                          <w:highlight w:val="yellow"/>
                          <w:lang w:val="en-US" w:eastAsia="zh-CN"/>
                        </w:rPr>
                        <w:t>危废仓</w:t>
                      </w:r>
                    </w:p>
                  </w:txbxContent>
                </v:textbox>
              </v:shape>
            </w:pict>
          </mc:Fallback>
        </mc:AlternateContent>
      </w:r>
      <w:r>
        <w:rPr>
          <w:rFonts w:ascii="Times New Roman" w:hAnsi="Times New Roman" w:eastAsia="宋体" w:cs="Times New Roman"/>
          <w:color w:val="auto"/>
          <w:kern w:val="0"/>
          <w:sz w:val="18"/>
          <w:szCs w:val="20"/>
          <w:highlight w:val="none"/>
          <w:lang w:val="en-US" w:eastAsia="zh-CN" w:bidi="ar-SA"/>
        </w:rPr>
        <mc:AlternateContent>
          <mc:Choice Requires="wps">
            <w:drawing>
              <wp:anchor distT="0" distB="0" distL="114300" distR="114300" simplePos="0" relativeHeight="251701248" behindDoc="0" locked="0" layoutInCell="1" allowOverlap="1">
                <wp:simplePos x="0" y="0"/>
                <wp:positionH relativeFrom="column">
                  <wp:posOffset>7162165</wp:posOffset>
                </wp:positionH>
                <wp:positionV relativeFrom="paragraph">
                  <wp:posOffset>654050</wp:posOffset>
                </wp:positionV>
                <wp:extent cx="390525" cy="342900"/>
                <wp:effectExtent l="3175" t="3810" r="6350" b="15240"/>
                <wp:wrapNone/>
                <wp:docPr id="48" name="直线 1866"/>
                <wp:cNvGraphicFramePr/>
                <a:graphic xmlns:a="http://schemas.openxmlformats.org/drawingml/2006/main">
                  <a:graphicData uri="http://schemas.microsoft.com/office/word/2010/wordprocessingShape">
                    <wps:wsp>
                      <wps:cNvCnPr/>
                      <wps:spPr>
                        <a:xfrm flipH="1" flipV="1">
                          <a:off x="0" y="0"/>
                          <a:ext cx="390525" cy="3429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66" o:spid="_x0000_s1026" o:spt="20" style="position:absolute;left:0pt;flip:x y;margin-left:563.95pt;margin-top:51.5pt;height:27pt;width:30.75pt;z-index:251701248;mso-width-relative:page;mso-height-relative:page;" filled="f" stroked="t" coordsize="21600,21600" o:gfxdata="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5Sak3VAAAADQEAAA8AAAAAAAAAAQAgAAAAIgAAAGRycy9kb3ducmV2Lnht&#10;bFBLAQIUABQAAAAIAIdO4kAkYPND/AEAAPcDAAAOAAAAAAAAAAEAIAAAACQBAABkcnMvZTJvRG9j&#10;LnhtbFBLBQYAAAAABgAGAFkBAACSBQAAAAA=&#10;">
                <v:fill on="f" focussize="0,0"/>
                <v:stroke color="#000000" joinstyle="round"/>
                <v:imagedata o:title=""/>
                <o:lock v:ext="edit" aspectratio="f"/>
              </v:line>
            </w:pict>
          </mc:Fallback>
        </mc:AlternateContent>
      </w:r>
      <w:r>
        <w:rPr>
          <w:rFonts w:ascii="Times New Roman" w:hAnsi="Times New Roman" w:eastAsia="宋体" w:cs="Times New Roman"/>
          <w:color w:val="auto"/>
          <w:kern w:val="0"/>
          <w:sz w:val="18"/>
          <w:szCs w:val="20"/>
          <w:highlight w:val="none"/>
          <w:lang w:val="en-US" w:eastAsia="zh-CN" w:bidi="ar-SA"/>
        </w:rPr>
        <mc:AlternateContent>
          <mc:Choice Requires="wps">
            <w:drawing>
              <wp:anchor distT="0" distB="0" distL="114300" distR="114300" simplePos="0" relativeHeight="251702272" behindDoc="0" locked="0" layoutInCell="1" allowOverlap="1">
                <wp:simplePos x="0" y="0"/>
                <wp:positionH relativeFrom="column">
                  <wp:posOffset>6574790</wp:posOffset>
                </wp:positionH>
                <wp:positionV relativeFrom="paragraph">
                  <wp:posOffset>511810</wp:posOffset>
                </wp:positionV>
                <wp:extent cx="595630" cy="290830"/>
                <wp:effectExtent l="4445" t="5080" r="9525" b="8890"/>
                <wp:wrapNone/>
                <wp:docPr id="49" name="文本框 1865"/>
                <wp:cNvGraphicFramePr/>
                <a:graphic xmlns:a="http://schemas.openxmlformats.org/drawingml/2006/main">
                  <a:graphicData uri="http://schemas.microsoft.com/office/word/2010/wordprocessingShape">
                    <wps:wsp>
                      <wps:cNvSpPr txBox="1"/>
                      <wps:spPr>
                        <a:xfrm>
                          <a:off x="0" y="0"/>
                          <a:ext cx="595630" cy="2908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71F61FC">
                            <w:pPr>
                              <w:rPr>
                                <w:rFonts w:hint="default" w:eastAsia="宋体"/>
                                <w:b/>
                                <w:bCs/>
                                <w:highlight w:val="yellow"/>
                                <w:lang w:val="en-US" w:eastAsia="zh-CN"/>
                              </w:rPr>
                            </w:pPr>
                            <w:r>
                              <w:rPr>
                                <w:rFonts w:hint="eastAsia" w:ascii="Times New Roman" w:eastAsia="宋体"/>
                                <w:b/>
                                <w:bCs/>
                                <w:highlight w:val="yellow"/>
                                <w:lang w:val="en-US" w:eastAsia="zh-CN"/>
                              </w:rPr>
                              <w:t>固废仓</w:t>
                            </w:r>
                          </w:p>
                        </w:txbxContent>
                      </wps:txbx>
                      <wps:bodyPr vert="horz" wrap="square" anchor="t" anchorCtr="0" upright="1"/>
                    </wps:wsp>
                  </a:graphicData>
                </a:graphic>
              </wp:anchor>
            </w:drawing>
          </mc:Choice>
          <mc:Fallback>
            <w:pict>
              <v:shape id="文本框 1865" o:spid="_x0000_s1026" o:spt="202" type="#_x0000_t202" style="position:absolute;left:0pt;margin-left:517.7pt;margin-top:40.3pt;height:22.9pt;width:46.9pt;z-index:251702272;mso-width-relative:page;mso-height-relative:page;" fillcolor="#FFFFFF" filled="t" stroked="t" coordsize="21600,21600" o:gfxdata="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C4ffQ2gAAAAwBAAAPAAAAAAAAAAEAIAAAACIAAABkcnMvZG93bnJldi54bWxQSwEC&#10;FAAUAAAACACHTuJAuwZiyisCAABsBAAADgAAAAAAAAABACAAAAApAQAAZHJzL2Uyb0RvYy54bWxQ&#10;SwUGAAAAAAYABgBZAQAAxgUAAAAA&#10;">
                <v:fill on="t" focussize="0,0"/>
                <v:stroke color="#000000" joinstyle="miter"/>
                <v:imagedata o:title=""/>
                <o:lock v:ext="edit" aspectratio="f"/>
                <v:textbox>
                  <w:txbxContent>
                    <w:p w14:paraId="471F61FC">
                      <w:pPr>
                        <w:rPr>
                          <w:rFonts w:hint="default" w:eastAsia="宋体"/>
                          <w:b/>
                          <w:bCs/>
                          <w:highlight w:val="yellow"/>
                          <w:lang w:val="en-US" w:eastAsia="zh-CN"/>
                        </w:rPr>
                      </w:pPr>
                      <w:r>
                        <w:rPr>
                          <w:rFonts w:hint="eastAsia" w:ascii="Times New Roman" w:eastAsia="宋体"/>
                          <w:b/>
                          <w:bCs/>
                          <w:highlight w:val="yellow"/>
                          <w:lang w:val="en-US" w:eastAsia="zh-CN"/>
                        </w:rPr>
                        <w:t>固废仓</w:t>
                      </w:r>
                    </w:p>
                  </w:txbxContent>
                </v:textbox>
              </v:shape>
            </w:pict>
          </mc:Fallback>
        </mc:AlternateContent>
      </w:r>
      <w:r>
        <w:rPr>
          <w:rFonts w:ascii="Times New Roman" w:hAnsi="Times New Roman" w:eastAsia="宋体" w:cs="Times New Roman"/>
          <w:color w:val="auto"/>
          <w:kern w:val="0"/>
          <w:sz w:val="18"/>
          <w:szCs w:val="20"/>
          <w:highlight w:val="none"/>
          <w:lang w:val="en-US" w:eastAsia="zh-CN" w:bidi="ar-SA"/>
        </w:rPr>
        <mc:AlternateContent>
          <mc:Choice Requires="wps">
            <w:drawing>
              <wp:anchor distT="0" distB="0" distL="114300" distR="114300" simplePos="0" relativeHeight="251678720" behindDoc="0" locked="0" layoutInCell="1" allowOverlap="1">
                <wp:simplePos x="0" y="0"/>
                <wp:positionH relativeFrom="column">
                  <wp:posOffset>7694930</wp:posOffset>
                </wp:positionH>
                <wp:positionV relativeFrom="paragraph">
                  <wp:posOffset>501650</wp:posOffset>
                </wp:positionV>
                <wp:extent cx="268605" cy="495300"/>
                <wp:effectExtent l="4445" t="2540" r="12700" b="16510"/>
                <wp:wrapNone/>
                <wp:docPr id="22" name="直线 1866"/>
                <wp:cNvGraphicFramePr/>
                <a:graphic xmlns:a="http://schemas.openxmlformats.org/drawingml/2006/main">
                  <a:graphicData uri="http://schemas.microsoft.com/office/word/2010/wordprocessingShape">
                    <wps:wsp>
                      <wps:cNvCnPr/>
                      <wps:spPr>
                        <a:xfrm flipH="1" flipV="1">
                          <a:off x="0" y="0"/>
                          <a:ext cx="268605" cy="4953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66" o:spid="_x0000_s1026" o:spt="20" style="position:absolute;left:0pt;flip:x y;margin-left:605.9pt;margin-top:39.5pt;height:39pt;width:21.15pt;z-index:251678720;mso-width-relative:page;mso-height-relative:page;" filled="f" stroked="t" coordsize="21600,21600" o:gfxdata="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UhT/dNYAAAAMAQAADwAAAAAAAAABACAAAAAiAAAAZHJzL2Rvd25yZXYu&#10;eG1sUEsBAhQAFAAAAAgAh07iQB+ME1z9AQAA9wMAAA4AAAAAAAAAAQAgAAAAJQEAAGRycy9lMm9E&#10;b2MueG1sUEsFBgAAAAAGAAYAWQEAAJQFAAAAAA==&#10;">
                <v:fill on="f" focussize="0,0"/>
                <v:stroke color="#000000" joinstyle="round"/>
                <v:imagedata o:title=""/>
                <o:lock v:ext="edit" aspectratio="f"/>
              </v:line>
            </w:pict>
          </mc:Fallback>
        </mc:AlternateContent>
      </w:r>
      <w:r>
        <w:rPr>
          <w:rFonts w:ascii="Times New Roman" w:hAnsi="Times New Roman" w:eastAsia="宋体" w:cs="Times New Roman"/>
          <w:color w:val="auto"/>
          <w:kern w:val="0"/>
          <w:sz w:val="18"/>
          <w:szCs w:val="20"/>
          <w:highlight w:val="none"/>
          <w:lang w:val="en-US" w:eastAsia="zh-CN" w:bidi="ar-SA"/>
        </w:rPr>
        <mc:AlternateContent>
          <mc:Choice Requires="wps">
            <w:drawing>
              <wp:anchor distT="0" distB="0" distL="114300" distR="114300" simplePos="0" relativeHeight="251700224" behindDoc="0" locked="0" layoutInCell="1" allowOverlap="1">
                <wp:simplePos x="0" y="0"/>
                <wp:positionH relativeFrom="column">
                  <wp:posOffset>7464425</wp:posOffset>
                </wp:positionH>
                <wp:positionV relativeFrom="paragraph">
                  <wp:posOffset>859790</wp:posOffset>
                </wp:positionV>
                <wp:extent cx="215900" cy="293370"/>
                <wp:effectExtent l="4445" t="4445" r="6985" b="8255"/>
                <wp:wrapNone/>
                <wp:docPr id="47" name="矩形 1864"/>
                <wp:cNvGraphicFramePr/>
                <a:graphic xmlns:a="http://schemas.openxmlformats.org/drawingml/2006/main">
                  <a:graphicData uri="http://schemas.microsoft.com/office/word/2010/wordprocessingShape">
                    <wps:wsp>
                      <wps:cNvSpPr/>
                      <wps:spPr>
                        <a:xfrm rot="-5400000">
                          <a:off x="0" y="0"/>
                          <a:ext cx="215900" cy="293370"/>
                        </a:xfrm>
                        <a:prstGeom prst="rect">
                          <a:avLst/>
                        </a:prstGeom>
                        <a:solidFill>
                          <a:srgbClr val="00B0F0"/>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矩形 1864" o:spid="_x0000_s1026" o:spt="1" style="position:absolute;left:0pt;margin-left:587.75pt;margin-top:67.7pt;height:23.1pt;width:17pt;rotation:-5898240f;z-index:251700224;mso-width-relative:page;mso-height-relative:page;" fillcolor="#00B0F0" filled="t" stroked="t" coordsize="21600,21600" o:gfxdata="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S0mxHaAAAADQEAAA8AAAAAAAAAAQAgAAAAIgAAAGRycy9kb3ducmV2LnhtbFBLAQIU&#10;ABQAAAAIAIdO4kBmqcNOKgIAAGMEAAAOAAAAAAAAAAEAIAAAACkBAABkcnMvZTJvRG9jLnhtbFBL&#10;BQYAAAAABgAGAFkBAADFBQAAAAA=&#10;">
                <v:fill on="t" focussize="0,0"/>
                <v:stroke color="#000000" joinstyle="miter"/>
                <v:imagedata o:title=""/>
                <o:lock v:ext="edit" aspectratio="f"/>
              </v:rect>
            </w:pict>
          </mc:Fallback>
        </mc:AlternateContent>
      </w:r>
      <w:r>
        <w:rPr>
          <w:rFonts w:ascii="Times New Roman" w:hAnsi="Times New Roman" w:eastAsia="宋体" w:cs="Times New Roman"/>
          <w:color w:val="auto"/>
          <w:kern w:val="0"/>
          <w:sz w:val="18"/>
          <w:szCs w:val="20"/>
          <w:highlight w:val="none"/>
          <w:lang w:val="en-US" w:eastAsia="zh-CN" w:bidi="ar-SA"/>
        </w:rPr>
        <mc:AlternateContent>
          <mc:Choice Requires="wps">
            <w:drawing>
              <wp:anchor distT="0" distB="0" distL="114300" distR="114300" simplePos="0" relativeHeight="251677696" behindDoc="0" locked="0" layoutInCell="1" allowOverlap="1">
                <wp:simplePos x="0" y="0"/>
                <wp:positionH relativeFrom="column">
                  <wp:posOffset>7740015</wp:posOffset>
                </wp:positionH>
                <wp:positionV relativeFrom="paragraph">
                  <wp:posOffset>864235</wp:posOffset>
                </wp:positionV>
                <wp:extent cx="215900" cy="283210"/>
                <wp:effectExtent l="4445" t="4445" r="17145" b="8255"/>
                <wp:wrapNone/>
                <wp:docPr id="21" name="矩形 1864"/>
                <wp:cNvGraphicFramePr/>
                <a:graphic xmlns:a="http://schemas.openxmlformats.org/drawingml/2006/main">
                  <a:graphicData uri="http://schemas.microsoft.com/office/word/2010/wordprocessingShape">
                    <wps:wsp>
                      <wps:cNvSpPr/>
                      <wps:spPr>
                        <a:xfrm rot="-5400000">
                          <a:off x="0" y="0"/>
                          <a:ext cx="215900" cy="283210"/>
                        </a:xfrm>
                        <a:prstGeom prst="rect">
                          <a:avLst/>
                        </a:prstGeom>
                        <a:solidFill>
                          <a:srgbClr val="00B050"/>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矩形 1864" o:spid="_x0000_s1026" o:spt="1" style="position:absolute;left:0pt;margin-left:609.45pt;margin-top:68.05pt;height:22.3pt;width:17pt;rotation:-5898240f;z-index:251677696;mso-width-relative:page;mso-height-relative:page;" fillcolor="#00B050" filled="t" stroked="t" coordsize="21600,21600" o:gfxdata="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YV/LhtoAAAANAQAADwAAAAAAAAABACAAAAAiAAAAZHJzL2Rvd25yZXYueG1sUEsBAhQA&#10;FAAAAAgAh07iQO1NpRQpAgAAYwQAAA4AAAAAAAAAAQAgAAAAKQEAAGRycy9lMm9Eb2MueG1sUEsF&#10;BgAAAAAGAAYAWQEAAMQFAAAAAA==&#10;">
                <v:fill on="t" focussize="0,0"/>
                <v:stroke color="#000000" joinstyle="miter"/>
                <v:imagedata o:title=""/>
                <o:lock v:ext="edit" aspectratio="f"/>
              </v:rect>
            </w:pict>
          </mc:Fallback>
        </mc:AlternateContent>
      </w:r>
      <w:r>
        <w:rPr>
          <w:rFonts w:ascii="Times New Roman" w:hAnsi="Times New Roman" w:eastAsia="宋体" w:cs="Times New Roman"/>
          <w:color w:val="auto"/>
          <w:kern w:val="0"/>
          <w:sz w:val="18"/>
          <w:szCs w:val="20"/>
          <w:highlight w:val="none"/>
          <w:lang w:val="en-US" w:eastAsia="zh-CN" w:bidi="ar-SA"/>
        </w:rPr>
        <mc:AlternateContent>
          <mc:Choice Requires="wps">
            <w:drawing>
              <wp:anchor distT="0" distB="0" distL="114300" distR="114300" simplePos="0" relativeHeight="251673600" behindDoc="0" locked="0" layoutInCell="1" allowOverlap="1">
                <wp:simplePos x="0" y="0"/>
                <wp:positionH relativeFrom="column">
                  <wp:posOffset>4605020</wp:posOffset>
                </wp:positionH>
                <wp:positionV relativeFrom="paragraph">
                  <wp:posOffset>1849120</wp:posOffset>
                </wp:positionV>
                <wp:extent cx="2263140" cy="1798320"/>
                <wp:effectExtent l="0" t="4445" r="22860" b="6985"/>
                <wp:wrapNone/>
                <wp:docPr id="17" name="任意多边形 1857"/>
                <wp:cNvGraphicFramePr/>
                <a:graphic xmlns:a="http://schemas.openxmlformats.org/drawingml/2006/main">
                  <a:graphicData uri="http://schemas.microsoft.com/office/word/2010/wordprocessingShape">
                    <wps:wsp>
                      <wps:cNvSpPr/>
                      <wps:spPr>
                        <a:xfrm>
                          <a:off x="0" y="0"/>
                          <a:ext cx="2263140" cy="1798320"/>
                        </a:xfrm>
                        <a:custGeom>
                          <a:avLst/>
                          <a:gdLst/>
                          <a:ahLst/>
                          <a:cxnLst/>
                          <a:pathLst>
                            <a:path w="3564" h="2832">
                              <a:moveTo>
                                <a:pt x="0" y="0"/>
                              </a:moveTo>
                              <a:lnTo>
                                <a:pt x="1992" y="0"/>
                              </a:lnTo>
                              <a:lnTo>
                                <a:pt x="3564" y="2832"/>
                              </a:lnTo>
                            </a:path>
                          </a:pathLst>
                        </a:custGeom>
                        <a:noFill/>
                        <a:ln w="9525" cap="flat" cmpd="sng">
                          <a:solidFill>
                            <a:srgbClr val="FF0000"/>
                          </a:solidFill>
                          <a:prstDash val="solid"/>
                          <a:headEnd type="none" w="med" len="med"/>
                          <a:tailEnd type="none" w="med" len="med"/>
                        </a:ln>
                      </wps:spPr>
                      <wps:bodyPr vert="horz" wrap="square" anchor="t" anchorCtr="0" upright="1"/>
                    </wps:wsp>
                  </a:graphicData>
                </a:graphic>
              </wp:anchor>
            </w:drawing>
          </mc:Choice>
          <mc:Fallback>
            <w:pict>
              <v:shape id="任意多边形 1857" o:spid="_x0000_s1026" o:spt="100" style="position:absolute;left:0pt;margin-left:362.6pt;margin-top:145.6pt;height:141.6pt;width:178.2pt;z-index:251673600;mso-width-relative:page;mso-height-relative:page;" filled="f" stroked="t" coordsize="3564,2832" o:gfxdata="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8Mfqk2gAAAAwBAAAPAAAAAAAAAAEAIAAAACIAAABkcnMvZG93bnJldi54&#10;bWxQSwECFAAUAAAACACHTuJAQJKoOWoCAADyBAAADgAAAAAAAAABACAAAAApAQAAZHJzL2Uyb0Rv&#10;Yy54bWxQSwUGAAAAAAYABgBZAQAABQYAAAAA&#10;" path="m0,0l1992,0,3564,2832e">
                <v:fill on="f" focussize="0,0"/>
                <v:stroke color="#FF0000" joinstyle="round"/>
                <v:imagedata o:title=""/>
                <o:lock v:ext="edit" aspectratio="f"/>
              </v:shape>
            </w:pict>
          </mc:Fallback>
        </mc:AlternateContent>
      </w:r>
      <w:r>
        <w:rPr>
          <w:rFonts w:ascii="Times New Roman" w:hAnsi="Times New Roman" w:eastAsia="宋体" w:cs="Times New Roman"/>
          <w:color w:val="auto"/>
          <w:kern w:val="0"/>
          <w:sz w:val="18"/>
          <w:szCs w:val="20"/>
          <w:highlight w:val="none"/>
          <w:lang w:val="en-US" w:eastAsia="zh-CN" w:bidi="ar-SA"/>
        </w:rPr>
        <w:drawing>
          <wp:inline distT="0" distB="0" distL="114300" distR="114300">
            <wp:extent cx="8430260" cy="3552825"/>
            <wp:effectExtent l="9525" t="9525" r="18415" b="19050"/>
            <wp:docPr id="113" name="图片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548"/>
                    <pic:cNvPicPr>
                      <a:picLocks noChangeAspect="1"/>
                    </pic:cNvPicPr>
                  </pic:nvPicPr>
                  <pic:blipFill>
                    <a:blip r:embed="rId68"/>
                    <a:srcRect l="566" t="4475" r="418" b="9488"/>
                    <a:stretch>
                      <a:fillRect/>
                    </a:stretch>
                  </pic:blipFill>
                  <pic:spPr>
                    <a:xfrm>
                      <a:off x="0" y="0"/>
                      <a:ext cx="8430260" cy="3552825"/>
                    </a:xfrm>
                    <a:prstGeom prst="rect">
                      <a:avLst/>
                    </a:prstGeom>
                    <a:noFill/>
                    <a:ln w="6350" cap="flat" cmpd="sng">
                      <a:solidFill>
                        <a:srgbClr val="000000"/>
                      </a:solidFill>
                      <a:prstDash val="solid"/>
                      <a:miter/>
                      <a:headEnd type="none" w="med" len="med"/>
                      <a:tailEnd type="none" w="med" len="med"/>
                    </a:ln>
                  </pic:spPr>
                </pic:pic>
              </a:graphicData>
            </a:graphic>
          </wp:inline>
        </w:drawing>
      </w:r>
    </w:p>
    <w:p w14:paraId="1778E88A">
      <w:pPr>
        <w:widowControl/>
        <w:snapToGrid w:val="0"/>
        <w:spacing w:before="60" w:after="0" w:line="240" w:lineRule="auto"/>
        <w:ind w:right="113"/>
        <w:jc w:val="center"/>
        <w:rPr>
          <w:rFonts w:hint="default" w:ascii="Times New Roman" w:hAnsi="Times New Roman" w:eastAsia="宋体" w:cs="Times New Roman"/>
          <w:b/>
          <w:bCs/>
          <w:color w:val="auto"/>
          <w:kern w:val="0"/>
          <w:sz w:val="24"/>
          <w:szCs w:val="20"/>
          <w:highlight w:val="none"/>
          <w:lang w:val="en-US" w:eastAsia="zh-CN" w:bidi="ar-SA"/>
        </w:rPr>
      </w:pPr>
      <w:r>
        <w:rPr>
          <w:rFonts w:ascii="Times New Roman" w:hAnsi="Times New Roman" w:eastAsia="宋体" w:cs="Times New Roman"/>
          <w:color w:val="auto"/>
          <w:kern w:val="0"/>
          <w:sz w:val="18"/>
          <w:szCs w:val="20"/>
          <w:highlight w:val="none"/>
          <w:lang w:val="en-US" w:eastAsia="zh-CN" w:bidi="ar-SA"/>
        </w:rPr>
        <w:drawing>
          <wp:inline distT="0" distB="0" distL="114300" distR="114300">
            <wp:extent cx="8523605" cy="1714500"/>
            <wp:effectExtent l="12700" t="12700" r="17145" b="25400"/>
            <wp:docPr id="114" name="图片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517"/>
                    <pic:cNvPicPr>
                      <a:picLocks noChangeAspect="1"/>
                    </pic:cNvPicPr>
                  </pic:nvPicPr>
                  <pic:blipFill>
                    <a:blip r:embed="rId69"/>
                    <a:stretch>
                      <a:fillRect/>
                    </a:stretch>
                  </pic:blipFill>
                  <pic:spPr>
                    <a:xfrm>
                      <a:off x="0" y="0"/>
                      <a:ext cx="8523605" cy="1714500"/>
                    </a:xfrm>
                    <a:prstGeom prst="rect">
                      <a:avLst/>
                    </a:prstGeom>
                    <a:noFill/>
                    <a:ln w="12700" cap="flat" cmpd="sng">
                      <a:solidFill>
                        <a:srgbClr val="FF0000"/>
                      </a:solidFill>
                      <a:prstDash val="solid"/>
                      <a:miter/>
                      <a:headEnd type="none" w="med" len="med"/>
                      <a:tailEnd type="none" w="med" len="med"/>
                    </a:ln>
                  </pic:spPr>
                </pic:pic>
              </a:graphicData>
            </a:graphic>
          </wp:inline>
        </w:drawing>
      </w:r>
    </w:p>
    <w:p w14:paraId="732F6275">
      <w:pPr>
        <w:jc w:val="center"/>
        <w:outlineLvl w:val="0"/>
        <w:rPr>
          <w:rFonts w:hint="default" w:ascii="Times New Roman" w:hAnsi="Times New Roman" w:cs="Times New Roman"/>
          <w:b/>
          <w:bCs/>
          <w:color w:val="auto"/>
          <w:sz w:val="24"/>
          <w:highlight w:val="none"/>
        </w:rPr>
        <w:sectPr>
          <w:pgSz w:w="16838" w:h="11906" w:orient="landscape"/>
          <w:pgMar w:top="1247" w:right="1701" w:bottom="1304" w:left="1701" w:header="850" w:footer="992" w:gutter="340"/>
          <w:pgBorders>
            <w:top w:val="none" w:sz="0" w:space="0"/>
            <w:left w:val="none" w:sz="0" w:space="0"/>
            <w:bottom w:val="none" w:sz="0" w:space="0"/>
            <w:right w:val="none" w:sz="0" w:space="0"/>
          </w:pgBorders>
          <w:pgNumType w:fmt="decimal"/>
          <w:cols w:space="720" w:num="1"/>
          <w:docGrid w:type="lines" w:linePitch="412" w:charSpace="0"/>
        </w:sectPr>
      </w:pPr>
      <w:bookmarkStart w:id="72" w:name="_Toc15989"/>
      <w:bookmarkStart w:id="73" w:name="_Toc29379"/>
      <w:bookmarkStart w:id="74" w:name="_Toc29800"/>
      <w:r>
        <w:rPr>
          <w:rFonts w:hint="default" w:ascii="Times New Roman" w:hAnsi="Times New Roman" w:cs="Times New Roman"/>
          <w:b/>
          <w:bCs/>
          <w:color w:val="auto"/>
          <w:sz w:val="24"/>
          <w:highlight w:val="none"/>
        </w:rPr>
        <w:t>附图</w:t>
      </w:r>
      <w:r>
        <w:rPr>
          <w:rFonts w:hint="eastAsia" w:ascii="Times New Roman" w:hAnsi="Times New Roman" w:cs="Times New Roman"/>
          <w:b/>
          <w:bCs/>
          <w:color w:val="auto"/>
          <w:sz w:val="24"/>
          <w:highlight w:val="none"/>
          <w:lang w:val="en-US" w:eastAsia="zh-CN"/>
        </w:rPr>
        <w:t>5-1</w:t>
      </w:r>
      <w:r>
        <w:rPr>
          <w:rFonts w:hint="default" w:ascii="Times New Roman" w:hAnsi="Times New Roman" w:cs="Times New Roman"/>
          <w:b/>
          <w:bCs/>
          <w:color w:val="auto"/>
          <w:sz w:val="24"/>
          <w:highlight w:val="none"/>
        </w:rPr>
        <w:t xml:space="preserve"> 项目</w:t>
      </w:r>
      <w:r>
        <w:rPr>
          <w:rFonts w:hint="eastAsia" w:ascii="Times New Roman" w:hAnsi="Times New Roman" w:cs="Times New Roman"/>
          <w:b/>
          <w:bCs/>
          <w:color w:val="auto"/>
          <w:sz w:val="24"/>
          <w:highlight w:val="none"/>
          <w:lang w:val="en-US" w:eastAsia="zh-CN"/>
        </w:rPr>
        <w:t>5#厂房</w:t>
      </w:r>
      <w:r>
        <w:rPr>
          <w:rFonts w:hint="default" w:ascii="Times New Roman" w:hAnsi="Times New Roman" w:cs="Times New Roman"/>
          <w:b/>
          <w:bCs/>
          <w:color w:val="auto"/>
          <w:sz w:val="24"/>
          <w:highlight w:val="none"/>
        </w:rPr>
        <w:t>平面布置图</w:t>
      </w:r>
      <w:bookmarkEnd w:id="60"/>
      <w:bookmarkEnd w:id="61"/>
      <w:bookmarkEnd w:id="62"/>
      <w:bookmarkEnd w:id="72"/>
      <w:bookmarkEnd w:id="73"/>
      <w:bookmarkEnd w:id="74"/>
    </w:p>
    <w:p w14:paraId="3EC9D9BD">
      <w:pPr>
        <w:jc w:val="center"/>
        <w:outlineLvl w:val="9"/>
        <w:rPr>
          <w:rFonts w:hint="default"/>
          <w:color w:val="auto"/>
          <w:highlight w:val="none"/>
          <w:lang w:val="en-US" w:eastAsia="zh-CN"/>
        </w:rPr>
      </w:pPr>
      <w:r>
        <w:rPr>
          <w:sz w:val="21"/>
        </w:rPr>
        <mc:AlternateContent>
          <mc:Choice Requires="wps">
            <w:drawing>
              <wp:anchor distT="0" distB="0" distL="114300" distR="114300" simplePos="0" relativeHeight="251752448" behindDoc="0" locked="0" layoutInCell="1" allowOverlap="1">
                <wp:simplePos x="0" y="0"/>
                <wp:positionH relativeFrom="column">
                  <wp:posOffset>2399665</wp:posOffset>
                </wp:positionH>
                <wp:positionV relativeFrom="paragraph">
                  <wp:posOffset>2138045</wp:posOffset>
                </wp:positionV>
                <wp:extent cx="3914140" cy="424180"/>
                <wp:effectExtent l="4445" t="5080" r="5715" b="8890"/>
                <wp:wrapNone/>
                <wp:docPr id="91" name="文本框 33"/>
                <wp:cNvGraphicFramePr/>
                <a:graphic xmlns:a="http://schemas.openxmlformats.org/drawingml/2006/main">
                  <a:graphicData uri="http://schemas.microsoft.com/office/word/2010/wordprocessingShape">
                    <wps:wsp>
                      <wps:cNvSpPr txBox="1"/>
                      <wps:spPr>
                        <a:xfrm>
                          <a:off x="3696335" y="2832735"/>
                          <a:ext cx="3914140" cy="424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DFBD19F">
                            <w:pPr>
                              <w:rPr>
                                <w:rFonts w:hint="default" w:eastAsia="宋体"/>
                                <w:lang w:val="en-US" w:eastAsia="zh-CN"/>
                              </w:rPr>
                            </w:pPr>
                            <w:r>
                              <w:rPr>
                                <w:rFonts w:hint="eastAsia" w:ascii="Times New Roman" w:eastAsia="宋体"/>
                                <w:lang w:val="en-US" w:eastAsia="zh-CN"/>
                              </w:rPr>
                              <w:t>粉末涂装</w:t>
                            </w:r>
                            <w:r>
                              <w:rPr>
                                <w:rFonts w:hint="eastAsia"/>
                                <w:lang w:val="en-US" w:eastAsia="zh-CN"/>
                              </w:rPr>
                              <w:t>线</w:t>
                            </w:r>
                            <w:r>
                              <w:rPr>
                                <w:rFonts w:hint="eastAsia" w:ascii="Times New Roman" w:eastAsia="宋体"/>
                                <w:lang w:val="en-US" w:eastAsia="zh-CN"/>
                              </w:rPr>
                              <w:t xml:space="preserve">                   固化区</w:t>
                            </w:r>
                          </w:p>
                        </w:txbxContent>
                      </wps:txbx>
                      <wps:bodyPr vert="horz" anchor="t" anchorCtr="0" upright="1"/>
                    </wps:wsp>
                  </a:graphicData>
                </a:graphic>
              </wp:anchor>
            </w:drawing>
          </mc:Choice>
          <mc:Fallback>
            <w:pict>
              <v:shape id="文本框 33" o:spid="_x0000_s1026" o:spt="202" type="#_x0000_t202" style="position:absolute;left:0pt;margin-left:188.95pt;margin-top:168.35pt;height:33.4pt;width:308.2pt;z-index:251752448;mso-width-relative:page;mso-height-relative:page;" fillcolor="#FFFFFF" filled="t" stroked="t" coordsize="21600,21600" o:gfxdata="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IWO6braAAAACwEAAA8AAAAAAAAAAQAgAAAAIgAAAGRycy9kb3ducmV2LnhtbFBL&#10;AQIUABQAAAAIAIdO4kDV4J4wLQIAAGkEAAAOAAAAAAAAAAEAIAAAACkBAABkcnMvZTJvRG9jLnht&#10;bFBLBQYAAAAABgAGAFkBAADIBQAAAAA=&#10;">
                <v:fill on="t" focussize="0,0"/>
                <v:stroke color="#000000" joinstyle="miter"/>
                <v:imagedata o:title=""/>
                <o:lock v:ext="edit" aspectratio="f"/>
                <v:textbox>
                  <w:txbxContent>
                    <w:p w14:paraId="1DFBD19F">
                      <w:pPr>
                        <w:rPr>
                          <w:rFonts w:hint="default" w:eastAsia="宋体"/>
                          <w:lang w:val="en-US" w:eastAsia="zh-CN"/>
                        </w:rPr>
                      </w:pPr>
                      <w:r>
                        <w:rPr>
                          <w:rFonts w:hint="eastAsia" w:ascii="Times New Roman" w:eastAsia="宋体"/>
                          <w:lang w:val="en-US" w:eastAsia="zh-CN"/>
                        </w:rPr>
                        <w:t>粉末涂装</w:t>
                      </w:r>
                      <w:r>
                        <w:rPr>
                          <w:rFonts w:hint="eastAsia"/>
                          <w:lang w:val="en-US" w:eastAsia="zh-CN"/>
                        </w:rPr>
                        <w:t>线</w:t>
                      </w:r>
                      <w:r>
                        <w:rPr>
                          <w:rFonts w:hint="eastAsia" w:ascii="Times New Roman" w:eastAsia="宋体"/>
                          <w:lang w:val="en-US" w:eastAsia="zh-CN"/>
                        </w:rPr>
                        <w:t xml:space="preserve">                   固化区</w:t>
                      </w:r>
                    </w:p>
                  </w:txbxContent>
                </v:textbox>
              </v:shape>
            </w:pict>
          </mc:Fallback>
        </mc:AlternateContent>
      </w:r>
      <w:r>
        <w:rPr>
          <w:sz w:val="21"/>
        </w:rPr>
        <mc:AlternateContent>
          <mc:Choice Requires="wps">
            <w:drawing>
              <wp:anchor distT="0" distB="0" distL="114300" distR="114300" simplePos="0" relativeHeight="251753472" behindDoc="0" locked="0" layoutInCell="1" allowOverlap="1">
                <wp:simplePos x="0" y="0"/>
                <wp:positionH relativeFrom="column">
                  <wp:posOffset>2301240</wp:posOffset>
                </wp:positionH>
                <wp:positionV relativeFrom="paragraph">
                  <wp:posOffset>504825</wp:posOffset>
                </wp:positionV>
                <wp:extent cx="3914140" cy="424180"/>
                <wp:effectExtent l="4445" t="5080" r="5715" b="8890"/>
                <wp:wrapNone/>
                <wp:docPr id="92" name="文本框 34"/>
                <wp:cNvGraphicFramePr/>
                <a:graphic xmlns:a="http://schemas.openxmlformats.org/drawingml/2006/main">
                  <a:graphicData uri="http://schemas.microsoft.com/office/word/2010/wordprocessingShape">
                    <wps:wsp>
                      <wps:cNvSpPr txBox="1"/>
                      <wps:spPr>
                        <a:xfrm>
                          <a:off x="0" y="0"/>
                          <a:ext cx="3914140" cy="424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0C4C943">
                            <w:pPr>
                              <w:rPr>
                                <w:rFonts w:hint="default" w:eastAsia="宋体"/>
                                <w:lang w:val="en-US" w:eastAsia="zh-CN"/>
                              </w:rPr>
                            </w:pPr>
                            <w:r>
                              <w:rPr>
                                <w:rFonts w:hint="eastAsia" w:ascii="Times New Roman" w:eastAsia="宋体"/>
                                <w:lang w:val="en-US" w:eastAsia="zh-CN"/>
                              </w:rPr>
                              <w:t>油</w:t>
                            </w:r>
                            <w:r>
                              <w:rPr>
                                <w:rFonts w:hint="eastAsia"/>
                                <w:lang w:val="en-US" w:eastAsia="zh-CN"/>
                              </w:rPr>
                              <w:t>粉</w:t>
                            </w:r>
                            <w:r>
                              <w:rPr>
                                <w:rFonts w:hint="eastAsia" w:ascii="Times New Roman" w:eastAsia="宋体"/>
                                <w:lang w:val="en-US" w:eastAsia="zh-CN"/>
                              </w:rPr>
                              <w:t>涂装</w:t>
                            </w:r>
                            <w:r>
                              <w:rPr>
                                <w:rFonts w:hint="eastAsia"/>
                                <w:lang w:val="en-US" w:eastAsia="zh-CN"/>
                              </w:rPr>
                              <w:t>线</w:t>
                            </w:r>
                            <w:r>
                              <w:rPr>
                                <w:rFonts w:hint="eastAsia" w:ascii="Times New Roman" w:eastAsia="宋体"/>
                                <w:lang w:val="en-US" w:eastAsia="zh-CN"/>
                              </w:rPr>
                              <w:t xml:space="preserve">                    固化区</w:t>
                            </w:r>
                          </w:p>
                        </w:txbxContent>
                      </wps:txbx>
                      <wps:bodyPr upright="1"/>
                    </wps:wsp>
                  </a:graphicData>
                </a:graphic>
              </wp:anchor>
            </w:drawing>
          </mc:Choice>
          <mc:Fallback>
            <w:pict>
              <v:shape id="文本框 34" o:spid="_x0000_s1026" o:spt="202" type="#_x0000_t202" style="position:absolute;left:0pt;margin-left:181.2pt;margin-top:39.75pt;height:33.4pt;width:308.2pt;z-index:251753472;mso-width-relative:page;mso-height-relative:page;" fillcolor="#FFFFFF" filled="t" stroked="t" coordsize="21600,21600" o:gfxdata="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84FRmtkAAAAKAQAADwAAAAAAAAAB&#10;ACAAAAAiAAAAZHJzL2Rvd25yZXYueG1sUEsBAhQAFAAAAAgAh07iQCVp5sIPAgAAOAQAAA4AAAAA&#10;AAAAAQAgAAAAKAEAAGRycy9lMm9Eb2MueG1sUEsFBgAAAAAGAAYAWQEAAKkFAAAAAA==&#10;">
                <v:fill on="t" focussize="0,0"/>
                <v:stroke color="#000000" joinstyle="miter"/>
                <v:imagedata o:title=""/>
                <o:lock v:ext="edit" aspectratio="f"/>
                <v:textbox>
                  <w:txbxContent>
                    <w:p w14:paraId="00C4C943">
                      <w:pPr>
                        <w:rPr>
                          <w:rFonts w:hint="default" w:eastAsia="宋体"/>
                          <w:lang w:val="en-US" w:eastAsia="zh-CN"/>
                        </w:rPr>
                      </w:pPr>
                      <w:r>
                        <w:rPr>
                          <w:rFonts w:hint="eastAsia" w:ascii="Times New Roman" w:eastAsia="宋体"/>
                          <w:lang w:val="en-US" w:eastAsia="zh-CN"/>
                        </w:rPr>
                        <w:t>油</w:t>
                      </w:r>
                      <w:r>
                        <w:rPr>
                          <w:rFonts w:hint="eastAsia"/>
                          <w:lang w:val="en-US" w:eastAsia="zh-CN"/>
                        </w:rPr>
                        <w:t>粉</w:t>
                      </w:r>
                      <w:r>
                        <w:rPr>
                          <w:rFonts w:hint="eastAsia" w:ascii="Times New Roman" w:eastAsia="宋体"/>
                          <w:lang w:val="en-US" w:eastAsia="zh-CN"/>
                        </w:rPr>
                        <w:t>涂装</w:t>
                      </w:r>
                      <w:r>
                        <w:rPr>
                          <w:rFonts w:hint="eastAsia"/>
                          <w:lang w:val="en-US" w:eastAsia="zh-CN"/>
                        </w:rPr>
                        <w:t>线</w:t>
                      </w:r>
                      <w:r>
                        <w:rPr>
                          <w:rFonts w:hint="eastAsia" w:ascii="Times New Roman" w:eastAsia="宋体"/>
                          <w:lang w:val="en-US" w:eastAsia="zh-CN"/>
                        </w:rPr>
                        <w:t xml:space="preserve">                    固化区</w:t>
                      </w:r>
                    </w:p>
                  </w:txbxContent>
                </v:textbox>
              </v:shape>
            </w:pict>
          </mc:Fallback>
        </mc:AlternateContent>
      </w:r>
      <w:r>
        <w:rPr>
          <w:sz w:val="18"/>
        </w:rPr>
        <mc:AlternateContent>
          <mc:Choice Requires="wpg">
            <w:drawing>
              <wp:anchor distT="0" distB="0" distL="114300" distR="114300" simplePos="0" relativeHeight="251756544" behindDoc="0" locked="0" layoutInCell="1" allowOverlap="1">
                <wp:simplePos x="0" y="0"/>
                <wp:positionH relativeFrom="column">
                  <wp:posOffset>1598295</wp:posOffset>
                </wp:positionH>
                <wp:positionV relativeFrom="paragraph">
                  <wp:posOffset>464185</wp:posOffset>
                </wp:positionV>
                <wp:extent cx="751840" cy="353060"/>
                <wp:effectExtent l="4445" t="0" r="0" b="0"/>
                <wp:wrapNone/>
                <wp:docPr id="115" name="组合 46"/>
                <wp:cNvGraphicFramePr/>
                <a:graphic xmlns:a="http://schemas.openxmlformats.org/drawingml/2006/main">
                  <a:graphicData uri="http://schemas.microsoft.com/office/word/2010/wordprocessingGroup">
                    <wpg:wgp>
                      <wpg:cNvGrpSpPr/>
                      <wpg:grpSpPr>
                        <a:xfrm>
                          <a:off x="0" y="0"/>
                          <a:ext cx="751840" cy="353060"/>
                          <a:chOff x="8678" y="1984447"/>
                          <a:chExt cx="1184" cy="556"/>
                        </a:xfrm>
                      </wpg:grpSpPr>
                      <wps:wsp>
                        <wps:cNvPr id="99" name="椭圆 1879"/>
                        <wps:cNvSpPr/>
                        <wps:spPr>
                          <a:xfrm>
                            <a:off x="8678" y="1984667"/>
                            <a:ext cx="180" cy="192"/>
                          </a:xfrm>
                          <a:prstGeom prst="ellipse">
                            <a:avLst/>
                          </a:prstGeom>
                          <a:solidFill>
                            <a:srgbClr val="00B0F0"/>
                          </a:solidFill>
                          <a:ln w="9525" cap="flat" cmpd="sng">
                            <a:solidFill>
                              <a:srgbClr val="000000"/>
                            </a:solidFill>
                            <a:prstDash val="solid"/>
                            <a:headEnd type="none" w="med" len="med"/>
                            <a:tailEnd type="none" w="med" len="med"/>
                          </a:ln>
                        </wps:spPr>
                        <wps:bodyPr upright="1"/>
                      </wps:wsp>
                      <wps:wsp>
                        <wps:cNvPr id="100" name="文本框 1881"/>
                        <wps:cNvSpPr txBox="1"/>
                        <wps:spPr>
                          <a:xfrm>
                            <a:off x="8924" y="1984447"/>
                            <a:ext cx="939" cy="556"/>
                          </a:xfrm>
                          <a:prstGeom prst="rect">
                            <a:avLst/>
                          </a:prstGeom>
                          <a:noFill/>
                          <a:ln>
                            <a:noFill/>
                          </a:ln>
                        </wps:spPr>
                        <wps:txbx>
                          <w:txbxContent>
                            <w:p w14:paraId="699D7BDD">
                              <w:pPr>
                                <w:rPr>
                                  <w:rFonts w:hint="default" w:eastAsia="宋体"/>
                                  <w:b/>
                                  <w:bCs/>
                                  <w:highlight w:val="yellow"/>
                                  <w:lang w:val="en-US" w:eastAsia="zh-CN"/>
                                </w:rPr>
                              </w:pPr>
                              <w:r>
                                <w:rPr>
                                  <w:rFonts w:hint="eastAsia"/>
                                  <w:b/>
                                  <w:bCs/>
                                  <w:highlight w:val="yellow"/>
                                  <w:lang w:val="en-US" w:eastAsia="zh-CN"/>
                                </w:rPr>
                                <w:t>DA001</w:t>
                              </w:r>
                            </w:p>
                          </w:txbxContent>
                        </wps:txbx>
                        <wps:bodyPr upright="1"/>
                      </wps:wsp>
                    </wpg:wgp>
                  </a:graphicData>
                </a:graphic>
              </wp:anchor>
            </w:drawing>
          </mc:Choice>
          <mc:Fallback>
            <w:pict>
              <v:group id="组合 46" o:spid="_x0000_s1026" o:spt="203" style="position:absolute;left:0pt;margin-left:125.85pt;margin-top:36.55pt;height:27.8pt;width:59.2pt;z-index:251756544;mso-width-relative:page;mso-height-relative:page;" coordorigin="8678,1984447" coordsize="1184,556" o:gfxdata="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ztxVndkAAAAKAQAADwAAAAAAAAABACAAAAAiAAAAZHJzL2Rvd25yZXYueG1sUEsBAhQAFAAA&#10;AAgAh07iQBfXFjPSAgAAyAYAAA4AAAAAAAAAAQAgAAAAKAEAAGRycy9lMm9Eb2MueG1sUEsFBgAA&#10;AAAGAAYAWQEAAGwGAAAAAA==&#10;">
                <o:lock v:ext="edit" aspectratio="f"/>
                <v:shape id="椭圆 1879" o:spid="_x0000_s1026" o:spt="3" type="#_x0000_t3" style="position:absolute;left:8678;top:1984667;height:192;width:180;" fillcolor="#00B0F0" filled="t" stroked="t" coordsize="21600,21600" o:gfxdata="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q9BDO/&#10;AAAA2wAAAA8AAAAAAAAAAQAgAAAAIgAAAGRycy9kb3ducmV2LnhtbFBLAQIUABQAAAAIAIdO4kAz&#10;LwWeOwAAADkAAAAQAAAAAAAAAAEAIAAAAA4BAABkcnMvc2hhcGV4bWwueG1sUEsFBgAAAAAGAAYA&#10;WwEAALgDAAAAAA==&#10;">
                  <v:fill on="t" focussize="0,0"/>
                  <v:stroke color="#000000" joinstyle="round"/>
                  <v:imagedata o:title=""/>
                  <o:lock v:ext="edit" aspectratio="f"/>
                </v:shape>
                <v:shape id="文本框 1881" o:spid="_x0000_s1026" o:spt="202" type="#_x0000_t202" style="position:absolute;left:8924;top:1984447;height:556;width:939;" filled="f" stroked="f" coordsize="21600,21600" o:gfxdata="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Dhht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99D7BDD">
                        <w:pPr>
                          <w:rPr>
                            <w:rFonts w:hint="default" w:eastAsia="宋体"/>
                            <w:b/>
                            <w:bCs/>
                            <w:highlight w:val="yellow"/>
                            <w:lang w:val="en-US" w:eastAsia="zh-CN"/>
                          </w:rPr>
                        </w:pPr>
                        <w:r>
                          <w:rPr>
                            <w:rFonts w:hint="eastAsia"/>
                            <w:b/>
                            <w:bCs/>
                            <w:highlight w:val="yellow"/>
                            <w:lang w:val="en-US" w:eastAsia="zh-CN"/>
                          </w:rPr>
                          <w:t>DA001</w:t>
                        </w:r>
                      </w:p>
                    </w:txbxContent>
                  </v:textbox>
                </v:shape>
              </v:group>
            </w:pict>
          </mc:Fallback>
        </mc:AlternateContent>
      </w:r>
      <w:r>
        <w:rPr>
          <w:sz w:val="18"/>
        </w:rPr>
        <mc:AlternateContent>
          <mc:Choice Requires="wpg">
            <w:drawing>
              <wp:anchor distT="0" distB="0" distL="114300" distR="114300" simplePos="0" relativeHeight="251755520" behindDoc="0" locked="0" layoutInCell="1" allowOverlap="1">
                <wp:simplePos x="0" y="0"/>
                <wp:positionH relativeFrom="column">
                  <wp:posOffset>1708150</wp:posOffset>
                </wp:positionH>
                <wp:positionV relativeFrom="paragraph">
                  <wp:posOffset>2080895</wp:posOffset>
                </wp:positionV>
                <wp:extent cx="752475" cy="353060"/>
                <wp:effectExtent l="4445" t="0" r="0" b="0"/>
                <wp:wrapNone/>
                <wp:docPr id="116" name="组合 71"/>
                <wp:cNvGraphicFramePr/>
                <a:graphic xmlns:a="http://schemas.openxmlformats.org/drawingml/2006/main">
                  <a:graphicData uri="http://schemas.microsoft.com/office/word/2010/wordprocessingGroup">
                    <wpg:wgp>
                      <wpg:cNvGrpSpPr/>
                      <wpg:grpSpPr>
                        <a:xfrm>
                          <a:off x="0" y="0"/>
                          <a:ext cx="752475" cy="353060"/>
                          <a:chOff x="8470" y="1984850"/>
                          <a:chExt cx="1185" cy="556"/>
                        </a:xfrm>
                      </wpg:grpSpPr>
                      <wps:wsp>
                        <wps:cNvPr id="96" name="椭圆 1879"/>
                        <wps:cNvSpPr/>
                        <wps:spPr>
                          <a:xfrm>
                            <a:off x="8470" y="1985070"/>
                            <a:ext cx="180" cy="192"/>
                          </a:xfrm>
                          <a:prstGeom prst="ellipse">
                            <a:avLst/>
                          </a:prstGeom>
                          <a:solidFill>
                            <a:srgbClr val="00B0F0"/>
                          </a:solidFill>
                          <a:ln w="9525" cap="flat" cmpd="sng">
                            <a:solidFill>
                              <a:srgbClr val="000000"/>
                            </a:solidFill>
                            <a:prstDash val="solid"/>
                            <a:headEnd type="none" w="med" len="med"/>
                            <a:tailEnd type="none" w="med" len="med"/>
                          </a:ln>
                        </wps:spPr>
                        <wps:bodyPr vert="horz" anchor="t" anchorCtr="0" upright="1"/>
                      </wps:wsp>
                      <wps:wsp>
                        <wps:cNvPr id="97" name="文本框 1881"/>
                        <wps:cNvSpPr txBox="1"/>
                        <wps:spPr>
                          <a:xfrm>
                            <a:off x="8716" y="1984850"/>
                            <a:ext cx="939" cy="556"/>
                          </a:xfrm>
                          <a:prstGeom prst="rect">
                            <a:avLst/>
                          </a:prstGeom>
                          <a:noFill/>
                          <a:ln>
                            <a:noFill/>
                          </a:ln>
                        </wps:spPr>
                        <wps:txbx>
                          <w:txbxContent>
                            <w:p w14:paraId="3E8A7C86">
                              <w:pPr>
                                <w:rPr>
                                  <w:rFonts w:hint="default" w:eastAsia="宋体"/>
                                  <w:b/>
                                  <w:bCs/>
                                  <w:highlight w:val="yellow"/>
                                  <w:lang w:val="en-US" w:eastAsia="zh-CN"/>
                                </w:rPr>
                              </w:pPr>
                              <w:r>
                                <w:rPr>
                                  <w:rFonts w:hint="eastAsia"/>
                                  <w:b/>
                                  <w:bCs/>
                                  <w:highlight w:val="yellow"/>
                                  <w:lang w:val="en-US" w:eastAsia="zh-CN"/>
                                </w:rPr>
                                <w:t>DA002</w:t>
                              </w:r>
                            </w:p>
                          </w:txbxContent>
                        </wps:txbx>
                        <wps:bodyPr vert="horz" anchor="t" anchorCtr="0" upright="1"/>
                      </wps:wsp>
                    </wpg:wgp>
                  </a:graphicData>
                </a:graphic>
              </wp:anchor>
            </w:drawing>
          </mc:Choice>
          <mc:Fallback>
            <w:pict>
              <v:group id="组合 71" o:spid="_x0000_s1026" o:spt="203" style="position:absolute;left:0pt;margin-left:134.5pt;margin-top:163.85pt;height:27.8pt;width:59.25pt;z-index:251755520;mso-width-relative:page;mso-height-relative:page;" coordorigin="8470,1984850" coordsize="1185,556" o:gfxdata="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">
                <o:lock v:ext="edit" aspectratio="f"/>
                <v:shape id="椭圆 1879" o:spid="_x0000_s1026" o:spt="3" type="#_x0000_t3" style="position:absolute;left:8470;top:1985070;height:192;width:180;" fillcolor="#00B0F0" filled="t" stroked="t" coordsize="21600,21600" o:gfxdata="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bIpBB&#10;wAAAANsAAAAPAAAAAAAAAAEAIAAAACIAAABkcnMvZG93bnJldi54bWxQSwECFAAUAAAACACHTuJA&#10;My8FnjsAAAA5AAAAEAAAAAAAAAABACAAAAAPAQAAZHJzL3NoYXBleG1sLnhtbFBLBQYAAAAABgAG&#10;AFsBAAC5AwAAAAA=&#10;">
                  <v:fill on="t" focussize="0,0"/>
                  <v:stroke color="#000000" joinstyle="round"/>
                  <v:imagedata o:title=""/>
                  <o:lock v:ext="edit" aspectratio="f"/>
                </v:shape>
                <v:shape id="文本框 1881" o:spid="_x0000_s1026" o:spt="202" type="#_x0000_t202" style="position:absolute;left:8716;top:1984850;height:556;width:939;" filled="f" stroked="f" coordsize="21600,21600" o:gfxdata="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iR3Y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3E8A7C86">
                        <w:pPr>
                          <w:rPr>
                            <w:rFonts w:hint="default" w:eastAsia="宋体"/>
                            <w:b/>
                            <w:bCs/>
                            <w:highlight w:val="yellow"/>
                            <w:lang w:val="en-US" w:eastAsia="zh-CN"/>
                          </w:rPr>
                        </w:pPr>
                        <w:r>
                          <w:rPr>
                            <w:rFonts w:hint="eastAsia"/>
                            <w:b/>
                            <w:bCs/>
                            <w:highlight w:val="yellow"/>
                            <w:lang w:val="en-US" w:eastAsia="zh-CN"/>
                          </w:rPr>
                          <w:t>DA002</w:t>
                        </w:r>
                      </w:p>
                    </w:txbxContent>
                  </v:textbox>
                </v:shape>
              </v:group>
            </w:pict>
          </mc:Fallback>
        </mc:AlternateContent>
      </w:r>
      <w:r>
        <w:rPr>
          <w:sz w:val="21"/>
        </w:rPr>
        <mc:AlternateContent>
          <mc:Choice Requires="wpg">
            <w:drawing>
              <wp:anchor distT="0" distB="0" distL="114300" distR="114300" simplePos="0" relativeHeight="251754496" behindDoc="0" locked="0" layoutInCell="1" allowOverlap="1">
                <wp:simplePos x="0" y="0"/>
                <wp:positionH relativeFrom="column">
                  <wp:posOffset>3287395</wp:posOffset>
                </wp:positionH>
                <wp:positionV relativeFrom="paragraph">
                  <wp:posOffset>1075690</wp:posOffset>
                </wp:positionV>
                <wp:extent cx="1961515" cy="663575"/>
                <wp:effectExtent l="0" t="0" r="635" b="3175"/>
                <wp:wrapNone/>
                <wp:docPr id="117" name="组合 36"/>
                <wp:cNvGraphicFramePr/>
                <a:graphic xmlns:a="http://schemas.openxmlformats.org/drawingml/2006/main">
                  <a:graphicData uri="http://schemas.microsoft.com/office/word/2010/wordprocessingGroup">
                    <wpg:wgp>
                      <wpg:cNvGrpSpPr/>
                      <wpg:grpSpPr>
                        <a:xfrm>
                          <a:off x="0" y="0"/>
                          <a:ext cx="1961515" cy="663575"/>
                          <a:chOff x="9034" y="1983295"/>
                          <a:chExt cx="1534" cy="744"/>
                        </a:xfrm>
                      </wpg:grpSpPr>
                      <wps:wsp>
                        <wps:cNvPr id="93" name="文本框 37"/>
                        <wps:cNvSpPr txBox="1"/>
                        <wps:spPr>
                          <a:xfrm>
                            <a:off x="9054" y="1983295"/>
                            <a:ext cx="1514" cy="709"/>
                          </a:xfrm>
                          <a:prstGeom prst="rect">
                            <a:avLst/>
                          </a:prstGeom>
                          <a:solidFill>
                            <a:srgbClr val="FFFFFF"/>
                          </a:solidFill>
                          <a:ln>
                            <a:noFill/>
                          </a:ln>
                        </wps:spPr>
                        <wps:txbx>
                          <w:txbxContent>
                            <w:p w14:paraId="418F51B7">
                              <w:pPr>
                                <w:keepNext w:val="0"/>
                                <w:keepLines w:val="0"/>
                                <w:pageBreakBefore w:val="0"/>
                                <w:widowControl w:val="0"/>
                                <w:kinsoku/>
                                <w:wordWrap/>
                                <w:overflowPunct/>
                                <w:topLinePunct w:val="0"/>
                                <w:bidi w:val="0"/>
                                <w:snapToGrid/>
                                <w:spacing w:line="240" w:lineRule="atLeast"/>
                                <w:jc w:val="center"/>
                                <w:textAlignment w:val="auto"/>
                                <w:rPr>
                                  <w:rFonts w:hint="default"/>
                                  <w:b/>
                                  <w:bCs/>
                                  <w:color w:val="C00000"/>
                                  <w:sz w:val="21"/>
                                  <w:szCs w:val="21"/>
                                  <w:lang w:val="en-US" w:eastAsia="zh-CN"/>
                                </w:rPr>
                              </w:pPr>
                              <w:r>
                                <w:rPr>
                                  <w:rFonts w:hint="eastAsia" w:ascii="Times New Roman" w:eastAsia="宋体"/>
                                  <w:b/>
                                  <w:bCs/>
                                  <w:color w:val="C00000"/>
                                  <w:sz w:val="21"/>
                                  <w:szCs w:val="21"/>
                                  <w:lang w:val="en-US" w:eastAsia="zh-CN"/>
                                </w:rPr>
                                <w:t>四号车间</w:t>
                              </w:r>
                            </w:p>
                          </w:txbxContent>
                        </wps:txbx>
                        <wps:bodyPr vert="horz" anchor="t" anchorCtr="0" upright="1"/>
                      </wps:wsp>
                      <wps:wsp>
                        <wps:cNvPr id="94" name="文本框 38"/>
                        <wps:cNvSpPr txBox="1"/>
                        <wps:spPr>
                          <a:xfrm>
                            <a:off x="9034" y="1983561"/>
                            <a:ext cx="1514" cy="478"/>
                          </a:xfrm>
                          <a:prstGeom prst="rect">
                            <a:avLst/>
                          </a:prstGeom>
                          <a:noFill/>
                          <a:ln>
                            <a:noFill/>
                          </a:ln>
                        </wps:spPr>
                        <wps:txbx>
                          <w:txbxContent>
                            <w:p w14:paraId="1354E750">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default" w:ascii="宋体....." w:hAnsi="Times New Roman" w:eastAsia="宋体....." w:cs="宋体....."/>
                                  <w:b/>
                                  <w:bCs/>
                                  <w:color w:val="C00000"/>
                                  <w:kern w:val="2"/>
                                  <w:sz w:val="21"/>
                                  <w:szCs w:val="21"/>
                                  <w:lang w:val="en-US" w:eastAsia="zh-CN" w:bidi="ar-SA"/>
                                </w:rPr>
                              </w:pPr>
                              <w:r>
                                <w:rPr>
                                  <w:rFonts w:hint="eastAsia" w:ascii="宋体....." w:hAnsi="Times New Roman" w:eastAsia="宋体....." w:cs="宋体....."/>
                                  <w:b/>
                                  <w:bCs/>
                                  <w:color w:val="C00000"/>
                                  <w:kern w:val="2"/>
                                  <w:sz w:val="21"/>
                                  <w:szCs w:val="21"/>
                                  <w:lang w:val="en-US" w:eastAsia="zh-CN" w:bidi="ar-SA"/>
                                </w:rPr>
                                <w:t>漆粉涂装车间</w:t>
                              </w:r>
                            </w:p>
                          </w:txbxContent>
                        </wps:txbx>
                        <wps:bodyPr vert="horz" anchor="t" anchorCtr="0" upright="1"/>
                      </wps:wsp>
                    </wpg:wgp>
                  </a:graphicData>
                </a:graphic>
              </wp:anchor>
            </w:drawing>
          </mc:Choice>
          <mc:Fallback>
            <w:pict>
              <v:group id="组合 36" o:spid="_x0000_s1026" o:spt="203" style="position:absolute;left:0pt;margin-left:258.85pt;margin-top:84.7pt;height:52.25pt;width:154.45pt;z-index:251754496;mso-width-relative:page;mso-height-relative:page;" coordorigin="9034,1983295" coordsize="1534,744" o:gfxdata="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8AJHNsAAAALAQAADwAAAAAAAAABACAA&#10;AAAiAAAAZHJzL2Rvd25yZXYueG1sUEsBAhQAFAAAAAgAh07iQFdNpaF8AgAAcAYAAA4AAAAAAAAA&#10;AQAgAAAAKgEAAGRycy9lMm9Eb2MueG1sUEsFBgAAAAAGAAYAWQEAABgGAAAAAA==&#10;">
                <o:lock v:ext="edit" aspectratio="f"/>
                <v:shape id="文本框 37" o:spid="_x0000_s1026" o:spt="202" type="#_x0000_t202" style="position:absolute;left:9054;top:1983295;height:709;width:1514;" fillcolor="#FFFFFF" filled="t" stroked="f" coordsize="21600,21600" o:gfxdata="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1M1X7gAAADbAAAA&#10;DwAAAAAAAAABACAAAAAiAAAAZHJzL2Rvd25yZXYueG1sUEsBAhQAFAAAAAgAh07iQDMvBZ47AAAA&#10;OQAAABAAAAAAAAAAAQAgAAAABwEAAGRycy9zaGFwZXhtbC54bWxQSwUGAAAAAAYABgBbAQAAsQMA&#10;AAAA&#10;">
                  <v:fill on="t" focussize="0,0"/>
                  <v:stroke on="f"/>
                  <v:imagedata o:title=""/>
                  <o:lock v:ext="edit" aspectratio="f"/>
                  <v:textbox>
                    <w:txbxContent>
                      <w:p w14:paraId="418F51B7">
                        <w:pPr>
                          <w:keepNext w:val="0"/>
                          <w:keepLines w:val="0"/>
                          <w:pageBreakBefore w:val="0"/>
                          <w:widowControl w:val="0"/>
                          <w:kinsoku/>
                          <w:wordWrap/>
                          <w:overflowPunct/>
                          <w:topLinePunct w:val="0"/>
                          <w:bidi w:val="0"/>
                          <w:snapToGrid/>
                          <w:spacing w:line="240" w:lineRule="atLeast"/>
                          <w:jc w:val="center"/>
                          <w:textAlignment w:val="auto"/>
                          <w:rPr>
                            <w:rFonts w:hint="default"/>
                            <w:b/>
                            <w:bCs/>
                            <w:color w:val="C00000"/>
                            <w:sz w:val="21"/>
                            <w:szCs w:val="21"/>
                            <w:lang w:val="en-US" w:eastAsia="zh-CN"/>
                          </w:rPr>
                        </w:pPr>
                        <w:r>
                          <w:rPr>
                            <w:rFonts w:hint="eastAsia" w:ascii="Times New Roman" w:eastAsia="宋体"/>
                            <w:b/>
                            <w:bCs/>
                            <w:color w:val="C00000"/>
                            <w:sz w:val="21"/>
                            <w:szCs w:val="21"/>
                            <w:lang w:val="en-US" w:eastAsia="zh-CN"/>
                          </w:rPr>
                          <w:t>四号车间</w:t>
                        </w:r>
                      </w:p>
                    </w:txbxContent>
                  </v:textbox>
                </v:shape>
                <v:shape id="文本框 38" o:spid="_x0000_s1026" o:spt="202" type="#_x0000_t202" style="position:absolute;left:9034;top:1983561;height:478;width:1514;" filled="f" stroked="f" coordsize="21600,21600" o:gfxdata="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VuDr7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1354E750">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default" w:ascii="宋体....." w:hAnsi="Times New Roman" w:eastAsia="宋体....." w:cs="宋体....."/>
                            <w:b/>
                            <w:bCs/>
                            <w:color w:val="C00000"/>
                            <w:kern w:val="2"/>
                            <w:sz w:val="21"/>
                            <w:szCs w:val="21"/>
                            <w:lang w:val="en-US" w:eastAsia="zh-CN" w:bidi="ar-SA"/>
                          </w:rPr>
                        </w:pPr>
                        <w:r>
                          <w:rPr>
                            <w:rFonts w:hint="eastAsia" w:ascii="宋体....." w:hAnsi="Times New Roman" w:eastAsia="宋体....." w:cs="宋体....."/>
                            <w:b/>
                            <w:bCs/>
                            <w:color w:val="C00000"/>
                            <w:kern w:val="2"/>
                            <w:sz w:val="21"/>
                            <w:szCs w:val="21"/>
                            <w:lang w:val="en-US" w:eastAsia="zh-CN" w:bidi="ar-SA"/>
                          </w:rPr>
                          <w:t>漆粉涂装车间</w:t>
                        </w:r>
                      </w:p>
                    </w:txbxContent>
                  </v:textbox>
                </v:shape>
              </v:group>
            </w:pict>
          </mc:Fallback>
        </mc:AlternateContent>
      </w:r>
      <w:r>
        <w:rPr>
          <w:color w:val="auto"/>
          <w:highlight w:val="none"/>
        </w:rPr>
        <w:drawing>
          <wp:inline distT="0" distB="0" distL="114300" distR="114300">
            <wp:extent cx="5694045" cy="3095625"/>
            <wp:effectExtent l="0" t="0" r="1905" b="9525"/>
            <wp:docPr id="177" name="图片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671"/>
                    <pic:cNvPicPr>
                      <a:picLocks noChangeAspect="1"/>
                    </pic:cNvPicPr>
                  </pic:nvPicPr>
                  <pic:blipFill>
                    <a:blip r:embed="rId70"/>
                    <a:stretch>
                      <a:fillRect/>
                    </a:stretch>
                  </pic:blipFill>
                  <pic:spPr>
                    <a:xfrm>
                      <a:off x="0" y="0"/>
                      <a:ext cx="5694045" cy="3095625"/>
                    </a:xfrm>
                    <a:prstGeom prst="rect">
                      <a:avLst/>
                    </a:prstGeom>
                    <a:noFill/>
                    <a:ln>
                      <a:noFill/>
                    </a:ln>
                  </pic:spPr>
                </pic:pic>
              </a:graphicData>
            </a:graphic>
          </wp:inline>
        </w:drawing>
      </w:r>
    </w:p>
    <w:p w14:paraId="7F8DF7EA">
      <w:pPr>
        <w:bidi w:val="0"/>
        <w:rPr>
          <w:rFonts w:hint="default"/>
          <w:color w:val="auto"/>
          <w:highlight w:val="none"/>
          <w:lang w:val="en-US" w:eastAsia="zh-CN"/>
        </w:rPr>
      </w:pPr>
    </w:p>
    <w:p w14:paraId="7861DB18">
      <w:pPr>
        <w:tabs>
          <w:tab w:val="left" w:pos="5855"/>
        </w:tabs>
        <w:bidi w:val="0"/>
        <w:jc w:val="center"/>
        <w:outlineLvl w:val="0"/>
        <w:rPr>
          <w:rFonts w:hint="default"/>
          <w:color w:val="auto"/>
          <w:highlight w:val="none"/>
          <w:lang w:val="en-US" w:eastAsia="zh-CN"/>
        </w:rPr>
        <w:sectPr>
          <w:pgSz w:w="16838" w:h="11906" w:orient="landscape"/>
          <w:pgMar w:top="1247" w:right="1701" w:bottom="1304" w:left="1701" w:header="850" w:footer="992" w:gutter="340"/>
          <w:pgBorders>
            <w:top w:val="none" w:sz="0" w:space="0"/>
            <w:left w:val="none" w:sz="0" w:space="0"/>
            <w:bottom w:val="none" w:sz="0" w:space="0"/>
            <w:right w:val="none" w:sz="0" w:space="0"/>
          </w:pgBorders>
          <w:pgNumType w:fmt="decimal"/>
          <w:cols w:space="720" w:num="1"/>
          <w:docGrid w:type="lines" w:linePitch="412" w:charSpace="0"/>
        </w:sectPr>
      </w:pPr>
      <w:bookmarkStart w:id="75" w:name="_Toc3620"/>
      <w:r>
        <w:rPr>
          <w:rFonts w:hint="default" w:ascii="Times New Roman" w:hAnsi="Times New Roman" w:eastAsia="宋体" w:cs="Times New Roman"/>
          <w:b/>
          <w:bCs/>
          <w:color w:val="auto"/>
          <w:sz w:val="24"/>
          <w:highlight w:val="none"/>
        </w:rPr>
        <w:t>附图</w:t>
      </w:r>
      <w:r>
        <w:rPr>
          <w:rFonts w:hint="eastAsia" w:ascii="Times New Roman" w:hAnsi="Times New Roman" w:eastAsia="宋体" w:cs="Times New Roman"/>
          <w:b/>
          <w:bCs/>
          <w:color w:val="auto"/>
          <w:sz w:val="24"/>
          <w:highlight w:val="none"/>
          <w:lang w:val="en-US" w:eastAsia="zh-CN"/>
        </w:rPr>
        <w:t>5-2</w:t>
      </w:r>
      <w:r>
        <w:rPr>
          <w:rFonts w:hint="default" w:ascii="Times New Roman" w:hAnsi="Times New Roman" w:eastAsia="宋体" w:cs="Times New Roman"/>
          <w:b/>
          <w:bCs/>
          <w:color w:val="auto"/>
          <w:sz w:val="24"/>
          <w:highlight w:val="none"/>
        </w:rPr>
        <w:t xml:space="preserve"> 项目</w:t>
      </w:r>
      <w:r>
        <w:rPr>
          <w:rFonts w:hint="eastAsia" w:ascii="Times New Roman" w:hAnsi="Times New Roman" w:eastAsia="宋体" w:cs="Times New Roman"/>
          <w:b/>
          <w:bCs/>
          <w:color w:val="auto"/>
          <w:sz w:val="24"/>
          <w:highlight w:val="none"/>
          <w:lang w:val="en-US" w:eastAsia="zh-CN"/>
        </w:rPr>
        <w:t>4#厂房</w:t>
      </w:r>
      <w:r>
        <w:rPr>
          <w:rFonts w:hint="default" w:ascii="Times New Roman" w:hAnsi="Times New Roman" w:eastAsia="宋体" w:cs="Times New Roman"/>
          <w:b/>
          <w:bCs/>
          <w:color w:val="auto"/>
          <w:sz w:val="24"/>
          <w:highlight w:val="none"/>
        </w:rPr>
        <w:t>平面</w:t>
      </w:r>
      <w:r>
        <w:rPr>
          <w:rFonts w:hint="default" w:ascii="Times New Roman" w:hAnsi="Times New Roman" w:cs="Times New Roman"/>
          <w:b/>
          <w:bCs/>
          <w:color w:val="auto"/>
          <w:sz w:val="24"/>
          <w:highlight w:val="none"/>
        </w:rPr>
        <w:t>布置图</w:t>
      </w:r>
      <w:bookmarkEnd w:id="75"/>
    </w:p>
    <w:p w14:paraId="2E63B14D">
      <w:pPr>
        <w:jc w:val="center"/>
        <w:outlineLvl w:val="9"/>
        <w:rPr>
          <w:rFonts w:hint="default"/>
          <w:color w:val="auto"/>
          <w:highlight w:val="none"/>
          <w:lang w:val="en-US" w:eastAsia="zh-CN"/>
        </w:rPr>
      </w:pPr>
      <w:r>
        <w:rPr>
          <w:color w:val="auto"/>
          <w:highlight w:val="none"/>
        </w:rPr>
        <w:drawing>
          <wp:inline distT="0" distB="0" distL="114300" distR="114300">
            <wp:extent cx="6765925" cy="3666490"/>
            <wp:effectExtent l="0" t="0" r="15875" b="10160"/>
            <wp:docPr id="119" name="图片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660"/>
                    <pic:cNvPicPr>
                      <a:picLocks noChangeAspect="1"/>
                    </pic:cNvPicPr>
                  </pic:nvPicPr>
                  <pic:blipFill>
                    <a:blip r:embed="rId71"/>
                    <a:stretch>
                      <a:fillRect/>
                    </a:stretch>
                  </pic:blipFill>
                  <pic:spPr>
                    <a:xfrm>
                      <a:off x="0" y="0"/>
                      <a:ext cx="6765925" cy="3666490"/>
                    </a:xfrm>
                    <a:prstGeom prst="rect">
                      <a:avLst/>
                    </a:prstGeom>
                    <a:noFill/>
                    <a:ln>
                      <a:noFill/>
                    </a:ln>
                  </pic:spPr>
                </pic:pic>
              </a:graphicData>
            </a:graphic>
          </wp:inline>
        </w:drawing>
      </w:r>
    </w:p>
    <w:p w14:paraId="3607CF44">
      <w:pPr>
        <w:bidi w:val="0"/>
        <w:rPr>
          <w:rFonts w:hint="default"/>
          <w:color w:val="auto"/>
          <w:highlight w:val="none"/>
          <w:lang w:val="en-US" w:eastAsia="zh-CN"/>
        </w:rPr>
      </w:pPr>
    </w:p>
    <w:p w14:paraId="0BD09C12">
      <w:pPr>
        <w:tabs>
          <w:tab w:val="left" w:pos="5239"/>
        </w:tabs>
        <w:bidi w:val="0"/>
        <w:jc w:val="center"/>
        <w:outlineLvl w:val="0"/>
        <w:rPr>
          <w:rFonts w:hint="default" w:ascii="Times New Roman" w:hAnsi="Times New Roman" w:cs="Times New Roman"/>
          <w:b/>
          <w:bCs/>
          <w:color w:val="auto"/>
          <w:sz w:val="24"/>
          <w:highlight w:val="none"/>
        </w:rPr>
        <w:sectPr>
          <w:pgSz w:w="16838" w:h="11906" w:orient="landscape"/>
          <w:pgMar w:top="1247" w:right="1701" w:bottom="1304" w:left="1701" w:header="850" w:footer="992" w:gutter="340"/>
          <w:pgBorders>
            <w:top w:val="none" w:sz="0" w:space="0"/>
            <w:left w:val="none" w:sz="0" w:space="0"/>
            <w:bottom w:val="none" w:sz="0" w:space="0"/>
            <w:right w:val="none" w:sz="0" w:space="0"/>
          </w:pgBorders>
          <w:pgNumType w:fmt="decimal"/>
          <w:cols w:space="720" w:num="1"/>
          <w:docGrid w:type="lines" w:linePitch="412" w:charSpace="0"/>
        </w:sectPr>
      </w:pPr>
      <w:bookmarkStart w:id="76" w:name="_Toc4729"/>
      <w:r>
        <w:rPr>
          <w:rFonts w:hint="default" w:ascii="Times New Roman" w:hAnsi="Times New Roman" w:cs="Times New Roman"/>
          <w:b/>
          <w:bCs/>
          <w:color w:val="auto"/>
          <w:sz w:val="24"/>
          <w:highlight w:val="none"/>
        </w:rPr>
        <w:t>附图</w:t>
      </w:r>
      <w:r>
        <w:rPr>
          <w:rFonts w:hint="eastAsia" w:ascii="Times New Roman" w:hAnsi="Times New Roman" w:cs="Times New Roman"/>
          <w:b/>
          <w:bCs/>
          <w:color w:val="auto"/>
          <w:sz w:val="24"/>
          <w:highlight w:val="none"/>
          <w:lang w:val="en-US" w:eastAsia="zh-CN"/>
        </w:rPr>
        <w:t>5-3</w:t>
      </w:r>
      <w:r>
        <w:rPr>
          <w:rFonts w:hint="default" w:ascii="Times New Roman" w:hAnsi="Times New Roman" w:cs="Times New Roman"/>
          <w:b/>
          <w:bCs/>
          <w:color w:val="auto"/>
          <w:sz w:val="24"/>
          <w:highlight w:val="none"/>
        </w:rPr>
        <w:t xml:space="preserve"> 项目</w:t>
      </w:r>
      <w:r>
        <w:rPr>
          <w:rFonts w:hint="eastAsia" w:ascii="Times New Roman" w:hAnsi="Times New Roman" w:cs="Times New Roman"/>
          <w:b/>
          <w:bCs/>
          <w:color w:val="auto"/>
          <w:sz w:val="24"/>
          <w:highlight w:val="none"/>
          <w:lang w:val="en-US" w:eastAsia="zh-CN"/>
        </w:rPr>
        <w:t>3#厂房</w:t>
      </w:r>
      <w:r>
        <w:rPr>
          <w:rFonts w:hint="default" w:ascii="Times New Roman" w:hAnsi="Times New Roman" w:cs="Times New Roman"/>
          <w:b/>
          <w:bCs/>
          <w:color w:val="auto"/>
          <w:sz w:val="24"/>
          <w:highlight w:val="none"/>
        </w:rPr>
        <w:t>平面布置图</w:t>
      </w:r>
      <w:bookmarkEnd w:id="76"/>
    </w:p>
    <w:p w14:paraId="760981A1">
      <w:pPr>
        <w:tabs>
          <w:tab w:val="left" w:pos="5239"/>
        </w:tabs>
        <w:bidi w:val="0"/>
        <w:jc w:val="center"/>
        <w:rPr>
          <w:color w:val="auto"/>
          <w:sz w:val="18"/>
          <w:highlight w:val="none"/>
        </w:rPr>
      </w:pPr>
      <w:r>
        <w:rPr>
          <w:color w:val="auto"/>
          <w:highlight w:val="none"/>
        </w:rPr>
        <w:drawing>
          <wp:inline distT="0" distB="0" distL="114300" distR="114300">
            <wp:extent cx="6352540" cy="3908425"/>
            <wp:effectExtent l="0" t="0" r="10160" b="15875"/>
            <wp:docPr id="120" name="图片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659"/>
                    <pic:cNvPicPr>
                      <a:picLocks noChangeAspect="1"/>
                    </pic:cNvPicPr>
                  </pic:nvPicPr>
                  <pic:blipFill>
                    <a:blip r:embed="rId72"/>
                    <a:stretch>
                      <a:fillRect/>
                    </a:stretch>
                  </pic:blipFill>
                  <pic:spPr>
                    <a:xfrm>
                      <a:off x="0" y="0"/>
                      <a:ext cx="6352540" cy="3908425"/>
                    </a:xfrm>
                    <a:prstGeom prst="rect">
                      <a:avLst/>
                    </a:prstGeom>
                    <a:noFill/>
                    <a:ln>
                      <a:noFill/>
                    </a:ln>
                  </pic:spPr>
                </pic:pic>
              </a:graphicData>
            </a:graphic>
          </wp:inline>
        </w:drawing>
      </w:r>
    </w:p>
    <w:p w14:paraId="08D6075A">
      <w:pPr>
        <w:bidi w:val="0"/>
        <w:rPr>
          <w:rFonts w:hint="default"/>
          <w:color w:val="auto"/>
          <w:kern w:val="2"/>
          <w:sz w:val="21"/>
          <w:szCs w:val="24"/>
          <w:highlight w:val="none"/>
          <w:lang w:val="en-US" w:eastAsia="zh-CN" w:bidi="ar-SA"/>
        </w:rPr>
      </w:pPr>
    </w:p>
    <w:p w14:paraId="4FF5EAA1">
      <w:pPr>
        <w:bidi w:val="0"/>
        <w:rPr>
          <w:rFonts w:hint="default"/>
          <w:color w:val="auto"/>
          <w:highlight w:val="none"/>
          <w:lang w:val="en-US" w:eastAsia="zh-CN"/>
        </w:rPr>
      </w:pPr>
    </w:p>
    <w:p w14:paraId="525FDD16">
      <w:pPr>
        <w:tabs>
          <w:tab w:val="left" w:pos="6061"/>
        </w:tabs>
        <w:bidi w:val="0"/>
        <w:jc w:val="center"/>
        <w:outlineLvl w:val="0"/>
        <w:rPr>
          <w:rFonts w:hint="default"/>
          <w:color w:val="auto"/>
          <w:highlight w:val="none"/>
          <w:lang w:val="en-US" w:eastAsia="zh-CN"/>
        </w:rPr>
        <w:sectPr>
          <w:pgSz w:w="16838" w:h="11906" w:orient="landscape"/>
          <w:pgMar w:top="1247" w:right="1701" w:bottom="1304" w:left="1701" w:header="850" w:footer="992" w:gutter="340"/>
          <w:pgBorders>
            <w:top w:val="none" w:sz="0" w:space="0"/>
            <w:left w:val="none" w:sz="0" w:space="0"/>
            <w:bottom w:val="none" w:sz="0" w:space="0"/>
            <w:right w:val="none" w:sz="0" w:space="0"/>
          </w:pgBorders>
          <w:pgNumType w:fmt="decimal"/>
          <w:cols w:space="720" w:num="1"/>
          <w:docGrid w:type="lines" w:linePitch="412" w:charSpace="0"/>
        </w:sectPr>
      </w:pPr>
      <w:bookmarkStart w:id="77" w:name="_Toc22683"/>
      <w:bookmarkStart w:id="78" w:name="_Toc15186"/>
      <w:bookmarkStart w:id="79" w:name="_Toc8724"/>
      <w:bookmarkStart w:id="80" w:name="_Toc1393"/>
      <w:r>
        <w:rPr>
          <w:rFonts w:hint="default" w:ascii="Times New Roman" w:hAnsi="Times New Roman" w:cs="Times New Roman"/>
          <w:b/>
          <w:bCs/>
          <w:color w:val="auto"/>
          <w:sz w:val="24"/>
          <w:highlight w:val="none"/>
        </w:rPr>
        <w:t>附图</w:t>
      </w:r>
      <w:r>
        <w:rPr>
          <w:rFonts w:hint="eastAsia" w:ascii="Times New Roman" w:hAnsi="Times New Roman" w:cs="Times New Roman"/>
          <w:b/>
          <w:bCs/>
          <w:color w:val="auto"/>
          <w:sz w:val="24"/>
          <w:highlight w:val="none"/>
          <w:lang w:val="en-US" w:eastAsia="zh-CN"/>
        </w:rPr>
        <w:t>5-4</w:t>
      </w:r>
      <w:r>
        <w:rPr>
          <w:rFonts w:hint="default" w:ascii="Times New Roman" w:hAnsi="Times New Roman" w:cs="Times New Roman"/>
          <w:b/>
          <w:bCs/>
          <w:color w:val="auto"/>
          <w:sz w:val="24"/>
          <w:highlight w:val="none"/>
        </w:rPr>
        <w:t xml:space="preserve"> 项目</w:t>
      </w:r>
      <w:r>
        <w:rPr>
          <w:rFonts w:hint="eastAsia" w:ascii="Times New Roman" w:hAnsi="Times New Roman" w:cs="Times New Roman"/>
          <w:b/>
          <w:bCs/>
          <w:color w:val="auto"/>
          <w:sz w:val="24"/>
          <w:highlight w:val="none"/>
          <w:lang w:val="en-US" w:eastAsia="zh-CN"/>
        </w:rPr>
        <w:t>2#厂房</w:t>
      </w:r>
      <w:r>
        <w:rPr>
          <w:rFonts w:hint="default" w:ascii="Times New Roman" w:hAnsi="Times New Roman" w:cs="Times New Roman"/>
          <w:b/>
          <w:bCs/>
          <w:color w:val="auto"/>
          <w:sz w:val="24"/>
          <w:highlight w:val="none"/>
        </w:rPr>
        <w:t>平面布置图</w:t>
      </w:r>
      <w:bookmarkEnd w:id="77"/>
      <w:bookmarkEnd w:id="78"/>
      <w:bookmarkEnd w:id="79"/>
      <w:bookmarkEnd w:id="80"/>
    </w:p>
    <w:p w14:paraId="2D5F165D">
      <w:pPr>
        <w:bidi w:val="0"/>
        <w:rPr>
          <w:color w:val="auto"/>
          <w:highlight w:val="none"/>
        </w:rPr>
      </w:pPr>
      <w:bookmarkStart w:id="81" w:name="_Toc32466"/>
      <w:bookmarkStart w:id="82" w:name="_Toc6851"/>
      <w:bookmarkStart w:id="83" w:name="_Toc31552"/>
    </w:p>
    <w:p w14:paraId="69752B7E">
      <w:pPr>
        <w:bidi w:val="0"/>
        <w:rPr>
          <w:color w:val="auto"/>
          <w:highlight w:val="none"/>
        </w:rPr>
      </w:pPr>
    </w:p>
    <w:p w14:paraId="634715AA">
      <w:pPr>
        <w:tabs>
          <w:tab w:val="left" w:pos="5220"/>
        </w:tabs>
        <w:bidi w:val="0"/>
        <w:jc w:val="center"/>
        <w:rPr>
          <w:rFonts w:hint="eastAsia" w:eastAsia="宋体"/>
          <w:color w:val="auto"/>
          <w:highlight w:val="none"/>
          <w:lang w:eastAsia="zh-CN"/>
        </w:rPr>
      </w:pPr>
      <w:r>
        <w:rPr>
          <w:color w:val="auto"/>
          <w:highlight w:val="none"/>
        </w:rPr>
        <w:drawing>
          <wp:inline distT="0" distB="0" distL="114300" distR="114300">
            <wp:extent cx="4972050" cy="2781300"/>
            <wp:effectExtent l="0" t="0" r="0" b="0"/>
            <wp:docPr id="121" name="图片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661"/>
                    <pic:cNvPicPr>
                      <a:picLocks noChangeAspect="1"/>
                    </pic:cNvPicPr>
                  </pic:nvPicPr>
                  <pic:blipFill>
                    <a:blip r:embed="rId73"/>
                    <a:stretch>
                      <a:fillRect/>
                    </a:stretch>
                  </pic:blipFill>
                  <pic:spPr>
                    <a:xfrm>
                      <a:off x="0" y="0"/>
                      <a:ext cx="4972050" cy="2781300"/>
                    </a:xfrm>
                    <a:prstGeom prst="rect">
                      <a:avLst/>
                    </a:prstGeom>
                    <a:noFill/>
                    <a:ln>
                      <a:noFill/>
                    </a:ln>
                  </pic:spPr>
                </pic:pic>
              </a:graphicData>
            </a:graphic>
          </wp:inline>
        </w:drawing>
      </w:r>
    </w:p>
    <w:p w14:paraId="12A3C080">
      <w:pPr>
        <w:widowControl/>
        <w:snapToGrid w:val="0"/>
        <w:spacing w:before="60" w:after="0" w:line="240" w:lineRule="auto"/>
        <w:ind w:right="113"/>
        <w:jc w:val="center"/>
        <w:rPr>
          <w:rFonts w:hint="default" w:ascii="Times New Roman" w:hAnsi="Times New Roman" w:eastAsia="宋体" w:cs="Times New Roman"/>
          <w:b/>
          <w:bCs/>
          <w:color w:val="auto"/>
          <w:kern w:val="0"/>
          <w:sz w:val="24"/>
          <w:szCs w:val="20"/>
          <w:highlight w:val="none"/>
          <w:lang w:val="en-US" w:eastAsia="zh-CN" w:bidi="ar-SA"/>
        </w:rPr>
      </w:pPr>
    </w:p>
    <w:p w14:paraId="4A7C0AC0">
      <w:pPr>
        <w:jc w:val="center"/>
        <w:outlineLvl w:val="9"/>
        <w:rPr>
          <w:rFonts w:hint="default" w:ascii="Times New Roman" w:hAnsi="Times New Roman" w:cs="Times New Roman"/>
          <w:b/>
          <w:bCs/>
          <w:color w:val="auto"/>
          <w:sz w:val="24"/>
          <w:highlight w:val="none"/>
        </w:rPr>
      </w:pPr>
    </w:p>
    <w:p w14:paraId="217BD6F5">
      <w:pPr>
        <w:bidi w:val="0"/>
        <w:rPr>
          <w:rFonts w:hint="default"/>
          <w:color w:val="auto"/>
          <w:kern w:val="2"/>
          <w:sz w:val="21"/>
          <w:szCs w:val="24"/>
          <w:highlight w:val="none"/>
          <w:lang w:val="en-US" w:eastAsia="zh-CN" w:bidi="ar-SA"/>
        </w:rPr>
      </w:pPr>
    </w:p>
    <w:p w14:paraId="627EE4F1">
      <w:pPr>
        <w:bidi w:val="0"/>
        <w:rPr>
          <w:rFonts w:hint="default"/>
          <w:color w:val="auto"/>
          <w:highlight w:val="none"/>
          <w:lang w:val="en-US" w:eastAsia="zh-CN"/>
        </w:rPr>
      </w:pPr>
    </w:p>
    <w:p w14:paraId="32D39522">
      <w:pPr>
        <w:tabs>
          <w:tab w:val="left" w:pos="5862"/>
        </w:tabs>
        <w:bidi w:val="0"/>
        <w:jc w:val="center"/>
        <w:outlineLvl w:val="0"/>
        <w:rPr>
          <w:color w:val="auto"/>
          <w:highlight w:val="none"/>
        </w:rPr>
      </w:pPr>
      <w:bookmarkStart w:id="84" w:name="_Toc24556"/>
      <w:r>
        <w:rPr>
          <w:rFonts w:hint="default" w:ascii="Times New Roman" w:hAnsi="Times New Roman" w:cs="Times New Roman"/>
          <w:b/>
          <w:bCs/>
          <w:color w:val="auto"/>
          <w:sz w:val="24"/>
          <w:highlight w:val="none"/>
        </w:rPr>
        <w:t>附图</w:t>
      </w:r>
      <w:r>
        <w:rPr>
          <w:rFonts w:hint="eastAsia" w:ascii="Times New Roman" w:hAnsi="Times New Roman" w:cs="Times New Roman"/>
          <w:b/>
          <w:bCs/>
          <w:color w:val="auto"/>
          <w:sz w:val="24"/>
          <w:highlight w:val="none"/>
          <w:lang w:val="en-US" w:eastAsia="zh-CN"/>
        </w:rPr>
        <w:t>5-5</w:t>
      </w:r>
      <w:r>
        <w:rPr>
          <w:rFonts w:hint="default" w:ascii="Times New Roman" w:hAnsi="Times New Roman" w:cs="Times New Roman"/>
          <w:b/>
          <w:bCs/>
          <w:color w:val="auto"/>
          <w:sz w:val="24"/>
          <w:highlight w:val="none"/>
        </w:rPr>
        <w:t xml:space="preserve"> 项目</w:t>
      </w:r>
      <w:r>
        <w:rPr>
          <w:rFonts w:hint="eastAsia" w:ascii="Times New Roman" w:hAnsi="Times New Roman" w:cs="Times New Roman"/>
          <w:b/>
          <w:bCs/>
          <w:color w:val="auto"/>
          <w:sz w:val="24"/>
          <w:highlight w:val="none"/>
          <w:lang w:val="en-US" w:eastAsia="zh-CN"/>
        </w:rPr>
        <w:t>1#厂房</w:t>
      </w:r>
      <w:r>
        <w:rPr>
          <w:rFonts w:hint="default" w:ascii="Times New Roman" w:hAnsi="Times New Roman" w:cs="Times New Roman"/>
          <w:b/>
          <w:bCs/>
          <w:color w:val="auto"/>
          <w:sz w:val="24"/>
          <w:highlight w:val="none"/>
        </w:rPr>
        <w:t>平面布置图</w:t>
      </w:r>
      <w:bookmarkEnd w:id="84"/>
    </w:p>
    <w:p w14:paraId="69B23C0E">
      <w:pPr>
        <w:jc w:val="center"/>
        <w:outlineLvl w:val="0"/>
        <w:rPr>
          <w:rFonts w:hint="default" w:ascii="Times New Roman" w:hAnsi="Times New Roman" w:cs="Times New Roman"/>
          <w:b/>
          <w:bCs/>
          <w:color w:val="auto"/>
          <w:sz w:val="24"/>
          <w:highlight w:val="none"/>
        </w:rPr>
        <w:sectPr>
          <w:pgSz w:w="16838" w:h="11906" w:orient="landscape"/>
          <w:pgMar w:top="1247" w:right="1701" w:bottom="1304" w:left="1701" w:header="850" w:footer="992" w:gutter="340"/>
          <w:pgBorders>
            <w:top w:val="none" w:sz="0" w:space="0"/>
            <w:left w:val="none" w:sz="0" w:space="0"/>
            <w:bottom w:val="none" w:sz="0" w:space="0"/>
            <w:right w:val="none" w:sz="0" w:space="0"/>
          </w:pgBorders>
          <w:pgNumType w:fmt="decimal"/>
          <w:cols w:space="720" w:num="1"/>
          <w:docGrid w:type="lines" w:linePitch="412" w:charSpace="0"/>
        </w:sectPr>
      </w:pPr>
    </w:p>
    <w:p w14:paraId="5B9E4683">
      <w:pPr>
        <w:widowControl w:val="0"/>
        <w:autoSpaceDE w:val="0"/>
        <w:autoSpaceDN w:val="0"/>
        <w:adjustRightInd w:val="0"/>
        <w:jc w:val="center"/>
        <w:rPr>
          <w:rFonts w:ascii="Times New Roman" w:hAnsi="Times New Roman" w:eastAsia="宋体....." w:cs="Times New Roman"/>
          <w:color w:val="auto"/>
          <w:kern w:val="2"/>
          <w:sz w:val="24"/>
          <w:szCs w:val="24"/>
          <w:highlight w:val="none"/>
          <w:lang w:val="en-US" w:eastAsia="zh-CN" w:bidi="ar-SA"/>
        </w:rPr>
      </w:pPr>
      <w:r>
        <w:rPr>
          <w:rFonts w:ascii="宋体....." w:hAnsi="Times New Roman" w:eastAsia="宋体....." w:cs="宋体....."/>
          <w:color w:val="auto"/>
          <w:kern w:val="2"/>
          <w:sz w:val="32"/>
          <w:szCs w:val="24"/>
          <w:highlight w:val="none"/>
          <w:lang w:val="en-US" w:eastAsia="zh-CN" w:bidi="ar-SA"/>
        </w:rPr>
        <mc:AlternateContent>
          <mc:Choice Requires="wps">
            <w:drawing>
              <wp:anchor distT="0" distB="0" distL="114300" distR="114300" simplePos="0" relativeHeight="251663360" behindDoc="0" locked="0" layoutInCell="1" allowOverlap="1">
                <wp:simplePos x="0" y="0"/>
                <wp:positionH relativeFrom="column">
                  <wp:posOffset>3756660</wp:posOffset>
                </wp:positionH>
                <wp:positionV relativeFrom="paragraph">
                  <wp:posOffset>3263900</wp:posOffset>
                </wp:positionV>
                <wp:extent cx="139065" cy="141605"/>
                <wp:effectExtent l="4445" t="4445" r="8890" b="6350"/>
                <wp:wrapNone/>
                <wp:docPr id="291" name="五角星 291"/>
                <wp:cNvGraphicFramePr/>
                <a:graphic xmlns:a="http://schemas.openxmlformats.org/drawingml/2006/main">
                  <a:graphicData uri="http://schemas.microsoft.com/office/word/2010/wordprocessingShape">
                    <wps:wsp>
                      <wps:cNvSpPr/>
                      <wps:spPr>
                        <a:xfrm>
                          <a:off x="3783965" y="2263140"/>
                          <a:ext cx="139065" cy="141605"/>
                        </a:xfrm>
                        <a:prstGeom prst="star5">
                          <a:avLst/>
                        </a:prstGeom>
                        <a:solidFill>
                          <a:srgbClr val="FF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95.8pt;margin-top:257pt;height:11.15pt;width:10.95pt;z-index:251663360;v-text-anchor:middle;mso-width-relative:page;mso-height-relative:page;" fillcolor="#FF0000" filled="t" stroked="t" coordsize="139065,141605" o:gfxdata="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C+ZHfd2QAAAAsBAAAPAAAAAAAAAAEAIAAA&#10;ACIAAABkcnMvZG93bnJldi54bWxQSwECFAAUAAAACACHTuJA6+6Xm30CAAD9BAAADgAAAAAAAAAB&#10;ACAAAAAoAQAAZHJzL2Uyb0RvYy54bWxQSwUGAAAAAAYABgBZAQAAFwYAAAAA&#10;" path="m0,54088l53118,54088,69532,0,85946,54088,139064,54088,96091,87516,112505,141604,69532,108175,26559,141604,42973,87516xe">
                <v:path o:connectlocs="69532,0;0,54088;26559,141604;112505,141604;139064,54088" o:connectangles="247,164,82,82,0"/>
                <v:fill on="t" focussize="0,0"/>
                <v:stroke color="#000000" joinstyle="round"/>
                <v:imagedata o:title=""/>
                <o:lock v:ext="edit" aspectratio="f"/>
              </v:shape>
            </w:pict>
          </mc:Fallback>
        </mc:AlternateContent>
      </w:r>
      <w:r>
        <w:rPr>
          <w:rFonts w:ascii="宋体....." w:hAnsi="Times New Roman" w:eastAsia="宋体....." w:cs="宋体....."/>
          <w:color w:val="auto"/>
          <w:kern w:val="2"/>
          <w:sz w:val="32"/>
          <w:szCs w:val="24"/>
          <w:highlight w:val="none"/>
          <w:lang w:val="en-US" w:eastAsia="zh-CN" w:bidi="ar-SA"/>
        </w:rPr>
        <mc:AlternateContent>
          <mc:Choice Requires="wps">
            <w:drawing>
              <wp:anchor distT="0" distB="0" distL="114300" distR="114300" simplePos="0" relativeHeight="251664384" behindDoc="0" locked="0" layoutInCell="1" allowOverlap="1">
                <wp:simplePos x="0" y="0"/>
                <wp:positionH relativeFrom="column">
                  <wp:posOffset>4144010</wp:posOffset>
                </wp:positionH>
                <wp:positionV relativeFrom="paragraph">
                  <wp:posOffset>2464435</wp:posOffset>
                </wp:positionV>
                <wp:extent cx="967105" cy="358775"/>
                <wp:effectExtent l="306705" t="4445" r="21590" b="551180"/>
                <wp:wrapNone/>
                <wp:docPr id="7" name="圆角矩形标注 292"/>
                <wp:cNvGraphicFramePr/>
                <a:graphic xmlns:a="http://schemas.openxmlformats.org/drawingml/2006/main">
                  <a:graphicData uri="http://schemas.microsoft.com/office/word/2010/wordprocessingShape">
                    <wps:wsp>
                      <wps:cNvSpPr/>
                      <wps:spPr>
                        <a:xfrm>
                          <a:off x="0" y="0"/>
                          <a:ext cx="967105" cy="358775"/>
                        </a:xfrm>
                        <a:prstGeom prst="wedgeRoundRectCallout">
                          <a:avLst>
                            <a:gd name="adj1" fmla="val -81250"/>
                            <a:gd name="adj2" fmla="val 199204"/>
                            <a:gd name="adj3" fmla="val 16667"/>
                          </a:avLst>
                        </a:prstGeom>
                        <a:solidFill>
                          <a:srgbClr val="FFFFFF"/>
                        </a:solidFill>
                        <a:ln w="9525" cap="flat" cmpd="sng">
                          <a:solidFill>
                            <a:srgbClr val="000000"/>
                          </a:solidFill>
                          <a:prstDash val="solid"/>
                          <a:round/>
                          <a:headEnd type="none" w="med" len="med"/>
                          <a:tailEnd type="none" w="med" len="med"/>
                        </a:ln>
                      </wps:spPr>
                      <wps:txbx>
                        <w:txbxContent>
                          <w:p w14:paraId="05DA48DB">
                            <w:pPr>
                              <w:keepNext w:val="0"/>
                              <w:keepLines w:val="0"/>
                              <w:pageBreakBefore w:val="0"/>
                              <w:widowControl w:val="0"/>
                              <w:kinsoku/>
                              <w:wordWrap/>
                              <w:overflowPunct/>
                              <w:topLinePunct w:val="0"/>
                              <w:bidi w:val="0"/>
                              <w:adjustRightInd/>
                              <w:snapToGrid w:val="0"/>
                              <w:jc w:val="center"/>
                              <w:textAlignment w:val="auto"/>
                              <w:rPr>
                                <w:b/>
                                <w:bCs/>
                                <w:color w:val="000000"/>
                                <w:sz w:val="28"/>
                                <w:szCs w:val="28"/>
                              </w:rPr>
                            </w:pPr>
                            <w:r>
                              <w:rPr>
                                <w:rFonts w:hint="eastAsia"/>
                                <w:b/>
                                <w:bCs/>
                                <w:color w:val="000000"/>
                                <w:sz w:val="28"/>
                                <w:szCs w:val="28"/>
                              </w:rPr>
                              <w:t>项目位置</w:t>
                            </w:r>
                          </w:p>
                        </w:txbxContent>
                      </wps:txbx>
                      <wps:bodyPr vert="horz" wrap="square" anchor="ctr" anchorCtr="0" upright="1"/>
                    </wps:wsp>
                  </a:graphicData>
                </a:graphic>
              </wp:anchor>
            </w:drawing>
          </mc:Choice>
          <mc:Fallback>
            <w:pict>
              <v:shape id="圆角矩形标注 292" o:spid="_x0000_s1026" o:spt="62" type="#_x0000_t62" style="position:absolute;left:0pt;margin-left:326.3pt;margin-top:194.05pt;height:28.25pt;width:76.15pt;z-index:251664384;v-text-anchor:middle;mso-width-relative:page;mso-height-relative:page;" fillcolor="#FFFFFF" filled="t" stroked="t" coordsize="21600,21600" o:gfxdata="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BdP5orbAAAACwEAAA8AAAAAAAAAAQAgAAAAIgAAAGRycy9k&#10;b3ducmV2LnhtbFBLAQIUABQAAAAIAIdO4kDiZJBRcQIAAPMEAAAOAAAAAAAAAAEAIAAAACoBAABk&#10;cnMvZTJvRG9jLnhtbFBLBQYAAAAABgAGAFkBAAANBgAAAAA=&#10;" adj="-6750,53828,14400">
                <v:fill on="t" focussize="0,0"/>
                <v:stroke color="#000000" joinstyle="round"/>
                <v:imagedata o:title=""/>
                <o:lock v:ext="edit" aspectratio="f"/>
                <v:textbox>
                  <w:txbxContent>
                    <w:p w14:paraId="05DA48DB">
                      <w:pPr>
                        <w:keepNext w:val="0"/>
                        <w:keepLines w:val="0"/>
                        <w:pageBreakBefore w:val="0"/>
                        <w:widowControl w:val="0"/>
                        <w:kinsoku/>
                        <w:wordWrap/>
                        <w:overflowPunct/>
                        <w:topLinePunct w:val="0"/>
                        <w:bidi w:val="0"/>
                        <w:adjustRightInd/>
                        <w:snapToGrid w:val="0"/>
                        <w:jc w:val="center"/>
                        <w:textAlignment w:val="auto"/>
                        <w:rPr>
                          <w:b/>
                          <w:bCs/>
                          <w:color w:val="000000"/>
                          <w:sz w:val="28"/>
                          <w:szCs w:val="28"/>
                        </w:rPr>
                      </w:pPr>
                      <w:r>
                        <w:rPr>
                          <w:rFonts w:hint="eastAsia"/>
                          <w:b/>
                          <w:bCs/>
                          <w:color w:val="000000"/>
                          <w:sz w:val="28"/>
                          <w:szCs w:val="28"/>
                        </w:rPr>
                        <w:t>项目位置</w:t>
                      </w:r>
                    </w:p>
                  </w:txbxContent>
                </v:textbox>
              </v:shape>
            </w:pict>
          </mc:Fallback>
        </mc:AlternateContent>
      </w:r>
      <w:r>
        <w:rPr>
          <w:rFonts w:ascii="宋体....." w:hAnsi="Times New Roman" w:eastAsia="宋体....." w:cs="宋体....."/>
          <w:color w:val="000000"/>
          <w:kern w:val="2"/>
          <w:position w:val="-263"/>
          <w:sz w:val="24"/>
          <w:szCs w:val="24"/>
          <w:lang w:val="en-US" w:eastAsia="zh-CN" w:bidi="ar-SA"/>
        </w:rPr>
        <w:drawing>
          <wp:inline distT="0" distB="0" distL="0" distR="0">
            <wp:extent cx="5266690" cy="8353425"/>
            <wp:effectExtent l="0" t="0" r="10160" b="9525"/>
            <wp:docPr id="277" name="IM 22"/>
            <wp:cNvGraphicFramePr/>
            <a:graphic xmlns:a="http://schemas.openxmlformats.org/drawingml/2006/main">
              <a:graphicData uri="http://schemas.openxmlformats.org/drawingml/2006/picture">
                <pic:pic xmlns:pic="http://schemas.openxmlformats.org/drawingml/2006/picture">
                  <pic:nvPicPr>
                    <pic:cNvPr id="277" name="IM 22"/>
                    <pic:cNvPicPr/>
                  </pic:nvPicPr>
                  <pic:blipFill>
                    <a:blip r:embed="rId74"/>
                    <a:stretch>
                      <a:fillRect/>
                    </a:stretch>
                  </pic:blipFill>
                  <pic:spPr>
                    <a:xfrm>
                      <a:off x="0" y="0"/>
                      <a:ext cx="5266690" cy="8354059"/>
                    </a:xfrm>
                    <a:prstGeom prst="rect">
                      <a:avLst/>
                    </a:prstGeom>
                  </pic:spPr>
                </pic:pic>
              </a:graphicData>
            </a:graphic>
          </wp:inline>
        </w:drawing>
      </w:r>
    </w:p>
    <w:p w14:paraId="5CAB3F73">
      <w:pPr>
        <w:spacing w:line="240" w:lineRule="auto"/>
        <w:jc w:val="center"/>
        <w:outlineLvl w:val="0"/>
        <w:rPr>
          <w:rFonts w:hint="default" w:ascii="Times New Roman" w:hAnsi="Times New Roman" w:cs="Times New Roman"/>
          <w:b/>
          <w:bCs/>
          <w:color w:val="auto"/>
          <w:sz w:val="24"/>
          <w:highlight w:val="none"/>
        </w:rPr>
        <w:sectPr>
          <w:pgSz w:w="11850" w:h="16783"/>
          <w:pgMar w:top="1440" w:right="1080" w:bottom="1440" w:left="1080" w:header="850" w:footer="850" w:gutter="340"/>
          <w:pgBorders>
            <w:top w:val="none" w:sz="0" w:space="0"/>
            <w:left w:val="none" w:sz="0" w:space="0"/>
            <w:bottom w:val="none" w:sz="0" w:space="0"/>
            <w:right w:val="none" w:sz="0" w:space="0"/>
          </w:pgBorders>
          <w:pgNumType w:fmt="decimal"/>
          <w:cols w:space="720" w:num="1"/>
          <w:docGrid w:type="lines" w:linePitch="412" w:charSpace="0"/>
        </w:sectPr>
      </w:pPr>
      <w:bookmarkStart w:id="85" w:name="_Toc12692"/>
      <w:bookmarkStart w:id="86" w:name="_Toc359"/>
      <w:bookmarkStart w:id="87" w:name="_Toc4763"/>
      <w:r>
        <w:rPr>
          <w:rFonts w:hint="default" w:ascii="Times New Roman" w:hAnsi="Times New Roman" w:cs="Times New Roman"/>
          <w:b/>
          <w:bCs/>
          <w:color w:val="auto"/>
          <w:sz w:val="24"/>
          <w:highlight w:val="none"/>
        </w:rPr>
        <w:t>附图</w:t>
      </w:r>
      <w:r>
        <w:rPr>
          <w:rFonts w:hint="eastAsia" w:ascii="Times New Roman" w:hAnsi="Times New Roman" w:cs="Times New Roman"/>
          <w:b/>
          <w:bCs/>
          <w:color w:val="auto"/>
          <w:sz w:val="24"/>
          <w:highlight w:val="none"/>
          <w:lang w:val="en-US" w:eastAsia="zh-CN"/>
        </w:rPr>
        <w:t>6</w:t>
      </w:r>
      <w:r>
        <w:rPr>
          <w:rFonts w:hint="default" w:ascii="Times New Roman" w:hAnsi="Times New Roman" w:cs="Times New Roman"/>
          <w:b/>
          <w:bCs/>
          <w:color w:val="auto"/>
          <w:sz w:val="24"/>
          <w:highlight w:val="none"/>
        </w:rPr>
        <w:t xml:space="preserve"> </w:t>
      </w:r>
      <w:r>
        <w:rPr>
          <w:rFonts w:hint="eastAsia" w:cs="Times New Roman"/>
          <w:b/>
          <w:bCs/>
          <w:color w:val="auto"/>
          <w:sz w:val="24"/>
          <w:highlight w:val="none"/>
          <w:lang w:val="en-US" w:eastAsia="zh-CN"/>
        </w:rPr>
        <w:t>项目所在区域大气</w:t>
      </w:r>
      <w:r>
        <w:rPr>
          <w:rFonts w:hint="eastAsia" w:ascii="Times New Roman" w:hAnsi="Times New Roman" w:cs="Times New Roman"/>
          <w:b/>
          <w:bCs/>
          <w:color w:val="auto"/>
          <w:sz w:val="24"/>
          <w:highlight w:val="none"/>
          <w:lang w:val="en-US" w:eastAsia="zh-CN"/>
        </w:rPr>
        <w:t>环境</w:t>
      </w:r>
      <w:r>
        <w:rPr>
          <w:rFonts w:hint="default" w:ascii="Times New Roman" w:hAnsi="Times New Roman" w:cs="Times New Roman"/>
          <w:b/>
          <w:bCs/>
          <w:color w:val="auto"/>
          <w:sz w:val="24"/>
          <w:highlight w:val="none"/>
        </w:rPr>
        <w:t>功能区划图</w:t>
      </w:r>
      <w:bookmarkEnd w:id="81"/>
      <w:bookmarkEnd w:id="85"/>
      <w:bookmarkEnd w:id="86"/>
      <w:bookmarkEnd w:id="87"/>
    </w:p>
    <w:p w14:paraId="23A92793">
      <w:pPr>
        <w:tabs>
          <w:tab w:val="left" w:pos="0"/>
        </w:tabs>
        <w:adjustRightInd w:val="0"/>
        <w:snapToGrid w:val="0"/>
        <w:spacing w:line="240" w:lineRule="auto"/>
        <w:ind w:right="26"/>
        <w:jc w:val="center"/>
        <w:rPr>
          <w:rFonts w:hint="default" w:ascii="Times New Roman" w:hAnsi="Times New Roman" w:eastAsia="宋体" w:cs="Times New Roman"/>
          <w:color w:val="auto"/>
          <w:highlight w:val="none"/>
        </w:rPr>
      </w:pPr>
      <w:bookmarkStart w:id="88" w:name="_Toc2916"/>
      <w:bookmarkStart w:id="89" w:name="_Toc17786"/>
      <w:bookmarkStart w:id="90" w:name="_Toc2027"/>
      <w:r>
        <w:rPr>
          <w:sz w:val="21"/>
        </w:rPr>
        <mc:AlternateContent>
          <mc:Choice Requires="wps">
            <w:drawing>
              <wp:anchor distT="0" distB="0" distL="114300" distR="114300" simplePos="0" relativeHeight="251758592" behindDoc="0" locked="0" layoutInCell="1" allowOverlap="1">
                <wp:simplePos x="0" y="0"/>
                <wp:positionH relativeFrom="column">
                  <wp:posOffset>4773295</wp:posOffset>
                </wp:positionH>
                <wp:positionV relativeFrom="paragraph">
                  <wp:posOffset>1914525</wp:posOffset>
                </wp:positionV>
                <wp:extent cx="1016000" cy="391795"/>
                <wp:effectExtent l="0" t="0" r="0" b="0"/>
                <wp:wrapNone/>
                <wp:docPr id="192" name="文本框 192"/>
                <wp:cNvGraphicFramePr/>
                <a:graphic xmlns:a="http://schemas.openxmlformats.org/drawingml/2006/main">
                  <a:graphicData uri="http://schemas.microsoft.com/office/word/2010/wordprocessingShape">
                    <wps:wsp>
                      <wps:cNvSpPr txBox="1"/>
                      <wps:spPr>
                        <a:xfrm>
                          <a:off x="5845810" y="3209290"/>
                          <a:ext cx="1016000" cy="391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B0F406">
                            <w:pPr>
                              <w:rPr>
                                <w:rFonts w:hint="default" w:eastAsia="宋体"/>
                                <w:b/>
                                <w:bCs/>
                                <w:color w:val="FFFF00"/>
                                <w:lang w:val="en-US" w:eastAsia="zh-CN"/>
                              </w:rPr>
                            </w:pPr>
                            <w:r>
                              <w:rPr>
                                <w:rFonts w:hint="eastAsia" w:ascii="Times New Roman" w:eastAsia="宋体"/>
                                <w:b/>
                                <w:bCs/>
                                <w:color w:val="FFFF00"/>
                                <w:lang w:val="en-US" w:eastAsia="zh-CN"/>
                              </w:rPr>
                              <w:t>距离4472m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5.85pt;margin-top:150.75pt;height:30.85pt;width:80pt;z-index:251758592;mso-width-relative:page;mso-height-relative:page;" filled="f" stroked="f" coordsize="21600,21600" o:gfxdata="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T61XytwAAAALAQAA&#10;DwAAAAAAAAABACAAAAAiAAAAZHJzL2Rvd25yZXYueG1sUEsBAhQAFAAAAAgAh07iQHDWOLJOAgAA&#10;hAQAAA4AAAAAAAAAAQAgAAAAKwEAAGRycy9lMm9Eb2MueG1sUEsFBgAAAAAGAAYAWQEAAOsFAAAA&#10;AA==&#10;">
                <v:fill on="f" focussize="0,0"/>
                <v:stroke on="f" weight="0.5pt"/>
                <v:imagedata o:title=""/>
                <o:lock v:ext="edit" aspectratio="f"/>
                <v:textbox>
                  <w:txbxContent>
                    <w:p w14:paraId="7FB0F406">
                      <w:pPr>
                        <w:rPr>
                          <w:rFonts w:hint="default" w:eastAsia="宋体"/>
                          <w:b/>
                          <w:bCs/>
                          <w:color w:val="FFFF00"/>
                          <w:lang w:val="en-US" w:eastAsia="zh-CN"/>
                        </w:rPr>
                      </w:pPr>
                      <w:r>
                        <w:rPr>
                          <w:rFonts w:hint="eastAsia" w:ascii="Times New Roman" w:eastAsia="宋体"/>
                          <w:b/>
                          <w:bCs/>
                          <w:color w:val="FFFF00"/>
                          <w:lang w:val="en-US" w:eastAsia="zh-CN"/>
                        </w:rPr>
                        <w:t>距离4472m</w:t>
                      </w:r>
                    </w:p>
                  </w:txbxContent>
                </v:textbox>
              </v:shape>
            </w:pict>
          </mc:Fallback>
        </mc:AlternateContent>
      </w:r>
      <w:r>
        <w:rPr>
          <w:sz w:val="21"/>
        </w:rPr>
        <mc:AlternateContent>
          <mc:Choice Requires="wps">
            <w:drawing>
              <wp:anchor distT="0" distB="0" distL="114300" distR="114300" simplePos="0" relativeHeight="251757568" behindDoc="0" locked="0" layoutInCell="1" allowOverlap="1">
                <wp:simplePos x="0" y="0"/>
                <wp:positionH relativeFrom="column">
                  <wp:posOffset>4660265</wp:posOffset>
                </wp:positionH>
                <wp:positionV relativeFrom="paragraph">
                  <wp:posOffset>971550</wp:posOffset>
                </wp:positionV>
                <wp:extent cx="190500" cy="4148455"/>
                <wp:effectExtent l="52705" t="635" r="23495" b="3810"/>
                <wp:wrapNone/>
                <wp:docPr id="191" name="直接箭头连接符 191"/>
                <wp:cNvGraphicFramePr/>
                <a:graphic xmlns:a="http://schemas.openxmlformats.org/drawingml/2006/main">
                  <a:graphicData uri="http://schemas.microsoft.com/office/word/2010/wordprocessingShape">
                    <wps:wsp>
                      <wps:cNvCnPr/>
                      <wps:spPr>
                        <a:xfrm flipH="1">
                          <a:off x="5560060" y="1748790"/>
                          <a:ext cx="190500" cy="4148455"/>
                        </a:xfrm>
                        <a:prstGeom prst="straightConnector1">
                          <a:avLst/>
                        </a:prstGeom>
                        <a:noFill/>
                        <a:ln w="25400" cap="flat" cmpd="sng" algn="ctr">
                          <a:solidFill>
                            <a:srgbClr val="FFFF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366.95pt;margin-top:76.5pt;height:326.65pt;width:15pt;z-index:251757568;mso-width-relative:page;mso-height-relative:page;" filled="f" stroked="t" coordsize="21600,21600" o:gfxdata="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Aw7Z2tgAAAALAQAA&#10;DwAAAAAAAAABACAAAAAiAAAAZHJzL2Rvd25yZXYueG1sUEsBAhQAFAAAAAgAh07iQDsfGb0ZAgAA&#10;9QMAAA4AAAAAAAAAAQAgAAAAJwEAAGRycy9lMm9Eb2MueG1sUEsFBgAAAAAGAAYAWQEAALIFAAAA&#10;AA==&#10;">
                <v:fill on="f" focussize="0,0"/>
                <v:stroke weight="2pt" color="#FFFF00 [3204]" joinstyle="round" endarrow="open"/>
                <v:imagedata o:title=""/>
                <o:lock v:ext="edit" aspectratio="f"/>
              </v:shape>
            </w:pict>
          </mc:Fallback>
        </mc:AlternateContent>
      </w:r>
      <w:r>
        <w:rPr>
          <w:color w:val="auto"/>
          <w:highlight w:val="none"/>
        </w:rPr>
        <w:drawing>
          <wp:anchor distT="0" distB="0" distL="114300" distR="114300" simplePos="0" relativeHeight="251698176" behindDoc="0" locked="0" layoutInCell="1" allowOverlap="1">
            <wp:simplePos x="0" y="0"/>
            <wp:positionH relativeFrom="column">
              <wp:posOffset>7675245</wp:posOffset>
            </wp:positionH>
            <wp:positionV relativeFrom="paragraph">
              <wp:posOffset>28575</wp:posOffset>
            </wp:positionV>
            <wp:extent cx="1138555" cy="1067435"/>
            <wp:effectExtent l="0" t="0" r="4445" b="18415"/>
            <wp:wrapNone/>
            <wp:docPr id="4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3"/>
                    <pic:cNvPicPr>
                      <a:picLocks noChangeAspect="1"/>
                    </pic:cNvPicPr>
                  </pic:nvPicPr>
                  <pic:blipFill>
                    <a:blip r:embed="rId75"/>
                    <a:stretch>
                      <a:fillRect/>
                    </a:stretch>
                  </pic:blipFill>
                  <pic:spPr>
                    <a:xfrm>
                      <a:off x="0" y="0"/>
                      <a:ext cx="1138555" cy="1067435"/>
                    </a:xfrm>
                    <a:prstGeom prst="rect">
                      <a:avLst/>
                    </a:prstGeom>
                    <a:noFill/>
                    <a:ln>
                      <a:noFill/>
                    </a:ln>
                  </pic:spPr>
                </pic:pic>
              </a:graphicData>
            </a:graphic>
          </wp:anchor>
        </w:drawing>
      </w:r>
      <w:r>
        <w:rPr>
          <w:rFonts w:hint="default" w:ascii="Times New Roman" w:hAnsi="Times New Roman" w:cs="Times New Roman"/>
          <w:color w:val="auto"/>
          <w:sz w:val="24"/>
          <w:highlight w:val="none"/>
        </w:rPr>
        <mc:AlternateContent>
          <mc:Choice Requires="wps">
            <w:drawing>
              <wp:anchor distT="0" distB="0" distL="114300" distR="114300" simplePos="0" relativeHeight="251697152" behindDoc="0" locked="0" layoutInCell="1" allowOverlap="1">
                <wp:simplePos x="0" y="0"/>
                <wp:positionH relativeFrom="column">
                  <wp:posOffset>827405</wp:posOffset>
                </wp:positionH>
                <wp:positionV relativeFrom="paragraph">
                  <wp:posOffset>5333365</wp:posOffset>
                </wp:positionV>
                <wp:extent cx="278130" cy="130810"/>
                <wp:effectExtent l="7620" t="8255" r="19050" b="13335"/>
                <wp:wrapNone/>
                <wp:docPr id="44" name="矩形 24"/>
                <wp:cNvGraphicFramePr/>
                <a:graphic xmlns:a="http://schemas.openxmlformats.org/drawingml/2006/main">
                  <a:graphicData uri="http://schemas.microsoft.com/office/word/2010/wordprocessingShape">
                    <wps:wsp>
                      <wps:cNvSpPr/>
                      <wps:spPr>
                        <a:xfrm>
                          <a:off x="0" y="0"/>
                          <a:ext cx="278130" cy="130810"/>
                        </a:xfrm>
                        <a:prstGeom prst="rect">
                          <a:avLst/>
                        </a:prstGeom>
                        <a:noFill/>
                        <a:ln w="15875" cap="flat" cmpd="sng">
                          <a:solidFill>
                            <a:srgbClr val="FF0000"/>
                          </a:solidFill>
                          <a:prstDash val="solid"/>
                          <a:miter/>
                          <a:headEnd type="none" w="med" len="med"/>
                          <a:tailEnd type="none" w="med" len="med"/>
                        </a:ln>
                      </wps:spPr>
                      <wps:bodyPr wrap="square" upright="1"/>
                    </wps:wsp>
                  </a:graphicData>
                </a:graphic>
              </wp:anchor>
            </w:drawing>
          </mc:Choice>
          <mc:Fallback>
            <w:pict>
              <v:rect id="矩形 24" o:spid="_x0000_s1026" o:spt="1" style="position:absolute;left:0pt;margin-left:65.15pt;margin-top:419.95pt;height:10.3pt;width:21.9pt;z-index:251697152;mso-width-relative:page;mso-height-relative:page;" filled="f" stroked="t" coordsize="21600,21600" o:gfxdata="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nbyptcAAAALAQAADwAAAAAAAAABACAAAAAiAAAAZHJzL2Rv&#10;d25yZXYueG1sUEsBAhQAFAAAAAgAh07iQPTat54CAgAABQQAAA4AAAAAAAAAAQAgAAAAJgEAAGRy&#10;cy9lMm9Eb2MueG1sUEsFBgAAAAAGAAYAWQEAAJoFAAAAAA==&#10;">
                <v:fill on="f" focussize="0,0"/>
                <v:stroke weight="1.25pt" color="#FF0000" joinstyle="miter"/>
                <v:imagedata o:title=""/>
                <o:lock v:ext="edit" aspectratio="f"/>
              </v:rect>
            </w:pict>
          </mc:Fallback>
        </mc:AlternateContent>
      </w:r>
      <w:r>
        <w:rPr>
          <w:rFonts w:hint="default" w:ascii="Times New Roman" w:hAnsi="Times New Roman" w:eastAsia="宋体" w:cs="Times New Roman"/>
          <w:color w:val="auto"/>
          <w:highlight w:val="none"/>
        </w:rPr>
        <mc:AlternateContent>
          <mc:Choice Requires="wps">
            <w:drawing>
              <wp:anchor distT="0" distB="0" distL="114300" distR="114300" simplePos="0" relativeHeight="251696128" behindDoc="0" locked="0" layoutInCell="1" allowOverlap="1">
                <wp:simplePos x="0" y="0"/>
                <wp:positionH relativeFrom="column">
                  <wp:posOffset>52070</wp:posOffset>
                </wp:positionH>
                <wp:positionV relativeFrom="paragraph">
                  <wp:posOffset>4969510</wp:posOffset>
                </wp:positionV>
                <wp:extent cx="1219200" cy="614045"/>
                <wp:effectExtent l="4445" t="4445" r="14605" b="10160"/>
                <wp:wrapNone/>
                <wp:docPr id="43" name="矩形 25"/>
                <wp:cNvGraphicFramePr/>
                <a:graphic xmlns:a="http://schemas.openxmlformats.org/drawingml/2006/main">
                  <a:graphicData uri="http://schemas.microsoft.com/office/word/2010/wordprocessingShape">
                    <wps:wsp>
                      <wps:cNvSpPr/>
                      <wps:spPr>
                        <a:xfrm>
                          <a:off x="0" y="0"/>
                          <a:ext cx="1219200" cy="6140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49F82C">
                            <w:pPr>
                              <w:spacing w:line="240" w:lineRule="auto"/>
                              <w:jc w:val="center"/>
                              <w:rPr>
                                <w:b/>
                              </w:rPr>
                            </w:pPr>
                            <w:r>
                              <w:rPr>
                                <w:rFonts w:hint="eastAsia"/>
                                <w:b/>
                              </w:rPr>
                              <w:t>图</w:t>
                            </w:r>
                            <w:r>
                              <w:rPr>
                                <w:rFonts w:hint="eastAsia" w:ascii="Times New Roman" w:eastAsia="宋体"/>
                                <w:b/>
                                <w:lang w:val="en-US" w:eastAsia="zh-CN"/>
                              </w:rPr>
                              <w:t xml:space="preserve"> </w:t>
                            </w:r>
                            <w:r>
                              <w:rPr>
                                <w:rFonts w:hint="eastAsia"/>
                                <w:b/>
                              </w:rPr>
                              <w:t>例</w:t>
                            </w:r>
                          </w:p>
                          <w:p w14:paraId="2AC82E88">
                            <w:pPr>
                              <w:spacing w:line="240" w:lineRule="auto"/>
                              <w:rPr>
                                <w:rFonts w:hint="default"/>
                                <w:b/>
                                <w:lang w:val="en-US" w:eastAsia="zh-CN"/>
                              </w:rPr>
                            </w:pPr>
                            <w:r>
                              <w:rPr>
                                <w:rFonts w:hint="eastAsia"/>
                                <w:b/>
                              </w:rPr>
                              <w:t>项目位置：</w:t>
                            </w:r>
                          </w:p>
                        </w:txbxContent>
                      </wps:txbx>
                      <wps:bodyPr wrap="square" upright="1"/>
                    </wps:wsp>
                  </a:graphicData>
                </a:graphic>
              </wp:anchor>
            </w:drawing>
          </mc:Choice>
          <mc:Fallback>
            <w:pict>
              <v:rect id="矩形 25" o:spid="_x0000_s1026" o:spt="1" style="position:absolute;left:0pt;margin-left:4.1pt;margin-top:391.3pt;height:48.35pt;width:96pt;z-index:251696128;mso-width-relative:page;mso-height-relative:page;" fillcolor="#FFFFFF" filled="t" stroked="t" coordsize="21600,21600" o:gfxdata="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292Lt1gAAAAkBAAAPAAAAAAAAAAEAIAAA&#10;ACIAAABkcnMvZG93bnJldi54bWxQSwECFAAUAAAACACHTuJAQK4r2w4CAAA5BAAADgAAAAAAAAAB&#10;ACAAAAAlAQAAZHJzL2Uyb0RvYy54bWxQSwUGAAAAAAYABgBZAQAApQUAAAAA&#10;">
                <v:fill on="t" focussize="0,0"/>
                <v:stroke color="#000000" joinstyle="miter"/>
                <v:imagedata o:title=""/>
                <o:lock v:ext="edit" aspectratio="f"/>
                <v:textbox>
                  <w:txbxContent>
                    <w:p w14:paraId="4849F82C">
                      <w:pPr>
                        <w:spacing w:line="240" w:lineRule="auto"/>
                        <w:jc w:val="center"/>
                        <w:rPr>
                          <w:b/>
                        </w:rPr>
                      </w:pPr>
                      <w:r>
                        <w:rPr>
                          <w:rFonts w:hint="eastAsia"/>
                          <w:b/>
                        </w:rPr>
                        <w:t>图</w:t>
                      </w:r>
                      <w:r>
                        <w:rPr>
                          <w:rFonts w:hint="eastAsia" w:ascii="Times New Roman" w:eastAsia="宋体"/>
                          <w:b/>
                          <w:lang w:val="en-US" w:eastAsia="zh-CN"/>
                        </w:rPr>
                        <w:t xml:space="preserve"> </w:t>
                      </w:r>
                      <w:r>
                        <w:rPr>
                          <w:rFonts w:hint="eastAsia"/>
                          <w:b/>
                        </w:rPr>
                        <w:t>例</w:t>
                      </w:r>
                    </w:p>
                    <w:p w14:paraId="2AC82E88">
                      <w:pPr>
                        <w:spacing w:line="240" w:lineRule="auto"/>
                        <w:rPr>
                          <w:rFonts w:hint="default"/>
                          <w:b/>
                          <w:lang w:val="en-US" w:eastAsia="zh-CN"/>
                        </w:rPr>
                      </w:pPr>
                      <w:r>
                        <w:rPr>
                          <w:rFonts w:hint="eastAsia"/>
                          <w:b/>
                        </w:rPr>
                        <w:t>项目位置：</w:t>
                      </w:r>
                    </w:p>
                  </w:txbxContent>
                </v:textbox>
              </v:rect>
            </w:pict>
          </mc:Fallback>
        </mc:AlternateContent>
      </w:r>
      <w:r>
        <w:drawing>
          <wp:inline distT="0" distB="0" distL="114300" distR="114300">
            <wp:extent cx="8857615" cy="5583555"/>
            <wp:effectExtent l="0" t="0" r="635" b="17145"/>
            <wp:docPr id="19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4"/>
                    <pic:cNvPicPr>
                      <a:picLocks noChangeAspect="1"/>
                    </pic:cNvPicPr>
                  </pic:nvPicPr>
                  <pic:blipFill>
                    <a:blip r:embed="rId76"/>
                    <a:stretch>
                      <a:fillRect/>
                    </a:stretch>
                  </pic:blipFill>
                  <pic:spPr>
                    <a:xfrm>
                      <a:off x="0" y="0"/>
                      <a:ext cx="8857615" cy="5583555"/>
                    </a:xfrm>
                    <a:prstGeom prst="rect">
                      <a:avLst/>
                    </a:prstGeom>
                    <a:noFill/>
                    <a:ln>
                      <a:noFill/>
                    </a:ln>
                  </pic:spPr>
                </pic:pic>
              </a:graphicData>
            </a:graphic>
          </wp:inline>
        </w:drawing>
      </w:r>
    </w:p>
    <w:p w14:paraId="6F7EF127">
      <w:pPr>
        <w:jc w:val="center"/>
        <w:outlineLvl w:val="0"/>
        <w:rPr>
          <w:rFonts w:hint="default" w:ascii="Times New Roman" w:hAnsi="Times New Roman" w:cs="Times New Roman"/>
          <w:color w:val="auto"/>
          <w:highlight w:val="none"/>
        </w:rPr>
      </w:pPr>
      <w:bookmarkStart w:id="91" w:name="_Toc31670"/>
      <w:bookmarkStart w:id="92" w:name="_Toc26460"/>
      <w:bookmarkStart w:id="93" w:name="_Toc24705"/>
      <w:bookmarkStart w:id="94" w:name="_Toc24394"/>
      <w:r>
        <w:rPr>
          <w:rFonts w:hint="default" w:ascii="Times New Roman" w:hAnsi="Times New Roman" w:cs="Times New Roman"/>
          <w:b/>
          <w:bCs/>
          <w:color w:val="auto"/>
          <w:sz w:val="24"/>
          <w:highlight w:val="none"/>
        </w:rPr>
        <w:t>附图</w:t>
      </w:r>
      <w:r>
        <w:rPr>
          <w:rFonts w:hint="eastAsia" w:ascii="Times New Roman" w:hAnsi="Times New Roman" w:cs="Times New Roman"/>
          <w:b/>
          <w:bCs/>
          <w:color w:val="auto"/>
          <w:sz w:val="24"/>
          <w:highlight w:val="none"/>
          <w:lang w:val="en-US" w:eastAsia="zh-CN"/>
        </w:rPr>
        <w:t>7</w:t>
      </w:r>
      <w:r>
        <w:rPr>
          <w:rFonts w:hint="default" w:ascii="Times New Roman" w:hAnsi="Times New Roman" w:cs="Times New Roman"/>
          <w:b/>
          <w:bCs/>
          <w:color w:val="auto"/>
          <w:sz w:val="24"/>
          <w:highlight w:val="none"/>
        </w:rPr>
        <w:t xml:space="preserve"> 环境空气质量现状</w:t>
      </w:r>
      <w:r>
        <w:rPr>
          <w:rFonts w:hint="eastAsia" w:ascii="Times New Roman" w:hAnsi="Times New Roman" w:cs="Times New Roman"/>
          <w:b/>
          <w:bCs/>
          <w:color w:val="auto"/>
          <w:sz w:val="24"/>
          <w:highlight w:val="none"/>
          <w:lang w:val="en-US" w:eastAsia="zh-CN"/>
        </w:rPr>
        <w:t>引用</w:t>
      </w:r>
      <w:r>
        <w:rPr>
          <w:rFonts w:hint="default" w:ascii="Times New Roman" w:hAnsi="Times New Roman" w:cs="Times New Roman"/>
          <w:b/>
          <w:bCs/>
          <w:color w:val="auto"/>
          <w:sz w:val="24"/>
          <w:highlight w:val="none"/>
        </w:rPr>
        <w:t>监测布点示意图</w:t>
      </w:r>
      <w:bookmarkEnd w:id="91"/>
      <w:bookmarkEnd w:id="92"/>
      <w:bookmarkEnd w:id="93"/>
      <w:bookmarkEnd w:id="94"/>
    </w:p>
    <w:p w14:paraId="2F7C3301">
      <w:pPr>
        <w:rPr>
          <w:rFonts w:hint="default" w:ascii="Times New Roman" w:hAnsi="Times New Roman" w:cs="Times New Roman"/>
          <w:color w:val="auto"/>
          <w:highlight w:val="none"/>
        </w:rPr>
        <w:sectPr>
          <w:pgSz w:w="16783" w:h="11850" w:orient="landscape"/>
          <w:pgMar w:top="1191" w:right="1417" w:bottom="1134" w:left="1417" w:header="850" w:footer="850" w:gutter="340"/>
          <w:pgBorders>
            <w:top w:val="none" w:sz="0" w:space="0"/>
            <w:left w:val="none" w:sz="0" w:space="0"/>
            <w:bottom w:val="none" w:sz="0" w:space="0"/>
            <w:right w:val="none" w:sz="0" w:space="0"/>
          </w:pgBorders>
          <w:pgNumType w:fmt="decimal"/>
          <w:cols w:space="720" w:num="1"/>
          <w:docGrid w:type="lines" w:linePitch="412" w:charSpace="0"/>
        </w:sectPr>
      </w:pPr>
    </w:p>
    <w:p w14:paraId="08B32691">
      <w:pPr>
        <w:kinsoku w:val="0"/>
        <w:overflowPunct w:val="0"/>
        <w:adjustRightInd w:val="0"/>
        <w:snapToGrid w:val="0"/>
        <w:ind w:firstLine="420" w:firstLineChars="200"/>
        <w:jc w:val="center"/>
        <w:rPr>
          <w:color w:val="auto"/>
          <w:highlight w:val="none"/>
        </w:rPr>
      </w:pPr>
      <w:r>
        <w:rPr>
          <w:sz w:val="21"/>
        </w:rPr>
        <mc:AlternateContent>
          <mc:Choice Requires="wps">
            <w:drawing>
              <wp:anchor distT="0" distB="0" distL="114300" distR="114300" simplePos="0" relativeHeight="251773952" behindDoc="0" locked="0" layoutInCell="1" allowOverlap="1">
                <wp:simplePos x="0" y="0"/>
                <wp:positionH relativeFrom="column">
                  <wp:posOffset>2943225</wp:posOffset>
                </wp:positionH>
                <wp:positionV relativeFrom="paragraph">
                  <wp:posOffset>2451100</wp:posOffset>
                </wp:positionV>
                <wp:extent cx="76835" cy="97790"/>
                <wp:effectExtent l="4445" t="4445" r="13970" b="12065"/>
                <wp:wrapNone/>
                <wp:docPr id="283" name="矩形 1049"/>
                <wp:cNvGraphicFramePr/>
                <a:graphic xmlns:a="http://schemas.openxmlformats.org/drawingml/2006/main">
                  <a:graphicData uri="http://schemas.microsoft.com/office/word/2010/wordprocessingShape">
                    <wps:wsp>
                      <wps:cNvSpPr/>
                      <wps:spPr>
                        <a:xfrm>
                          <a:off x="5495925" y="2402205"/>
                          <a:ext cx="76835" cy="97790"/>
                        </a:xfrm>
                        <a:prstGeom prst="rect">
                          <a:avLst/>
                        </a:prstGeom>
                        <a:solidFill>
                          <a:srgbClr val="FF0000"/>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矩形 1049" o:spid="_x0000_s1026" o:spt="1" style="position:absolute;left:0pt;margin-left:231.75pt;margin-top:193pt;height:7.7pt;width:6.05pt;z-index:251773952;mso-width-relative:page;mso-height-relative:page;" fillcolor="#FF0000" filled="t" stroked="t" coordsize="21600,21600" o:gfxdata="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OjwCu9oAAAALAQAADwAAAAAAAAABACAAAAAiAAAAZHJzL2Rvd25yZXYueG1sUEsBAhQA&#10;FAAAAAgAh07iQB2fcZkpAgAAXwQAAA4AAAAAAAAAAQAgAAAAKQEAAGRycy9lMm9Eb2MueG1sUEsF&#10;BgAAAAAGAAYAWQEAAMQFA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774976" behindDoc="0" locked="0" layoutInCell="1" allowOverlap="1">
                <wp:simplePos x="0" y="0"/>
                <wp:positionH relativeFrom="column">
                  <wp:posOffset>3227705</wp:posOffset>
                </wp:positionH>
                <wp:positionV relativeFrom="paragraph">
                  <wp:posOffset>3662045</wp:posOffset>
                </wp:positionV>
                <wp:extent cx="1070610" cy="334645"/>
                <wp:effectExtent l="237490" t="1126490" r="6350" b="5715"/>
                <wp:wrapNone/>
                <wp:docPr id="284" name="自选图形 1048"/>
                <wp:cNvGraphicFramePr/>
                <a:graphic xmlns:a="http://schemas.openxmlformats.org/drawingml/2006/main">
                  <a:graphicData uri="http://schemas.microsoft.com/office/word/2010/wordprocessingShape">
                    <wps:wsp>
                      <wps:cNvSpPr/>
                      <wps:spPr>
                        <a:xfrm>
                          <a:off x="3886200" y="2713990"/>
                          <a:ext cx="1070610" cy="334645"/>
                        </a:xfrm>
                        <a:prstGeom prst="wedgeRoundRectCallout">
                          <a:avLst>
                            <a:gd name="adj1" fmla="val -70581"/>
                            <a:gd name="adj2" fmla="val -376185"/>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061E81B4">
                            <w:pPr>
                              <w:jc w:val="left"/>
                              <w:rPr>
                                <w:rFonts w:hint="default" w:eastAsia="宋体"/>
                                <w:b/>
                                <w:bCs/>
                                <w:lang w:val="en-US" w:eastAsia="zh-CN"/>
                              </w:rPr>
                            </w:pPr>
                            <w:r>
                              <w:rPr>
                                <w:rFonts w:hint="eastAsia" w:ascii="Times New Roman" w:eastAsia="宋体"/>
                                <w:b/>
                                <w:bCs/>
                                <w:lang w:val="en-US" w:eastAsia="zh-CN"/>
                              </w:rPr>
                              <w:t>项目选址位置</w:t>
                            </w:r>
                          </w:p>
                        </w:txbxContent>
                      </wps:txbx>
                      <wps:bodyPr vert="horz" wrap="square" anchor="t" anchorCtr="0" upright="1"/>
                    </wps:wsp>
                  </a:graphicData>
                </a:graphic>
              </wp:anchor>
            </w:drawing>
          </mc:Choice>
          <mc:Fallback>
            <w:pict>
              <v:shape id="自选图形 1048" o:spid="_x0000_s1026" o:spt="62" type="#_x0000_t62" style="position:absolute;left:0pt;margin-left:254.15pt;margin-top:288.35pt;height:26.35pt;width:84.3pt;z-index:251774976;mso-width-relative:page;mso-height-relative:page;" fillcolor="#FFFFFF" filled="t" stroked="t" coordsize="21600,21600" o:gfxdata="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EaJOirYAAAACwEAAA8AAAAAAAAAAQAgAAAAIgAA&#10;AGRycy9kb3ducmV2LnhtbFBLAQIUABQAAAAIAIdO4kDP5+AQegIAAPwEAAAOAAAAAAAAAAEAIAAA&#10;ACcBAABkcnMvZTJvRG9jLnhtbFBLBQYAAAAABgAGAFkBAAATBgAAAAA=&#10;" adj="-4445,-70456,14400">
                <v:fill on="t" focussize="0,0"/>
                <v:stroke color="#000000" joinstyle="miter"/>
                <v:imagedata o:title=""/>
                <o:lock v:ext="edit" aspectratio="f"/>
                <v:textbox>
                  <w:txbxContent>
                    <w:p w14:paraId="061E81B4">
                      <w:pPr>
                        <w:jc w:val="left"/>
                        <w:rPr>
                          <w:rFonts w:hint="default" w:eastAsia="宋体"/>
                          <w:b/>
                          <w:bCs/>
                          <w:lang w:val="en-US" w:eastAsia="zh-CN"/>
                        </w:rPr>
                      </w:pPr>
                      <w:r>
                        <w:rPr>
                          <w:rFonts w:hint="eastAsia" w:ascii="Times New Roman" w:eastAsia="宋体"/>
                          <w:b/>
                          <w:bCs/>
                          <w:lang w:val="en-US" w:eastAsia="zh-CN"/>
                        </w:rPr>
                        <w:t>项目选址位置</w:t>
                      </w:r>
                    </w:p>
                  </w:txbxContent>
                </v:textbox>
              </v:shape>
            </w:pict>
          </mc:Fallback>
        </mc:AlternateContent>
      </w:r>
      <w:r>
        <w:rPr>
          <w:position w:val="-263"/>
        </w:rPr>
        <w:drawing>
          <wp:inline distT="0" distB="0" distL="0" distR="0">
            <wp:extent cx="5266690" cy="8353425"/>
            <wp:effectExtent l="0" t="0" r="10160" b="9525"/>
            <wp:docPr id="281" name="IM 12"/>
            <wp:cNvGraphicFramePr/>
            <a:graphic xmlns:a="http://schemas.openxmlformats.org/drawingml/2006/main">
              <a:graphicData uri="http://schemas.openxmlformats.org/drawingml/2006/picture">
                <pic:pic xmlns:pic="http://schemas.openxmlformats.org/drawingml/2006/picture">
                  <pic:nvPicPr>
                    <pic:cNvPr id="281" name="IM 12"/>
                    <pic:cNvPicPr/>
                  </pic:nvPicPr>
                  <pic:blipFill>
                    <a:blip r:embed="rId77"/>
                    <a:stretch>
                      <a:fillRect/>
                    </a:stretch>
                  </pic:blipFill>
                  <pic:spPr>
                    <a:xfrm>
                      <a:off x="0" y="0"/>
                      <a:ext cx="5266690" cy="8354059"/>
                    </a:xfrm>
                    <a:prstGeom prst="rect">
                      <a:avLst/>
                    </a:prstGeom>
                  </pic:spPr>
                </pic:pic>
              </a:graphicData>
            </a:graphic>
          </wp:inline>
        </w:drawing>
      </w:r>
    </w:p>
    <w:p w14:paraId="1E67C51F">
      <w:pPr>
        <w:spacing w:line="240" w:lineRule="auto"/>
        <w:jc w:val="center"/>
        <w:outlineLvl w:val="0"/>
        <w:rPr>
          <w:rFonts w:hint="default" w:ascii="Times New Roman" w:hAnsi="Times New Roman" w:cs="Times New Roman"/>
          <w:b/>
          <w:bCs/>
          <w:color w:val="auto"/>
          <w:sz w:val="24"/>
          <w:highlight w:val="none"/>
        </w:rPr>
        <w:sectPr>
          <w:pgSz w:w="11850" w:h="16783"/>
          <w:pgMar w:top="1440" w:right="1080" w:bottom="1440" w:left="1080" w:header="850" w:footer="850" w:gutter="340"/>
          <w:pgBorders>
            <w:top w:val="none" w:sz="0" w:space="0"/>
            <w:left w:val="none" w:sz="0" w:space="0"/>
            <w:bottom w:val="none" w:sz="0" w:space="0"/>
            <w:right w:val="none" w:sz="0" w:space="0"/>
          </w:pgBorders>
          <w:pgNumType w:fmt="decimal"/>
          <w:cols w:space="720" w:num="1"/>
          <w:docGrid w:type="lines" w:linePitch="412" w:charSpace="0"/>
        </w:sectPr>
      </w:pPr>
      <w:bookmarkStart w:id="95" w:name="_Toc12408"/>
      <w:bookmarkStart w:id="96" w:name="_Toc30060"/>
      <w:bookmarkStart w:id="97" w:name="_Toc14457"/>
      <w:r>
        <w:rPr>
          <w:rFonts w:hint="default" w:ascii="Times New Roman" w:hAnsi="Times New Roman" w:cs="Times New Roman"/>
          <w:b/>
          <w:bCs/>
          <w:color w:val="auto"/>
          <w:sz w:val="24"/>
          <w:highlight w:val="none"/>
        </w:rPr>
        <w:t>附图</w:t>
      </w:r>
      <w:r>
        <w:rPr>
          <w:rFonts w:hint="eastAsia" w:ascii="Times New Roman" w:hAnsi="Times New Roman" w:cs="Times New Roman"/>
          <w:b/>
          <w:bCs/>
          <w:color w:val="auto"/>
          <w:sz w:val="24"/>
          <w:highlight w:val="none"/>
          <w:lang w:val="en-US" w:eastAsia="zh-CN"/>
        </w:rPr>
        <w:t>8</w:t>
      </w:r>
      <w:r>
        <w:rPr>
          <w:rFonts w:hint="default" w:ascii="Times New Roman" w:hAnsi="Times New Roman" w:cs="Times New Roman"/>
          <w:b/>
          <w:bCs/>
          <w:color w:val="auto"/>
          <w:sz w:val="24"/>
          <w:highlight w:val="none"/>
        </w:rPr>
        <w:t xml:space="preserve"> </w:t>
      </w:r>
      <w:bookmarkEnd w:id="88"/>
      <w:bookmarkEnd w:id="89"/>
      <w:r>
        <w:rPr>
          <w:rFonts w:hint="eastAsia" w:cs="Times New Roman"/>
          <w:b/>
          <w:bCs/>
          <w:color w:val="auto"/>
          <w:sz w:val="24"/>
          <w:highlight w:val="none"/>
          <w:lang w:val="en-US" w:eastAsia="zh-CN"/>
        </w:rPr>
        <w:t>项目周边水系</w:t>
      </w:r>
      <w:r>
        <w:rPr>
          <w:rFonts w:hint="default" w:ascii="Times New Roman" w:hAnsi="Times New Roman" w:cs="Times New Roman"/>
          <w:b/>
          <w:bCs/>
          <w:color w:val="auto"/>
          <w:sz w:val="24"/>
          <w:highlight w:val="none"/>
        </w:rPr>
        <w:t>图</w:t>
      </w:r>
      <w:bookmarkEnd w:id="90"/>
      <w:bookmarkEnd w:id="95"/>
      <w:bookmarkEnd w:id="96"/>
      <w:bookmarkEnd w:id="97"/>
    </w:p>
    <w:p w14:paraId="43BC44DF">
      <w:pPr>
        <w:widowControl w:val="0"/>
        <w:spacing w:line="240" w:lineRule="auto"/>
        <w:jc w:val="center"/>
        <w:rPr>
          <w:rFonts w:hint="eastAsia" w:ascii="宋体" w:hAnsi="Courier New" w:eastAsia="宋体" w:cs="Times New Roman"/>
          <w:color w:val="auto"/>
          <w:kern w:val="2"/>
          <w:sz w:val="21"/>
          <w:szCs w:val="20"/>
          <w:highlight w:val="none"/>
          <w:lang w:val="en-US" w:eastAsia="zh-CN" w:bidi="ar-SA"/>
        </w:rPr>
      </w:pPr>
      <w:r>
        <w:rPr>
          <w:rFonts w:ascii="宋体" w:hAnsi="Courier New" w:eastAsia="宋体" w:cs="Times New Roman"/>
          <w:kern w:val="2"/>
          <w:sz w:val="21"/>
          <w:szCs w:val="20"/>
          <w:lang w:val="en-US" w:eastAsia="zh-CN" w:bidi="ar-SA"/>
        </w:rPr>
        <mc:AlternateContent>
          <mc:Choice Requires="wpg">
            <w:drawing>
              <wp:anchor distT="0" distB="0" distL="114300" distR="114300" simplePos="0" relativeHeight="251665408" behindDoc="0" locked="0" layoutInCell="1" allowOverlap="1">
                <wp:simplePos x="0" y="0"/>
                <wp:positionH relativeFrom="column">
                  <wp:posOffset>2892425</wp:posOffset>
                </wp:positionH>
                <wp:positionV relativeFrom="paragraph">
                  <wp:posOffset>1650365</wp:posOffset>
                </wp:positionV>
                <wp:extent cx="1685925" cy="645795"/>
                <wp:effectExtent l="4445" t="4445" r="24130" b="16510"/>
                <wp:wrapNone/>
                <wp:docPr id="122" name="组合 122"/>
                <wp:cNvGraphicFramePr/>
                <a:graphic xmlns:a="http://schemas.openxmlformats.org/drawingml/2006/main">
                  <a:graphicData uri="http://schemas.microsoft.com/office/word/2010/wordprocessingGroup">
                    <wpg:wgp>
                      <wpg:cNvGrpSpPr/>
                      <wpg:grpSpPr>
                        <a:xfrm>
                          <a:off x="0" y="0"/>
                          <a:ext cx="1685925" cy="645795"/>
                          <a:chOff x="10320" y="2647067"/>
                          <a:chExt cx="2655" cy="1017"/>
                        </a:xfrm>
                      </wpg:grpSpPr>
                      <wps:wsp>
                        <wps:cNvPr id="8" name="矩形 1049"/>
                        <wps:cNvSpPr/>
                        <wps:spPr>
                          <a:xfrm>
                            <a:off x="12855" y="2647067"/>
                            <a:ext cx="121" cy="154"/>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wps:wsp>
                        <wps:cNvPr id="9" name="自选图形 1048"/>
                        <wps:cNvSpPr/>
                        <wps:spPr>
                          <a:xfrm>
                            <a:off x="10320" y="2647558"/>
                            <a:ext cx="1686" cy="527"/>
                          </a:xfrm>
                          <a:prstGeom prst="wedgeRoundRectCallout">
                            <a:avLst>
                              <a:gd name="adj1" fmla="val 98458"/>
                              <a:gd name="adj2" fmla="val -126278"/>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4706FE07">
                              <w:pPr>
                                <w:jc w:val="left"/>
                                <w:rPr>
                                  <w:rFonts w:hint="default" w:eastAsia="宋体"/>
                                  <w:b/>
                                  <w:bCs/>
                                  <w:lang w:val="en-US" w:eastAsia="zh-CN"/>
                                </w:rPr>
                              </w:pPr>
                              <w:r>
                                <w:rPr>
                                  <w:rFonts w:hint="eastAsia" w:ascii="Times New Roman" w:eastAsia="宋体"/>
                                  <w:b/>
                                  <w:bCs/>
                                  <w:lang w:val="en-US" w:eastAsia="zh-CN"/>
                                </w:rPr>
                                <w:t>项目选址位置</w:t>
                              </w:r>
                            </w:p>
                          </w:txbxContent>
                        </wps:txbx>
                        <wps:bodyPr vert="horz" wrap="square" anchor="t" anchorCtr="0" upright="1"/>
                      </wps:wsp>
                    </wpg:wgp>
                  </a:graphicData>
                </a:graphic>
              </wp:anchor>
            </w:drawing>
          </mc:Choice>
          <mc:Fallback>
            <w:pict>
              <v:group id="_x0000_s1026" o:spid="_x0000_s1026" o:spt="203" style="position:absolute;left:0pt;margin-left:227.75pt;margin-top:129.95pt;height:50.85pt;width:132.75pt;z-index:251665408;mso-width-relative:page;mso-height-relative:page;" coordorigin="10320,2647067" coordsize="2655,1017" o:gfxdata="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">
                <o:lock v:ext="edit" aspectratio="f"/>
                <v:rect id="矩形 1049" o:spid="_x0000_s1026" o:spt="1" style="position:absolute;left:12855;top:2647067;height:154;width:121;" fillcolor="#FFFFFF" filled="t" stroked="t" coordsize="21600,21600" o:gfxdata="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laNdS5AAAA2gAA&#10;AA8AAAAAAAAAAQAgAAAAIgAAAGRycy9kb3ducmV2LnhtbFBLAQIUABQAAAAIAIdO4kAzLwWeOwAA&#10;ADkAAAAQAAAAAAAAAAEAIAAAAAgBAABkcnMvc2hhcGV4bWwueG1sUEsFBgAAAAAGAAYAWwEAALID&#10;AAAAAA==&#10;">
                  <v:fill on="t" focussize="0,0"/>
                  <v:stroke color="#000000" joinstyle="miter"/>
                  <v:imagedata o:title=""/>
                  <o:lock v:ext="edit" aspectratio="f"/>
                </v:rect>
                <v:shape id="自选图形 1048" o:spid="_x0000_s1026" o:spt="62" type="#_x0000_t62" style="position:absolute;left:10320;top:2647558;height:527;width:1686;" fillcolor="#FFFFFF" filled="t" stroked="t" coordsize="21600,21600" o:gfxdata="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mQQwL4A&#10;AADaAAAADwAAAAAAAAABACAAAAAiAAAAZHJzL2Rvd25yZXYueG1sUEsBAhQAFAAAAAgAh07iQDMv&#10;BZ47AAAAOQAAABAAAAAAAAAAAQAgAAAADQEAAGRycy9zaGFwZXhtbC54bWxQSwUGAAAAAAYABgBb&#10;AQAAtwMAAAAA&#10;" adj="32067,-16476,14400">
                  <v:fill on="t" focussize="0,0"/>
                  <v:stroke color="#000000" joinstyle="miter"/>
                  <v:imagedata o:title=""/>
                  <o:lock v:ext="edit" aspectratio="f"/>
                  <v:textbox>
                    <w:txbxContent>
                      <w:p w14:paraId="4706FE07">
                        <w:pPr>
                          <w:jc w:val="left"/>
                          <w:rPr>
                            <w:rFonts w:hint="default" w:eastAsia="宋体"/>
                            <w:b/>
                            <w:bCs/>
                            <w:lang w:val="en-US" w:eastAsia="zh-CN"/>
                          </w:rPr>
                        </w:pPr>
                        <w:r>
                          <w:rPr>
                            <w:rFonts w:hint="eastAsia" w:ascii="Times New Roman" w:eastAsia="宋体"/>
                            <w:b/>
                            <w:bCs/>
                            <w:lang w:val="en-US" w:eastAsia="zh-CN"/>
                          </w:rPr>
                          <w:t>项目选址位置</w:t>
                        </w:r>
                      </w:p>
                    </w:txbxContent>
                  </v:textbox>
                </v:shape>
              </v:group>
            </w:pict>
          </mc:Fallback>
        </mc:AlternateContent>
      </w:r>
      <w:r>
        <w:rPr>
          <w:rFonts w:ascii="宋体" w:hAnsi="Courier New" w:eastAsia="宋体" w:cs="Times New Roman"/>
          <w:kern w:val="2"/>
          <w:sz w:val="21"/>
          <w:szCs w:val="20"/>
          <w:lang w:val="en-US" w:eastAsia="zh-CN" w:bidi="ar-SA"/>
        </w:rPr>
        <w:drawing>
          <wp:inline distT="0" distB="0" distL="114300" distR="114300">
            <wp:extent cx="5505450" cy="7839075"/>
            <wp:effectExtent l="0" t="0" r="0" b="9525"/>
            <wp:docPr id="12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3"/>
                    <pic:cNvPicPr>
                      <a:picLocks noChangeAspect="1"/>
                    </pic:cNvPicPr>
                  </pic:nvPicPr>
                  <pic:blipFill>
                    <a:blip r:embed="rId78"/>
                    <a:stretch>
                      <a:fillRect/>
                    </a:stretch>
                  </pic:blipFill>
                  <pic:spPr>
                    <a:xfrm>
                      <a:off x="0" y="0"/>
                      <a:ext cx="5505450" cy="7839075"/>
                    </a:xfrm>
                    <a:prstGeom prst="rect">
                      <a:avLst/>
                    </a:prstGeom>
                    <a:noFill/>
                    <a:ln>
                      <a:noFill/>
                    </a:ln>
                  </pic:spPr>
                </pic:pic>
              </a:graphicData>
            </a:graphic>
          </wp:inline>
        </w:drawing>
      </w:r>
    </w:p>
    <w:p w14:paraId="72709BEB">
      <w:pPr>
        <w:widowControl w:val="0"/>
        <w:spacing w:line="240" w:lineRule="auto"/>
        <w:jc w:val="center"/>
        <w:outlineLvl w:val="0"/>
        <w:rPr>
          <w:rFonts w:hint="default" w:ascii="Times New Roman" w:hAnsi="Times New Roman" w:eastAsia="宋体" w:cs="Times New Roman"/>
          <w:b/>
          <w:bCs/>
          <w:color w:val="auto"/>
          <w:kern w:val="2"/>
          <w:sz w:val="24"/>
          <w:szCs w:val="20"/>
          <w:highlight w:val="none"/>
          <w:lang w:val="en-US" w:eastAsia="zh-CN" w:bidi="ar-SA"/>
        </w:rPr>
      </w:pPr>
      <w:bookmarkStart w:id="98" w:name="_Toc13007"/>
      <w:bookmarkStart w:id="99" w:name="_Toc14682"/>
      <w:bookmarkStart w:id="100" w:name="_Toc26349"/>
      <w:bookmarkStart w:id="101" w:name="_Toc7123"/>
      <w:r>
        <w:rPr>
          <w:rFonts w:hint="default" w:ascii="Times New Roman" w:hAnsi="Times New Roman" w:eastAsia="宋体" w:cs="Times New Roman"/>
          <w:b/>
          <w:bCs/>
          <w:color w:val="auto"/>
          <w:kern w:val="2"/>
          <w:sz w:val="24"/>
          <w:szCs w:val="20"/>
          <w:highlight w:val="none"/>
          <w:lang w:val="en-US" w:eastAsia="zh-CN" w:bidi="ar-SA"/>
        </w:rPr>
        <w:t>附图</w:t>
      </w:r>
      <w:r>
        <w:rPr>
          <w:rFonts w:hint="eastAsia" w:ascii="Times New Roman" w:hAnsi="Times New Roman" w:eastAsia="宋体" w:cs="Times New Roman"/>
          <w:b/>
          <w:bCs/>
          <w:color w:val="auto"/>
          <w:kern w:val="2"/>
          <w:sz w:val="24"/>
          <w:szCs w:val="20"/>
          <w:highlight w:val="none"/>
          <w:lang w:val="en-US" w:eastAsia="zh-CN" w:bidi="ar-SA"/>
        </w:rPr>
        <w:t>9</w:t>
      </w:r>
      <w:r>
        <w:rPr>
          <w:rFonts w:hint="default" w:ascii="Times New Roman" w:hAnsi="Times New Roman" w:eastAsia="宋体" w:cs="Times New Roman"/>
          <w:b/>
          <w:bCs/>
          <w:color w:val="auto"/>
          <w:kern w:val="2"/>
          <w:sz w:val="24"/>
          <w:szCs w:val="20"/>
          <w:highlight w:val="none"/>
          <w:lang w:val="en-US" w:eastAsia="zh-CN" w:bidi="ar-SA"/>
        </w:rPr>
        <w:t xml:space="preserve"> </w:t>
      </w:r>
      <w:r>
        <w:rPr>
          <w:rFonts w:hint="eastAsia" w:ascii="Times New Roman" w:hAnsi="Times New Roman" w:eastAsia="宋体" w:cs="Times New Roman"/>
          <w:b/>
          <w:bCs/>
          <w:color w:val="auto"/>
          <w:kern w:val="2"/>
          <w:sz w:val="24"/>
          <w:szCs w:val="20"/>
          <w:highlight w:val="none"/>
          <w:lang w:val="en-US" w:eastAsia="zh-CN" w:bidi="ar-SA"/>
        </w:rPr>
        <w:t>项目所在区域声环境</w:t>
      </w:r>
      <w:r>
        <w:rPr>
          <w:rFonts w:hint="default" w:ascii="Times New Roman" w:hAnsi="Times New Roman" w:eastAsia="宋体" w:cs="Times New Roman"/>
          <w:b/>
          <w:bCs/>
          <w:color w:val="auto"/>
          <w:kern w:val="2"/>
          <w:sz w:val="24"/>
          <w:szCs w:val="20"/>
          <w:highlight w:val="none"/>
          <w:lang w:val="en-US" w:eastAsia="zh-CN" w:bidi="ar-SA"/>
        </w:rPr>
        <w:t>功能区</w:t>
      </w:r>
      <w:r>
        <w:rPr>
          <w:rFonts w:hint="eastAsia" w:ascii="Times New Roman" w:hAnsi="Times New Roman" w:eastAsia="宋体" w:cs="Times New Roman"/>
          <w:b/>
          <w:bCs/>
          <w:color w:val="auto"/>
          <w:kern w:val="2"/>
          <w:sz w:val="24"/>
          <w:szCs w:val="20"/>
          <w:highlight w:val="none"/>
          <w:lang w:val="en-US" w:eastAsia="zh-CN" w:bidi="ar-SA"/>
        </w:rPr>
        <w:t>区</w:t>
      </w:r>
      <w:r>
        <w:rPr>
          <w:rFonts w:hint="default" w:ascii="Times New Roman" w:hAnsi="Times New Roman" w:eastAsia="宋体" w:cs="Times New Roman"/>
          <w:b/>
          <w:bCs/>
          <w:color w:val="auto"/>
          <w:kern w:val="2"/>
          <w:sz w:val="24"/>
          <w:szCs w:val="20"/>
          <w:highlight w:val="none"/>
          <w:lang w:val="en-US" w:eastAsia="zh-CN" w:bidi="ar-SA"/>
        </w:rPr>
        <w:t>划图</w:t>
      </w:r>
      <w:bookmarkEnd w:id="98"/>
      <w:bookmarkEnd w:id="99"/>
      <w:bookmarkEnd w:id="100"/>
      <w:bookmarkEnd w:id="101"/>
    </w:p>
    <w:p w14:paraId="71B30ED1">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bCs/>
          <w:color w:val="auto"/>
          <w:kern w:val="2"/>
          <w:sz w:val="24"/>
          <w:szCs w:val="20"/>
          <w:highlight w:val="none"/>
          <w:lang w:val="en-US" w:eastAsia="zh-CN" w:bidi="ar-SA"/>
        </w:rPr>
      </w:pPr>
      <w:r>
        <w:rPr>
          <w:rFonts w:ascii="宋体" w:hAnsi="Courier New" w:eastAsia="宋体" w:cs="Times New Roman"/>
          <w:kern w:val="2"/>
          <w:sz w:val="21"/>
          <w:szCs w:val="20"/>
          <w:lang w:val="en-US" w:eastAsia="zh-CN" w:bidi="ar-SA"/>
        </w:rPr>
        <mc:AlternateContent>
          <mc:Choice Requires="wpg">
            <w:drawing>
              <wp:anchor distT="0" distB="0" distL="114300" distR="114300" simplePos="0" relativeHeight="251776000" behindDoc="0" locked="0" layoutInCell="1" allowOverlap="1">
                <wp:simplePos x="0" y="0"/>
                <wp:positionH relativeFrom="column">
                  <wp:posOffset>2231390</wp:posOffset>
                </wp:positionH>
                <wp:positionV relativeFrom="paragraph">
                  <wp:posOffset>392430</wp:posOffset>
                </wp:positionV>
                <wp:extent cx="1207135" cy="749300"/>
                <wp:effectExtent l="4445" t="5080" r="7620" b="7620"/>
                <wp:wrapNone/>
                <wp:docPr id="124" name="组合 124"/>
                <wp:cNvGraphicFramePr/>
                <a:graphic xmlns:a="http://schemas.openxmlformats.org/drawingml/2006/main">
                  <a:graphicData uri="http://schemas.microsoft.com/office/word/2010/wordprocessingGroup">
                    <wpg:wgp>
                      <wpg:cNvGrpSpPr/>
                      <wpg:grpSpPr>
                        <a:xfrm>
                          <a:off x="0" y="0"/>
                          <a:ext cx="1207135" cy="749300"/>
                          <a:chOff x="10105" y="2647558"/>
                          <a:chExt cx="1901" cy="1180"/>
                        </a:xfrm>
                      </wpg:grpSpPr>
                      <wps:wsp>
                        <wps:cNvPr id="287" name="矩形 1049"/>
                        <wps:cNvSpPr/>
                        <wps:spPr>
                          <a:xfrm>
                            <a:off x="10105" y="2648584"/>
                            <a:ext cx="121" cy="154"/>
                          </a:xfrm>
                          <a:prstGeom prst="rect">
                            <a:avLst/>
                          </a:prstGeom>
                          <a:solidFill>
                            <a:srgbClr val="FF0000"/>
                          </a:solidFill>
                          <a:ln w="9525" cap="flat" cmpd="sng">
                            <a:solidFill>
                              <a:srgbClr val="000000"/>
                            </a:solidFill>
                            <a:prstDash val="solid"/>
                            <a:miter/>
                            <a:headEnd type="none" w="med" len="med"/>
                            <a:tailEnd type="none" w="med" len="med"/>
                          </a:ln>
                        </wps:spPr>
                        <wps:bodyPr vert="horz" wrap="square" anchor="t" anchorCtr="0" upright="1"/>
                      </wps:wsp>
                      <wps:wsp>
                        <wps:cNvPr id="288" name="自选图形 1048"/>
                        <wps:cNvSpPr/>
                        <wps:spPr>
                          <a:xfrm>
                            <a:off x="10320" y="2647558"/>
                            <a:ext cx="1686" cy="527"/>
                          </a:xfrm>
                          <a:prstGeom prst="wedgeRoundRectCallout">
                            <a:avLst>
                              <a:gd name="adj1" fmla="val -55753"/>
                              <a:gd name="adj2" fmla="val 145635"/>
                              <a:gd name="adj3" fmla="val 16667"/>
                            </a:avLst>
                          </a:prstGeom>
                          <a:solidFill>
                            <a:srgbClr val="FFFF00"/>
                          </a:solidFill>
                          <a:ln w="9525" cap="flat" cmpd="sng">
                            <a:solidFill>
                              <a:srgbClr val="000000"/>
                            </a:solidFill>
                            <a:prstDash val="solid"/>
                            <a:miter/>
                            <a:headEnd type="none" w="med" len="med"/>
                            <a:tailEnd type="none" w="med" len="med"/>
                          </a:ln>
                        </wps:spPr>
                        <wps:txbx>
                          <w:txbxContent>
                            <w:p w14:paraId="1AAFDFF0">
                              <w:pPr>
                                <w:jc w:val="left"/>
                                <w:rPr>
                                  <w:rFonts w:hint="default" w:eastAsia="宋体"/>
                                  <w:b/>
                                  <w:bCs/>
                                  <w:lang w:val="en-US" w:eastAsia="zh-CN"/>
                                </w:rPr>
                              </w:pPr>
                              <w:r>
                                <w:rPr>
                                  <w:rFonts w:hint="eastAsia" w:ascii="Times New Roman" w:eastAsia="宋体"/>
                                  <w:b/>
                                  <w:bCs/>
                                  <w:lang w:val="en-US" w:eastAsia="zh-CN"/>
                                </w:rPr>
                                <w:t>项目选址位置</w:t>
                              </w:r>
                            </w:p>
                          </w:txbxContent>
                        </wps:txbx>
                        <wps:bodyPr vert="horz" wrap="square" anchor="t" anchorCtr="0" upright="1"/>
                      </wps:wsp>
                    </wpg:wgp>
                  </a:graphicData>
                </a:graphic>
              </wp:anchor>
            </w:drawing>
          </mc:Choice>
          <mc:Fallback>
            <w:pict>
              <v:group id="_x0000_s1026" o:spid="_x0000_s1026" o:spt="203" style="position:absolute;left:0pt;margin-left:175.7pt;margin-top:30.9pt;height:59pt;width:95.05pt;z-index:251776000;mso-width-relative:page;mso-height-relative:page;" coordorigin="10105,2647558" coordsize="1901,1180" o:gfxdata="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">
                <o:lock v:ext="edit" aspectratio="f"/>
                <v:rect id="矩形 1049" o:spid="_x0000_s1026" o:spt="1" style="position:absolute;left:10105;top:2648584;height:154;width:121;" fillcolor="#FF0000" filled="t" stroked="t" coordsize="21600,21600" o:gfxdata="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TWZ0e/&#10;AAAA3AAAAA8AAAAAAAAAAQAgAAAAIgAAAGRycy9kb3ducmV2LnhtbFBLAQIUABQAAAAIAIdO4kAz&#10;LwWeOwAAADkAAAAQAAAAAAAAAAEAIAAAAA4BAABkcnMvc2hhcGV4bWwueG1sUEsFBgAAAAAGAAYA&#10;WwEAALgDAAAAAA==&#10;">
                  <v:fill on="t" focussize="0,0"/>
                  <v:stroke color="#000000" joinstyle="miter"/>
                  <v:imagedata o:title=""/>
                  <o:lock v:ext="edit" aspectratio="f"/>
                </v:rect>
                <v:shape id="自选图形 1048" o:spid="_x0000_s1026" o:spt="62" type="#_x0000_t62" style="position:absolute;left:10320;top:2647558;height:527;width:1686;" fillcolor="#FFFF00" filled="t" stroked="t" coordsize="21600,21600" o:gfxdata="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ZEGTrsAAADc&#10;AAAADwAAAAAAAAABACAAAAAiAAAAZHJzL2Rvd25yZXYueG1sUEsBAhQAFAAAAAgAh07iQDMvBZ47&#10;AAAAOQAAABAAAAAAAAAAAQAgAAAACgEAAGRycy9zaGFwZXhtbC54bWxQSwUGAAAAAAYABgBbAQAA&#10;tAMAAAAA&#10;" adj="-1243,42257,14400">
                  <v:fill on="t" focussize="0,0"/>
                  <v:stroke color="#000000" joinstyle="miter"/>
                  <v:imagedata o:title=""/>
                  <o:lock v:ext="edit" aspectratio="f"/>
                  <v:textbox>
                    <w:txbxContent>
                      <w:p w14:paraId="1AAFDFF0">
                        <w:pPr>
                          <w:jc w:val="left"/>
                          <w:rPr>
                            <w:rFonts w:hint="default" w:eastAsia="宋体"/>
                            <w:b/>
                            <w:bCs/>
                            <w:lang w:val="en-US" w:eastAsia="zh-CN"/>
                          </w:rPr>
                        </w:pPr>
                        <w:r>
                          <w:rPr>
                            <w:rFonts w:hint="eastAsia" w:ascii="Times New Roman" w:eastAsia="宋体"/>
                            <w:b/>
                            <w:bCs/>
                            <w:lang w:val="en-US" w:eastAsia="zh-CN"/>
                          </w:rPr>
                          <w:t>项目选址位置</w:t>
                        </w:r>
                      </w:p>
                    </w:txbxContent>
                  </v:textbox>
                </v:shape>
              </v:group>
            </w:pict>
          </mc:Fallback>
        </mc:AlternateContent>
      </w:r>
      <w:r>
        <w:rPr>
          <w:rFonts w:ascii="宋体" w:hAnsi="Courier New" w:eastAsia="宋体" w:cs="Times New Roman"/>
          <w:kern w:val="2"/>
          <w:position w:val="-263"/>
          <w:sz w:val="21"/>
          <w:szCs w:val="20"/>
          <w:lang w:val="en-US" w:eastAsia="zh-CN" w:bidi="ar-SA"/>
        </w:rPr>
        <w:drawing>
          <wp:inline distT="0" distB="0" distL="0" distR="0">
            <wp:extent cx="5274945" cy="8242300"/>
            <wp:effectExtent l="0" t="0" r="1905" b="6350"/>
            <wp:docPr id="285" name="IM 18"/>
            <wp:cNvGraphicFramePr/>
            <a:graphic xmlns:a="http://schemas.openxmlformats.org/drawingml/2006/main">
              <a:graphicData uri="http://schemas.openxmlformats.org/drawingml/2006/picture">
                <pic:pic xmlns:pic="http://schemas.openxmlformats.org/drawingml/2006/picture">
                  <pic:nvPicPr>
                    <pic:cNvPr id="285" name="IM 18"/>
                    <pic:cNvPicPr/>
                  </pic:nvPicPr>
                  <pic:blipFill>
                    <a:blip r:embed="rId79"/>
                    <a:stretch>
                      <a:fillRect/>
                    </a:stretch>
                  </pic:blipFill>
                  <pic:spPr>
                    <a:xfrm>
                      <a:off x="0" y="0"/>
                      <a:ext cx="5275579" cy="8242300"/>
                    </a:xfrm>
                    <a:prstGeom prst="rect">
                      <a:avLst/>
                    </a:prstGeom>
                  </pic:spPr>
                </pic:pic>
              </a:graphicData>
            </a:graphic>
          </wp:inline>
        </w:drawing>
      </w:r>
    </w:p>
    <w:p w14:paraId="18C1C0D9">
      <w:pPr>
        <w:spacing w:line="240" w:lineRule="auto"/>
        <w:jc w:val="center"/>
        <w:outlineLvl w:val="0"/>
        <w:rPr>
          <w:rFonts w:hint="default" w:ascii="Times New Roman" w:hAnsi="Times New Roman" w:eastAsia="宋体" w:cs="Times New Roman"/>
          <w:b/>
          <w:bCs/>
          <w:color w:val="auto"/>
          <w:sz w:val="24"/>
          <w:highlight w:val="none"/>
          <w:lang w:val="en-US" w:eastAsia="zh-CN"/>
        </w:rPr>
        <w:sectPr>
          <w:pgSz w:w="11850" w:h="16783"/>
          <w:pgMar w:top="1440" w:right="969" w:bottom="1440" w:left="969" w:header="737" w:footer="850" w:gutter="340"/>
          <w:pgBorders>
            <w:top w:val="none" w:sz="0" w:space="0"/>
            <w:left w:val="none" w:sz="0" w:space="0"/>
            <w:bottom w:val="none" w:sz="0" w:space="0"/>
            <w:right w:val="none" w:sz="0" w:space="0"/>
          </w:pgBorders>
          <w:pgNumType w:fmt="decimal"/>
          <w:cols w:space="720" w:num="1"/>
          <w:docGrid w:type="lines" w:linePitch="412" w:charSpace="0"/>
        </w:sectPr>
      </w:pPr>
      <w:bookmarkStart w:id="102" w:name="_Toc1661"/>
      <w:r>
        <w:rPr>
          <w:rFonts w:hint="eastAsia" w:ascii="Times New Roman" w:hAnsi="Times New Roman" w:eastAsia="宋体" w:cs="Times New Roman"/>
          <w:b/>
          <w:bCs/>
          <w:color w:val="auto"/>
          <w:kern w:val="2"/>
          <w:sz w:val="24"/>
          <w:szCs w:val="20"/>
          <w:highlight w:val="none"/>
          <w:lang w:val="en-US" w:eastAsia="zh-CN" w:bidi="ar-SA"/>
        </w:rPr>
        <w:t>附图10 韶关乐昌经济开发区周边主要饮用水源保护区分布图</w:t>
      </w:r>
      <w:bookmarkEnd w:id="102"/>
    </w:p>
    <w:p w14:paraId="3ECE1FAA">
      <w:pPr>
        <w:widowControl w:val="0"/>
        <w:spacing w:line="240" w:lineRule="auto"/>
        <w:jc w:val="center"/>
        <w:rPr>
          <w:rFonts w:ascii="Times New Roman" w:hAnsi="Times New Roman" w:eastAsia="宋体" w:cs="宋体"/>
          <w:color w:val="auto"/>
          <w:kern w:val="2"/>
          <w:sz w:val="21"/>
          <w:szCs w:val="24"/>
          <w:highlight w:val="none"/>
          <w:lang w:val="en-US" w:eastAsia="zh-CN" w:bidi="ar-SA"/>
        </w:rPr>
      </w:pPr>
      <w:bookmarkStart w:id="103" w:name="_Toc30196"/>
      <w:r>
        <w:rPr>
          <w:rFonts w:ascii="宋体" w:hAnsi="Courier New" w:eastAsia="宋体" w:cs="Times New Roman"/>
          <w:color w:val="auto"/>
          <w:kern w:val="2"/>
          <w:sz w:val="21"/>
          <w:szCs w:val="20"/>
          <w:highlight w:val="none"/>
          <w:lang w:val="en-US" w:eastAsia="zh-CN" w:bidi="ar-SA"/>
        </w:rPr>
        <mc:AlternateContent>
          <mc:Choice Requires="wps">
            <w:drawing>
              <wp:anchor distT="0" distB="0" distL="114300" distR="114300" simplePos="0" relativeHeight="251667456" behindDoc="0" locked="0" layoutInCell="1" allowOverlap="1">
                <wp:simplePos x="0" y="0"/>
                <wp:positionH relativeFrom="column">
                  <wp:posOffset>6439535</wp:posOffset>
                </wp:positionH>
                <wp:positionV relativeFrom="paragraph">
                  <wp:posOffset>695325</wp:posOffset>
                </wp:positionV>
                <wp:extent cx="76835" cy="97790"/>
                <wp:effectExtent l="4445" t="4445" r="13970" b="12065"/>
                <wp:wrapNone/>
                <wp:docPr id="10" name="矩形 1051"/>
                <wp:cNvGraphicFramePr/>
                <a:graphic xmlns:a="http://schemas.openxmlformats.org/drawingml/2006/main">
                  <a:graphicData uri="http://schemas.microsoft.com/office/word/2010/wordprocessingShape">
                    <wps:wsp>
                      <wps:cNvSpPr/>
                      <wps:spPr>
                        <a:xfrm>
                          <a:off x="0" y="0"/>
                          <a:ext cx="76835" cy="9779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矩形 1051" o:spid="_x0000_s1026" o:spt="1" style="position:absolute;left:0pt;margin-left:507.05pt;margin-top:54.75pt;height:7.7pt;width:6.05pt;z-index:251667456;mso-width-relative:page;mso-height-relative:page;" fillcolor="#FFFFFF" filled="t" stroked="t" coordsize="21600,21600" o:gfxdata="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wO+rzYAAAADQEA&#10;AA8AAAAAAAAAAQAgAAAAIgAAAGRycy9kb3ducmV2LnhtbFBLAQIUABQAAAAIAIdO4kDhW+/lGgIA&#10;AFIEAAAOAAAAAAAAAAEAIAAAACcBAABkcnMvZTJvRG9jLnhtbFBLBQYAAAAABgAGAFkBAACzBQAA&#10;AAA=&#10;">
                <v:fill on="t" focussize="0,0"/>
                <v:stroke color="#000000" joinstyle="miter"/>
                <v:imagedata o:title=""/>
                <o:lock v:ext="edit" aspectratio="f"/>
              </v:rect>
            </w:pict>
          </mc:Fallback>
        </mc:AlternateContent>
      </w:r>
      <w:r>
        <w:rPr>
          <w:rFonts w:ascii="宋体" w:hAnsi="Times New Roman" w:eastAsia="宋体" w:cs="宋体"/>
          <w:color w:val="auto"/>
          <w:kern w:val="2"/>
          <w:sz w:val="24"/>
          <w:szCs w:val="24"/>
          <w:highlight w:val="none"/>
          <w:lang w:val="en-US" w:eastAsia="zh-CN" w:bidi="ar-SA"/>
        </w:rPr>
        <mc:AlternateContent>
          <mc:Choice Requires="wps">
            <w:drawing>
              <wp:anchor distT="0" distB="0" distL="114300" distR="114300" simplePos="0" relativeHeight="251711488" behindDoc="0" locked="0" layoutInCell="1" allowOverlap="1">
                <wp:simplePos x="0" y="0"/>
                <wp:positionH relativeFrom="column">
                  <wp:posOffset>6294120</wp:posOffset>
                </wp:positionH>
                <wp:positionV relativeFrom="paragraph">
                  <wp:posOffset>3924935</wp:posOffset>
                </wp:positionV>
                <wp:extent cx="1511935" cy="1400175"/>
                <wp:effectExtent l="6350" t="6350" r="24765" b="22225"/>
                <wp:wrapNone/>
                <wp:docPr id="171" name="矩形 171"/>
                <wp:cNvGraphicFramePr/>
                <a:graphic xmlns:a="http://schemas.openxmlformats.org/drawingml/2006/main">
                  <a:graphicData uri="http://schemas.microsoft.com/office/word/2010/wordprocessingShape">
                    <wps:wsp>
                      <wps:cNvSpPr/>
                      <wps:spPr>
                        <a:xfrm>
                          <a:off x="8428355" y="5351145"/>
                          <a:ext cx="1511935" cy="1400175"/>
                        </a:xfrm>
                        <a:prstGeom prst="rect">
                          <a:avLst/>
                        </a:prstGeom>
                        <a:solidFill>
                          <a:srgbClr val="E7E6E6"/>
                        </a:solid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95.6pt;margin-top:309.05pt;height:110.25pt;width:119.05pt;z-index:251711488;v-text-anchor:middle;mso-width-relative:page;mso-height-relative:page;" fillcolor="#E7E6E6" filled="t" stroked="t" coordsize="21600,21600" o:gfxdata="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jthNv9oAAAAMAQAADwAA&#10;AAAAAAABACAAAAAiAAAAZHJzL2Rvd25yZXYueG1sUEsBAhQAFAAAAAgAh07iQIaCraqGAgAAEwUA&#10;AA4AAAAAAAAAAQAgAAAAKQEAAGRycy9lMm9Eb2MueG1sUEsFBgAAAAAGAAYAWQEAACEGAAAAAA==&#10;">
                <v:fill on="t" focussize="0,0"/>
                <v:stroke weight="1pt" color="#000000" miterlimit="8" joinstyle="miter"/>
                <v:imagedata o:title=""/>
                <o:lock v:ext="edit" aspectratio="f"/>
              </v:rect>
            </w:pict>
          </mc:Fallback>
        </mc:AlternateContent>
      </w:r>
      <w:r>
        <w:rPr>
          <w:rFonts w:ascii="宋体" w:hAnsi="Courier New" w:eastAsia="宋体" w:cs="Times New Roman"/>
          <w:kern w:val="2"/>
          <w:sz w:val="24"/>
          <w:szCs w:val="20"/>
          <w:lang w:val="en-US" w:eastAsia="zh-CN" w:bidi="ar-SA"/>
        </w:rPr>
        <mc:AlternateContent>
          <mc:Choice Requires="wpg">
            <w:drawing>
              <wp:anchor distT="0" distB="0" distL="114300" distR="114300" simplePos="0" relativeHeight="251716608" behindDoc="0" locked="0" layoutInCell="1" allowOverlap="1">
                <wp:simplePos x="0" y="0"/>
                <wp:positionH relativeFrom="column">
                  <wp:posOffset>6223000</wp:posOffset>
                </wp:positionH>
                <wp:positionV relativeFrom="paragraph">
                  <wp:posOffset>3872865</wp:posOffset>
                </wp:positionV>
                <wp:extent cx="1534160" cy="1474470"/>
                <wp:effectExtent l="0" t="0" r="0" b="0"/>
                <wp:wrapNone/>
                <wp:docPr id="125" name="组合 125"/>
                <wp:cNvGraphicFramePr/>
                <a:graphic xmlns:a="http://schemas.openxmlformats.org/drawingml/2006/main">
                  <a:graphicData uri="http://schemas.microsoft.com/office/word/2010/wordprocessingGroup">
                    <wpg:wgp>
                      <wpg:cNvGrpSpPr/>
                      <wpg:grpSpPr>
                        <a:xfrm>
                          <a:off x="0" y="0"/>
                          <a:ext cx="1534160" cy="1474470"/>
                          <a:chOff x="12749" y="2690222"/>
                          <a:chExt cx="2416" cy="2322"/>
                        </a:xfrm>
                      </wpg:grpSpPr>
                      <wps:wsp>
                        <wps:cNvPr id="172" name="文本框 172"/>
                        <wps:cNvSpPr txBox="1"/>
                        <wps:spPr>
                          <a:xfrm>
                            <a:off x="12749" y="2690222"/>
                            <a:ext cx="2416" cy="2322"/>
                          </a:xfrm>
                          <a:prstGeom prst="rect">
                            <a:avLst/>
                          </a:prstGeom>
                          <a:noFill/>
                          <a:ln w="6350">
                            <a:noFill/>
                          </a:ln>
                          <a:effectLst/>
                        </wps:spPr>
                        <wps:txbx>
                          <w:txbxContent>
                            <w:p w14:paraId="384AF60F">
                              <w:pPr>
                                <w:spacing w:line="360" w:lineRule="auto"/>
                                <w:jc w:val="center"/>
                                <w:rPr>
                                  <w:rFonts w:hint="eastAsia" w:ascii="Times New Roman" w:hAnsi="Times New Roman" w:eastAsia="宋体" w:cs="Times New Roman"/>
                                  <w:b/>
                                  <w:bCs/>
                                  <w:color w:val="000000"/>
                                  <w:sz w:val="21"/>
                                  <w:szCs w:val="21"/>
                                  <w:lang w:val="en-US" w:eastAsia="zh-CN"/>
                                </w:rPr>
                              </w:pPr>
                              <w:r>
                                <w:rPr>
                                  <w:rFonts w:hint="eastAsia" w:ascii="Times New Roman" w:hAnsi="Times New Roman" w:eastAsia="宋体" w:cs="Times New Roman"/>
                                  <w:b/>
                                  <w:bCs/>
                                  <w:color w:val="000000"/>
                                  <w:sz w:val="21"/>
                                  <w:szCs w:val="21"/>
                                  <w:lang w:val="en-US" w:eastAsia="zh-CN"/>
                                </w:rPr>
                                <w:t>图例</w:t>
                              </w:r>
                            </w:p>
                            <w:p w14:paraId="46720216">
                              <w:pPr>
                                <w:keepNext/>
                                <w:keepLines/>
                                <w:widowControl w:val="0"/>
                                <w:numPr>
                                  <w:ilvl w:val="2"/>
                                  <w:numId w:val="0"/>
                                </w:numPr>
                                <w:tabs>
                                  <w:tab w:val="left" w:pos="0"/>
                                  <w:tab w:val="left" w:pos="420"/>
                                </w:tabs>
                                <w:spacing w:line="360" w:lineRule="auto"/>
                                <w:ind w:firstLine="422" w:firstLineChars="200"/>
                                <w:jc w:val="both"/>
                                <w:outlineLvl w:val="2"/>
                                <w:rPr>
                                  <w:rFonts w:hint="eastAsia" w:ascii="Times New Roman" w:hAnsi="Times New Roman" w:eastAsia="宋体" w:cs="Times New Roman"/>
                                  <w:b/>
                                  <w:bCs/>
                                  <w:color w:val="000000"/>
                                  <w:kern w:val="2"/>
                                  <w:sz w:val="21"/>
                                  <w:szCs w:val="21"/>
                                  <w:lang w:val="en-US" w:eastAsia="zh-CN" w:bidi="ar-SA"/>
                                </w:rPr>
                              </w:pPr>
                              <w:r>
                                <w:rPr>
                                  <w:rFonts w:hint="eastAsia" w:ascii="Times New Roman" w:hAnsi="Times New Roman" w:eastAsia="宋体" w:cs="Times New Roman"/>
                                  <w:b/>
                                  <w:bCs/>
                                  <w:color w:val="000000"/>
                                  <w:kern w:val="2"/>
                                  <w:sz w:val="21"/>
                                  <w:szCs w:val="21"/>
                                  <w:lang w:val="en-US" w:eastAsia="zh-CN" w:bidi="ar-SA"/>
                                </w:rPr>
                                <w:t>项目范围：</w:t>
                              </w:r>
                            </w:p>
                            <w:p w14:paraId="10BD87A1">
                              <w:pPr>
                                <w:spacing w:line="360" w:lineRule="auto"/>
                                <w:rPr>
                                  <w:rFonts w:hint="eastAsia" w:ascii="Times New Roman" w:hAnsi="Times New Roman" w:eastAsia="宋体" w:cs="Times New Roman"/>
                                  <w:b/>
                                  <w:bCs/>
                                  <w:color w:val="000000"/>
                                  <w:sz w:val="21"/>
                                  <w:szCs w:val="21"/>
                                  <w:lang w:val="en-US" w:eastAsia="zh-CN"/>
                                </w:rPr>
                              </w:pPr>
                              <w:r>
                                <w:rPr>
                                  <w:rFonts w:hint="eastAsia" w:ascii="Times New Roman" w:hAnsi="Times New Roman" w:eastAsia="宋体" w:cs="Times New Roman"/>
                                  <w:b/>
                                  <w:bCs/>
                                  <w:color w:val="000000"/>
                                  <w:sz w:val="21"/>
                                  <w:szCs w:val="21"/>
                                  <w:lang w:val="en-US" w:eastAsia="zh-CN"/>
                                </w:rPr>
                                <w:t>环境保护目标：</w:t>
                              </w:r>
                            </w:p>
                            <w:p w14:paraId="21611B5A">
                              <w:pPr>
                                <w:keepNext/>
                                <w:keepLines/>
                                <w:widowControl w:val="0"/>
                                <w:numPr>
                                  <w:ilvl w:val="2"/>
                                  <w:numId w:val="0"/>
                                </w:numPr>
                                <w:tabs>
                                  <w:tab w:val="left" w:pos="0"/>
                                  <w:tab w:val="left" w:pos="420"/>
                                </w:tabs>
                                <w:spacing w:line="360" w:lineRule="auto"/>
                                <w:ind w:firstLine="422" w:firstLineChars="200"/>
                                <w:jc w:val="both"/>
                                <w:outlineLvl w:val="2"/>
                                <w:rPr>
                                  <w:rFonts w:hint="default" w:ascii="Times New Roman" w:hAnsi="Times New Roman" w:eastAsia="宋体" w:cs="Times New Roman"/>
                                  <w:b/>
                                  <w:bCs/>
                                  <w:color w:val="000000"/>
                                  <w:kern w:val="2"/>
                                  <w:sz w:val="21"/>
                                  <w:szCs w:val="21"/>
                                  <w:lang w:val="en-US" w:eastAsia="zh-CN" w:bidi="ar-SA"/>
                                </w:rPr>
                              </w:pPr>
                              <w:r>
                                <w:rPr>
                                  <w:rFonts w:hint="eastAsia" w:ascii="Times New Roman" w:hAnsi="Times New Roman" w:eastAsia="宋体" w:cs="Times New Roman"/>
                                  <w:b/>
                                  <w:bCs/>
                                  <w:color w:val="000000"/>
                                  <w:kern w:val="2"/>
                                  <w:sz w:val="21"/>
                                  <w:szCs w:val="21"/>
                                  <w:lang w:val="en-US" w:eastAsia="zh-CN" w:bidi="ar-SA"/>
                                </w:rPr>
                                <w:t>500m范围：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8" name="矩形 173"/>
                        <wps:cNvSpPr/>
                        <wps:spPr>
                          <a:xfrm>
                            <a:off x="14381" y="2690910"/>
                            <a:ext cx="540" cy="330"/>
                          </a:xfrm>
                          <a:prstGeom prst="rect">
                            <a:avLst/>
                          </a:prstGeom>
                          <a:noFill/>
                          <a:ln w="19050" cap="flat" cmpd="sng">
                            <a:solidFill>
                              <a:srgbClr val="FF0000"/>
                            </a:solidFill>
                            <a:prstDash val="solid"/>
                            <a:miter/>
                            <a:headEnd type="none" w="med" len="med"/>
                            <a:tailEnd type="none" w="med" len="med"/>
                          </a:ln>
                        </wps:spPr>
                        <wps:bodyPr vert="horz" wrap="square" anchor="ctr" anchorCtr="0" upright="1"/>
                      </wps:wsp>
                      <wps:wsp>
                        <wps:cNvPr id="59" name="矩形 176"/>
                        <wps:cNvSpPr/>
                        <wps:spPr>
                          <a:xfrm>
                            <a:off x="14351" y="2691915"/>
                            <a:ext cx="540" cy="330"/>
                          </a:xfrm>
                          <a:prstGeom prst="rect">
                            <a:avLst/>
                          </a:prstGeom>
                          <a:noFill/>
                          <a:ln w="19050" cap="flat" cmpd="sng">
                            <a:solidFill>
                              <a:srgbClr val="1CDBE2"/>
                            </a:solidFill>
                            <a:prstDash val="solid"/>
                            <a:miter/>
                            <a:headEnd type="none" w="med" len="med"/>
                            <a:tailEnd type="none" w="med" len="med"/>
                          </a:ln>
                        </wps:spPr>
                        <wps:bodyPr vert="horz" wrap="square" anchor="ctr" anchorCtr="0" upright="1"/>
                      </wps:wsp>
                      <wps:wsp>
                        <wps:cNvPr id="60" name="矩形 175"/>
                        <wps:cNvSpPr/>
                        <wps:spPr>
                          <a:xfrm>
                            <a:off x="14366" y="2691405"/>
                            <a:ext cx="540" cy="330"/>
                          </a:xfrm>
                          <a:prstGeom prst="rect">
                            <a:avLst/>
                          </a:prstGeom>
                          <a:noFill/>
                          <a:ln w="19050" cap="flat" cmpd="sng">
                            <a:solidFill>
                              <a:srgbClr val="FFFF00"/>
                            </a:solidFill>
                            <a:prstDash val="solid"/>
                            <a:miter/>
                            <a:headEnd type="none" w="med" len="med"/>
                            <a:tailEnd type="none" w="med" len="med"/>
                          </a:ln>
                        </wps:spPr>
                        <wps:bodyPr vert="horz" wrap="square" anchor="ctr" anchorCtr="0" upright="1"/>
                      </wps:wsp>
                    </wpg:wgp>
                  </a:graphicData>
                </a:graphic>
              </wp:anchor>
            </w:drawing>
          </mc:Choice>
          <mc:Fallback>
            <w:pict>
              <v:group id="_x0000_s1026" o:spid="_x0000_s1026" o:spt="203" style="position:absolute;left:0pt;margin-left:490pt;margin-top:304.95pt;height:116.1pt;width:120.8pt;z-index:251716608;mso-width-relative:page;mso-height-relative:page;" coordorigin="12749,2690222" coordsize="2416,2322" o:gfxdata="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">
                <o:lock v:ext="edit" aspectratio="f"/>
                <v:shape id="_x0000_s1026" o:spid="_x0000_s1026" o:spt="202" type="#_x0000_t202" style="position:absolute;left:12749;top:2690222;height:2322;width:2416;" filled="f" stroked="f" coordsize="21600,21600" o:gfxdata="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hSRR+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384AF60F">
                        <w:pPr>
                          <w:spacing w:line="360" w:lineRule="auto"/>
                          <w:jc w:val="center"/>
                          <w:rPr>
                            <w:rFonts w:hint="eastAsia" w:ascii="Times New Roman" w:hAnsi="Times New Roman" w:eastAsia="宋体" w:cs="Times New Roman"/>
                            <w:b/>
                            <w:bCs/>
                            <w:color w:val="000000"/>
                            <w:sz w:val="21"/>
                            <w:szCs w:val="21"/>
                            <w:lang w:val="en-US" w:eastAsia="zh-CN"/>
                          </w:rPr>
                        </w:pPr>
                        <w:r>
                          <w:rPr>
                            <w:rFonts w:hint="eastAsia" w:ascii="Times New Roman" w:hAnsi="Times New Roman" w:eastAsia="宋体" w:cs="Times New Roman"/>
                            <w:b/>
                            <w:bCs/>
                            <w:color w:val="000000"/>
                            <w:sz w:val="21"/>
                            <w:szCs w:val="21"/>
                            <w:lang w:val="en-US" w:eastAsia="zh-CN"/>
                          </w:rPr>
                          <w:t>图例</w:t>
                        </w:r>
                      </w:p>
                      <w:p w14:paraId="46720216">
                        <w:pPr>
                          <w:keepNext/>
                          <w:keepLines/>
                          <w:widowControl w:val="0"/>
                          <w:numPr>
                            <w:ilvl w:val="2"/>
                            <w:numId w:val="0"/>
                          </w:numPr>
                          <w:tabs>
                            <w:tab w:val="left" w:pos="0"/>
                            <w:tab w:val="left" w:pos="420"/>
                          </w:tabs>
                          <w:spacing w:line="360" w:lineRule="auto"/>
                          <w:ind w:firstLine="422" w:firstLineChars="200"/>
                          <w:jc w:val="both"/>
                          <w:outlineLvl w:val="2"/>
                          <w:rPr>
                            <w:rFonts w:hint="eastAsia" w:ascii="Times New Roman" w:hAnsi="Times New Roman" w:eastAsia="宋体" w:cs="Times New Roman"/>
                            <w:b/>
                            <w:bCs/>
                            <w:color w:val="000000"/>
                            <w:kern w:val="2"/>
                            <w:sz w:val="21"/>
                            <w:szCs w:val="21"/>
                            <w:lang w:val="en-US" w:eastAsia="zh-CN" w:bidi="ar-SA"/>
                          </w:rPr>
                        </w:pPr>
                        <w:r>
                          <w:rPr>
                            <w:rFonts w:hint="eastAsia" w:ascii="Times New Roman" w:hAnsi="Times New Roman" w:eastAsia="宋体" w:cs="Times New Roman"/>
                            <w:b/>
                            <w:bCs/>
                            <w:color w:val="000000"/>
                            <w:kern w:val="2"/>
                            <w:sz w:val="21"/>
                            <w:szCs w:val="21"/>
                            <w:lang w:val="en-US" w:eastAsia="zh-CN" w:bidi="ar-SA"/>
                          </w:rPr>
                          <w:t>项目范围：</w:t>
                        </w:r>
                      </w:p>
                      <w:p w14:paraId="10BD87A1">
                        <w:pPr>
                          <w:spacing w:line="360" w:lineRule="auto"/>
                          <w:rPr>
                            <w:rFonts w:hint="eastAsia" w:ascii="Times New Roman" w:hAnsi="Times New Roman" w:eastAsia="宋体" w:cs="Times New Roman"/>
                            <w:b/>
                            <w:bCs/>
                            <w:color w:val="000000"/>
                            <w:sz w:val="21"/>
                            <w:szCs w:val="21"/>
                            <w:lang w:val="en-US" w:eastAsia="zh-CN"/>
                          </w:rPr>
                        </w:pPr>
                        <w:r>
                          <w:rPr>
                            <w:rFonts w:hint="eastAsia" w:ascii="Times New Roman" w:hAnsi="Times New Roman" w:eastAsia="宋体" w:cs="Times New Roman"/>
                            <w:b/>
                            <w:bCs/>
                            <w:color w:val="000000"/>
                            <w:sz w:val="21"/>
                            <w:szCs w:val="21"/>
                            <w:lang w:val="en-US" w:eastAsia="zh-CN"/>
                          </w:rPr>
                          <w:t>环境保护目标：</w:t>
                        </w:r>
                      </w:p>
                      <w:p w14:paraId="21611B5A">
                        <w:pPr>
                          <w:keepNext/>
                          <w:keepLines/>
                          <w:widowControl w:val="0"/>
                          <w:numPr>
                            <w:ilvl w:val="2"/>
                            <w:numId w:val="0"/>
                          </w:numPr>
                          <w:tabs>
                            <w:tab w:val="left" w:pos="0"/>
                            <w:tab w:val="left" w:pos="420"/>
                          </w:tabs>
                          <w:spacing w:line="360" w:lineRule="auto"/>
                          <w:ind w:firstLine="422" w:firstLineChars="200"/>
                          <w:jc w:val="both"/>
                          <w:outlineLvl w:val="2"/>
                          <w:rPr>
                            <w:rFonts w:hint="default" w:ascii="Times New Roman" w:hAnsi="Times New Roman" w:eastAsia="宋体" w:cs="Times New Roman"/>
                            <w:b/>
                            <w:bCs/>
                            <w:color w:val="000000"/>
                            <w:kern w:val="2"/>
                            <w:sz w:val="21"/>
                            <w:szCs w:val="21"/>
                            <w:lang w:val="en-US" w:eastAsia="zh-CN" w:bidi="ar-SA"/>
                          </w:rPr>
                        </w:pPr>
                        <w:r>
                          <w:rPr>
                            <w:rFonts w:hint="eastAsia" w:ascii="Times New Roman" w:hAnsi="Times New Roman" w:eastAsia="宋体" w:cs="Times New Roman"/>
                            <w:b/>
                            <w:bCs/>
                            <w:color w:val="000000"/>
                            <w:kern w:val="2"/>
                            <w:sz w:val="21"/>
                            <w:szCs w:val="21"/>
                            <w:lang w:val="en-US" w:eastAsia="zh-CN" w:bidi="ar-SA"/>
                          </w:rPr>
                          <w:t>500m范围：</w:t>
                        </w:r>
                      </w:p>
                    </w:txbxContent>
                  </v:textbox>
                </v:shape>
                <v:rect id="矩形 173" o:spid="_x0000_s1026" o:spt="1" style="position:absolute;left:14381;top:2690910;height:330;width:540;v-text-anchor:middle;" filled="f" stroked="t" coordsize="21600,21600" o:gfxdata="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ybdpugAAANsA&#10;AAAPAAAAAAAAAAEAIAAAACIAAABkcnMvZG93bnJldi54bWxQSwECFAAUAAAACACHTuJAMy8FnjsA&#10;AAA5AAAAEAAAAAAAAAABACAAAAAJAQAAZHJzL3NoYXBleG1sLnhtbFBLBQYAAAAABgAGAFsBAACz&#10;AwAAAAA=&#10;">
                  <v:fill on="f" focussize="0,0"/>
                  <v:stroke weight="1.5pt" color="#FF0000" joinstyle="miter"/>
                  <v:imagedata o:title=""/>
                  <o:lock v:ext="edit" aspectratio="f"/>
                </v:rect>
                <v:rect id="矩形 176" o:spid="_x0000_s1026" o:spt="1" style="position:absolute;left:14351;top:2691915;height:330;width:540;v-text-anchor:middle;" filled="f" stroked="t" coordsize="21600,21600" o:gfxdata="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Nl8W/&#10;AAAA2wAAAA8AAAAAAAAAAQAgAAAAIgAAAGRycy9kb3ducmV2LnhtbFBLAQIUABQAAAAIAIdO4kAz&#10;LwWeOwAAADkAAAAQAAAAAAAAAAEAIAAAAA4BAABkcnMvc2hhcGV4bWwueG1sUEsFBgAAAAAGAAYA&#10;WwEAALgDAAAAAA==&#10;">
                  <v:fill on="f" focussize="0,0"/>
                  <v:stroke weight="1.5pt" color="#1CDBE2" joinstyle="miter"/>
                  <v:imagedata o:title=""/>
                  <o:lock v:ext="edit" aspectratio="f"/>
                </v:rect>
                <v:rect id="矩形 175" o:spid="_x0000_s1026" o:spt="1" style="position:absolute;left:14366;top:2691405;height:330;width:540;v-text-anchor:middle;" filled="f" stroked="t" coordsize="21600,21600" o:gfxdata="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THhxubUAAADbAAAADwAA&#10;AAAAAAABACAAAAAiAAAAZHJzL2Rvd25yZXYueG1sUEsBAhQAFAAAAAgAh07iQDMvBZ47AAAAOQAA&#10;ABAAAAAAAAAAAQAgAAAABAEAAGRycy9zaGFwZXhtbC54bWxQSwUGAAAAAAYABgBbAQAArgMAAAAA&#10;">
                  <v:fill on="f" focussize="0,0"/>
                  <v:stroke weight="1.5pt" color="#FFFF00" joinstyle="miter"/>
                  <v:imagedata o:title=""/>
                  <o:lock v:ext="edit" aspectratio="f"/>
                </v:rect>
              </v:group>
            </w:pict>
          </mc:Fallback>
        </mc:AlternateContent>
      </w:r>
      <w:r>
        <w:rPr>
          <w:rFonts w:ascii="宋体" w:hAnsi="Courier New" w:eastAsia="宋体" w:cs="Times New Roman"/>
          <w:color w:val="auto"/>
          <w:kern w:val="2"/>
          <w:sz w:val="21"/>
          <w:szCs w:val="20"/>
          <w:highlight w:val="none"/>
          <w:lang w:val="en-US" w:eastAsia="zh-CN" w:bidi="ar-SA"/>
        </w:rPr>
        <mc:AlternateContent>
          <mc:Choice Requires="wps">
            <w:drawing>
              <wp:anchor distT="0" distB="0" distL="114300" distR="114300" simplePos="0" relativeHeight="251747328" behindDoc="0" locked="0" layoutInCell="1" allowOverlap="1">
                <wp:simplePos x="0" y="0"/>
                <wp:positionH relativeFrom="column">
                  <wp:posOffset>4665980</wp:posOffset>
                </wp:positionH>
                <wp:positionV relativeFrom="paragraph">
                  <wp:posOffset>1536700</wp:posOffset>
                </wp:positionV>
                <wp:extent cx="692785" cy="914400"/>
                <wp:effectExtent l="0" t="0" r="0" b="0"/>
                <wp:wrapNone/>
                <wp:docPr id="80" name="文本框 175"/>
                <wp:cNvGraphicFramePr/>
                <a:graphic xmlns:a="http://schemas.openxmlformats.org/drawingml/2006/main">
                  <a:graphicData uri="http://schemas.microsoft.com/office/word/2010/wordprocessingShape">
                    <wps:wsp>
                      <wps:cNvSpPr txBox="1"/>
                      <wps:spPr>
                        <a:xfrm>
                          <a:off x="0" y="0"/>
                          <a:ext cx="692785" cy="914400"/>
                        </a:xfrm>
                        <a:prstGeom prst="rect">
                          <a:avLst/>
                        </a:prstGeom>
                        <a:noFill/>
                        <a:ln>
                          <a:noFill/>
                        </a:ln>
                      </wps:spPr>
                      <wps:txbx>
                        <w:txbxContent>
                          <w:p w14:paraId="6B3D0C7A">
                            <w:pPr>
                              <w:rPr>
                                <w:rFonts w:hint="default" w:eastAsia="宋体"/>
                                <w:b/>
                                <w:bCs/>
                                <w:color w:val="FF0000"/>
                                <w:shd w:val="clear" w:color="FFFFFF" w:fill="D9D9D9"/>
                                <w:lang w:val="en-US" w:eastAsia="zh-CN"/>
                              </w:rPr>
                            </w:pPr>
                            <w:r>
                              <w:rPr>
                                <w:rFonts w:hint="eastAsia" w:ascii="Times New Roman" w:eastAsia="宋体"/>
                                <w:b/>
                                <w:bCs/>
                                <w:color w:val="FF0000"/>
                                <w:shd w:val="clear" w:color="FFFFFF" w:fill="D9D9D9"/>
                                <w:lang w:val="en-US" w:eastAsia="zh-CN"/>
                              </w:rPr>
                              <w:t>4</w:t>
                            </w:r>
                            <w:r>
                              <w:rPr>
                                <w:rFonts w:hint="eastAsia"/>
                                <w:b/>
                                <w:bCs/>
                                <w:color w:val="FF0000"/>
                                <w:shd w:val="clear" w:color="FFFFFF" w:fill="D9D9D9"/>
                                <w:lang w:val="en-US" w:eastAsia="zh-CN"/>
                              </w:rPr>
                              <w:t>63</w:t>
                            </w:r>
                            <w:r>
                              <w:rPr>
                                <w:rFonts w:hint="eastAsia" w:ascii="Times New Roman" w:eastAsia="宋体"/>
                                <w:b/>
                                <w:bCs/>
                                <w:color w:val="FF0000"/>
                                <w:shd w:val="clear" w:color="FFFFFF" w:fill="D9D9D9"/>
                                <w:lang w:val="en-US" w:eastAsia="zh-CN"/>
                              </w:rPr>
                              <w:t>米</w:t>
                            </w:r>
                          </w:p>
                        </w:txbxContent>
                      </wps:txbx>
                      <wps:bodyPr wrap="square" upright="0">
                        <a:spAutoFit/>
                      </wps:bodyPr>
                    </wps:wsp>
                  </a:graphicData>
                </a:graphic>
              </wp:anchor>
            </w:drawing>
          </mc:Choice>
          <mc:Fallback>
            <w:pict>
              <v:shape id="文本框 175" o:spid="_x0000_s1026" o:spt="202" type="#_x0000_t202" style="position:absolute;left:0pt;margin-left:367.4pt;margin-top:121pt;height:72pt;width:54.55pt;z-index:251747328;mso-width-relative:page;mso-height-relative:page;" filled="f" stroked="f" coordsize="21600,21600" o:gfxdata="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RlRlvZAAAACwEAAA8AAAAAAAAAAQAgAAAAIgAAAGRycy9kb3du&#10;cmV2LnhtbFBLAQIUABQAAAAIAIdO4kAE9u1DxQEAAHgDAAAOAAAAAAAAAAEAIAAAACgBAABkcnMv&#10;ZTJvRG9jLnhtbFBLBQYAAAAABgAGAFkBAABfBQAAAAA=&#10;">
                <v:fill on="f" focussize="0,0"/>
                <v:stroke on="f"/>
                <v:imagedata o:title=""/>
                <o:lock v:ext="edit" aspectratio="f"/>
                <v:textbox style="mso-fit-shape-to-text:t;">
                  <w:txbxContent>
                    <w:p w14:paraId="6B3D0C7A">
                      <w:pPr>
                        <w:rPr>
                          <w:rFonts w:hint="default" w:eastAsia="宋体"/>
                          <w:b/>
                          <w:bCs/>
                          <w:color w:val="FF0000"/>
                          <w:shd w:val="clear" w:color="FFFFFF" w:fill="D9D9D9"/>
                          <w:lang w:val="en-US" w:eastAsia="zh-CN"/>
                        </w:rPr>
                      </w:pPr>
                      <w:r>
                        <w:rPr>
                          <w:rFonts w:hint="eastAsia" w:ascii="Times New Roman" w:eastAsia="宋体"/>
                          <w:b/>
                          <w:bCs/>
                          <w:color w:val="FF0000"/>
                          <w:shd w:val="clear" w:color="FFFFFF" w:fill="D9D9D9"/>
                          <w:lang w:val="en-US" w:eastAsia="zh-CN"/>
                        </w:rPr>
                        <w:t>4</w:t>
                      </w:r>
                      <w:r>
                        <w:rPr>
                          <w:rFonts w:hint="eastAsia"/>
                          <w:b/>
                          <w:bCs/>
                          <w:color w:val="FF0000"/>
                          <w:shd w:val="clear" w:color="FFFFFF" w:fill="D9D9D9"/>
                          <w:lang w:val="en-US" w:eastAsia="zh-CN"/>
                        </w:rPr>
                        <w:t>63</w:t>
                      </w:r>
                      <w:r>
                        <w:rPr>
                          <w:rFonts w:hint="eastAsia" w:ascii="Times New Roman" w:eastAsia="宋体"/>
                          <w:b/>
                          <w:bCs/>
                          <w:color w:val="FF0000"/>
                          <w:shd w:val="clear" w:color="FFFFFF" w:fill="D9D9D9"/>
                          <w:lang w:val="en-US" w:eastAsia="zh-CN"/>
                        </w:rPr>
                        <w:t>米</w:t>
                      </w:r>
                    </w:p>
                  </w:txbxContent>
                </v:textbox>
              </v:shape>
            </w:pict>
          </mc:Fallback>
        </mc:AlternateContent>
      </w:r>
      <w:r>
        <w:rPr>
          <w:rFonts w:ascii="宋体" w:hAnsi="Courier New" w:eastAsia="宋体" w:cs="Times New Roman"/>
          <w:color w:val="auto"/>
          <w:kern w:val="2"/>
          <w:sz w:val="21"/>
          <w:szCs w:val="20"/>
          <w:highlight w:val="none"/>
          <w:lang w:val="en-US" w:eastAsia="zh-CN" w:bidi="ar-SA"/>
        </w:rPr>
        <mc:AlternateContent>
          <mc:Choice Requires="wps">
            <w:drawing>
              <wp:anchor distT="0" distB="0" distL="114300" distR="114300" simplePos="0" relativeHeight="251746304" behindDoc="0" locked="0" layoutInCell="1" allowOverlap="1">
                <wp:simplePos x="0" y="0"/>
                <wp:positionH relativeFrom="column">
                  <wp:posOffset>4411980</wp:posOffset>
                </wp:positionH>
                <wp:positionV relativeFrom="paragraph">
                  <wp:posOffset>1225550</wp:posOffset>
                </wp:positionV>
                <wp:extent cx="692785" cy="914400"/>
                <wp:effectExtent l="0" t="0" r="0" b="0"/>
                <wp:wrapNone/>
                <wp:docPr id="79" name="文本框 174"/>
                <wp:cNvGraphicFramePr/>
                <a:graphic xmlns:a="http://schemas.openxmlformats.org/drawingml/2006/main">
                  <a:graphicData uri="http://schemas.microsoft.com/office/word/2010/wordprocessingShape">
                    <wps:wsp>
                      <wps:cNvSpPr txBox="1"/>
                      <wps:spPr>
                        <a:xfrm>
                          <a:off x="0" y="0"/>
                          <a:ext cx="692785" cy="914400"/>
                        </a:xfrm>
                        <a:prstGeom prst="rect">
                          <a:avLst/>
                        </a:prstGeom>
                        <a:noFill/>
                        <a:ln>
                          <a:noFill/>
                        </a:ln>
                      </wps:spPr>
                      <wps:txbx>
                        <w:txbxContent>
                          <w:p w14:paraId="1F492FF3">
                            <w:pPr>
                              <w:rPr>
                                <w:rFonts w:hint="default" w:eastAsia="宋体"/>
                                <w:b/>
                                <w:bCs/>
                                <w:color w:val="FF0000"/>
                                <w:shd w:val="clear" w:color="FFFFFF" w:fill="D9D9D9"/>
                                <w:lang w:val="en-US" w:eastAsia="zh-CN"/>
                              </w:rPr>
                            </w:pPr>
                            <w:r>
                              <w:rPr>
                                <w:rFonts w:hint="eastAsia"/>
                                <w:b/>
                                <w:bCs/>
                                <w:color w:val="FF0000"/>
                                <w:shd w:val="clear" w:color="FFFFFF" w:fill="D9D9D9"/>
                                <w:lang w:val="en-US" w:eastAsia="zh-CN"/>
                              </w:rPr>
                              <w:t>377</w:t>
                            </w:r>
                            <w:r>
                              <w:rPr>
                                <w:rFonts w:hint="eastAsia" w:ascii="Times New Roman" w:eastAsia="宋体"/>
                                <w:b/>
                                <w:bCs/>
                                <w:color w:val="FF0000"/>
                                <w:shd w:val="clear" w:color="FFFFFF" w:fill="D9D9D9"/>
                                <w:lang w:val="en-US" w:eastAsia="zh-CN"/>
                              </w:rPr>
                              <w:t>米</w:t>
                            </w:r>
                          </w:p>
                        </w:txbxContent>
                      </wps:txbx>
                      <wps:bodyPr vert="horz" wrap="square" anchor="t" anchorCtr="0" upright="0">
                        <a:spAutoFit/>
                      </wps:bodyPr>
                    </wps:wsp>
                  </a:graphicData>
                </a:graphic>
              </wp:anchor>
            </w:drawing>
          </mc:Choice>
          <mc:Fallback>
            <w:pict>
              <v:shape id="文本框 174" o:spid="_x0000_s1026" o:spt="202" type="#_x0000_t202" style="position:absolute;left:0pt;margin-left:347.4pt;margin-top:96.5pt;height:72pt;width:54.55pt;z-index:251746304;mso-width-relative:page;mso-height-relative:page;" filled="f" stroked="f" coordsize="21600,21600" o:gfxdata="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4Pa4QtgAAAALAQAADwAAAAAA&#10;AAABACAAAAAiAAAAZHJzL2Rvd25yZXYueG1sUEsBAhQAFAAAAAgAh07iQOkKwLHaAQAAnQMAAA4A&#10;AAAAAAAAAQAgAAAAJwEAAGRycy9lMm9Eb2MueG1sUEsFBgAAAAAGAAYAWQEAAHMFAAAAAA==&#10;">
                <v:fill on="f" focussize="0,0"/>
                <v:stroke on="f"/>
                <v:imagedata o:title=""/>
                <o:lock v:ext="edit" aspectratio="f"/>
                <v:textbox style="mso-fit-shape-to-text:t;">
                  <w:txbxContent>
                    <w:p w14:paraId="1F492FF3">
                      <w:pPr>
                        <w:rPr>
                          <w:rFonts w:hint="default" w:eastAsia="宋体"/>
                          <w:b/>
                          <w:bCs/>
                          <w:color w:val="FF0000"/>
                          <w:shd w:val="clear" w:color="FFFFFF" w:fill="D9D9D9"/>
                          <w:lang w:val="en-US" w:eastAsia="zh-CN"/>
                        </w:rPr>
                      </w:pPr>
                      <w:r>
                        <w:rPr>
                          <w:rFonts w:hint="eastAsia"/>
                          <w:b/>
                          <w:bCs/>
                          <w:color w:val="FF0000"/>
                          <w:shd w:val="clear" w:color="FFFFFF" w:fill="D9D9D9"/>
                          <w:lang w:val="en-US" w:eastAsia="zh-CN"/>
                        </w:rPr>
                        <w:t>377</w:t>
                      </w:r>
                      <w:r>
                        <w:rPr>
                          <w:rFonts w:hint="eastAsia" w:ascii="Times New Roman" w:eastAsia="宋体"/>
                          <w:b/>
                          <w:bCs/>
                          <w:color w:val="FF0000"/>
                          <w:shd w:val="clear" w:color="FFFFFF" w:fill="D9D9D9"/>
                          <w:lang w:val="en-US" w:eastAsia="zh-CN"/>
                        </w:rPr>
                        <w:t>米</w:t>
                      </w:r>
                    </w:p>
                  </w:txbxContent>
                </v:textbox>
              </v:shape>
            </w:pict>
          </mc:Fallback>
        </mc:AlternateContent>
      </w:r>
      <w:r>
        <w:rPr>
          <w:rFonts w:ascii="宋体" w:hAnsi="Courier New" w:eastAsia="宋体" w:cs="Times New Roman"/>
          <w:color w:val="auto"/>
          <w:kern w:val="2"/>
          <w:sz w:val="21"/>
          <w:szCs w:val="20"/>
          <w:highlight w:val="none"/>
          <w:lang w:val="en-US" w:eastAsia="zh-CN" w:bidi="ar-SA"/>
        </w:rPr>
        <mc:AlternateContent>
          <mc:Choice Requires="wps">
            <w:drawing>
              <wp:anchor distT="0" distB="0" distL="114300" distR="114300" simplePos="0" relativeHeight="251745280" behindDoc="0" locked="0" layoutInCell="1" allowOverlap="1">
                <wp:simplePos x="0" y="0"/>
                <wp:positionH relativeFrom="column">
                  <wp:posOffset>4368165</wp:posOffset>
                </wp:positionH>
                <wp:positionV relativeFrom="paragraph">
                  <wp:posOffset>1108075</wp:posOffset>
                </wp:positionV>
                <wp:extent cx="455930" cy="1218565"/>
                <wp:effectExtent l="4445" t="1905" r="15875" b="17780"/>
                <wp:wrapNone/>
                <wp:docPr id="78" name="任意多边形 173"/>
                <wp:cNvGraphicFramePr/>
                <a:graphic xmlns:a="http://schemas.openxmlformats.org/drawingml/2006/main">
                  <a:graphicData uri="http://schemas.microsoft.com/office/word/2010/wordprocessingShape">
                    <wps:wsp>
                      <wps:cNvSpPr/>
                      <wps:spPr>
                        <a:xfrm>
                          <a:off x="0" y="0"/>
                          <a:ext cx="455930" cy="1218565"/>
                        </a:xfrm>
                        <a:custGeom>
                          <a:avLst/>
                          <a:gdLst/>
                          <a:ahLst/>
                          <a:cxnLst/>
                          <a:pathLst>
                            <a:path w="718" h="1919">
                              <a:moveTo>
                                <a:pt x="718" y="0"/>
                              </a:moveTo>
                              <a:lnTo>
                                <a:pt x="0" y="1919"/>
                              </a:lnTo>
                            </a:path>
                          </a:pathLst>
                        </a:custGeom>
                        <a:solidFill>
                          <a:srgbClr val="21DDDB"/>
                        </a:solidFill>
                        <a:ln w="9525" cap="flat" cmpd="sng">
                          <a:solidFill>
                            <a:srgbClr val="21DDDB"/>
                          </a:solidFill>
                          <a:prstDash val="solid"/>
                          <a:headEnd type="none" w="med" len="med"/>
                          <a:tailEnd type="none" w="med" len="med"/>
                        </a:ln>
                      </wps:spPr>
                      <wps:bodyPr vert="horz" wrap="square" anchor="t" anchorCtr="0" upright="1"/>
                    </wps:wsp>
                  </a:graphicData>
                </a:graphic>
              </wp:anchor>
            </w:drawing>
          </mc:Choice>
          <mc:Fallback>
            <w:pict>
              <v:shape id="任意多边形 173" o:spid="_x0000_s1026" o:spt="100" style="position:absolute;left:0pt;margin-left:343.95pt;margin-top:87.25pt;height:95.95pt;width:35.9pt;z-index:251745280;mso-width-relative:page;mso-height-relative:page;" fillcolor="#21DDDB" filled="t" stroked="t" coordsize="718,1919" o:gfxdata="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6KhhZ2QAAAAsBAAAPAAAAAAAAAAEAIAAAACIAAABkcnMvZG93bnJldi54bWxQSwECFAAUAAAA&#10;CACHTuJAxkDWFl8CAADwBAAADgAAAAAAAAABACAAAAAoAQAAZHJzL2Uyb0RvYy54bWxQSwUGAAAA&#10;AAYABgBZAQAA+QUAAAAA&#10;" path="m718,0l0,1919e">
                <v:fill on="t" focussize="0,0"/>
                <v:stroke color="#21DDDB" joinstyle="round"/>
                <v:imagedata o:title=""/>
                <o:lock v:ext="edit" aspectratio="f"/>
              </v:shape>
            </w:pict>
          </mc:Fallback>
        </mc:AlternateContent>
      </w:r>
      <w:r>
        <w:rPr>
          <w:rFonts w:ascii="宋体" w:hAnsi="Courier New" w:eastAsia="宋体" w:cs="Times New Roman"/>
          <w:color w:val="auto"/>
          <w:kern w:val="2"/>
          <w:sz w:val="21"/>
          <w:szCs w:val="20"/>
          <w:highlight w:val="none"/>
          <w:lang w:val="en-US" w:eastAsia="zh-CN" w:bidi="ar-SA"/>
        </w:rPr>
        <mc:AlternateContent>
          <mc:Choice Requires="wps">
            <w:drawing>
              <wp:anchor distT="0" distB="0" distL="114300" distR="114300" simplePos="0" relativeHeight="251744256" behindDoc="0" locked="0" layoutInCell="1" allowOverlap="1">
                <wp:simplePos x="0" y="0"/>
                <wp:positionH relativeFrom="column">
                  <wp:posOffset>4723130</wp:posOffset>
                </wp:positionH>
                <wp:positionV relativeFrom="paragraph">
                  <wp:posOffset>833120</wp:posOffset>
                </wp:positionV>
                <wp:extent cx="914400" cy="914400"/>
                <wp:effectExtent l="0" t="0" r="0" b="0"/>
                <wp:wrapNone/>
                <wp:docPr id="77" name="文本框 172"/>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a:noFill/>
                        </a:ln>
                      </wps:spPr>
                      <wps:txbx>
                        <w:txbxContent>
                          <w:p w14:paraId="5CBF366F">
                            <w:pPr>
                              <w:rPr>
                                <w:rFonts w:hint="default" w:eastAsia="宋体"/>
                                <w:b/>
                                <w:bCs/>
                                <w:color w:val="FF0000"/>
                                <w:lang w:val="en-US" w:eastAsia="zh-CN"/>
                              </w:rPr>
                            </w:pPr>
                            <w:r>
                              <w:rPr>
                                <w:rFonts w:hint="eastAsia" w:ascii="Times New Roman" w:eastAsia="宋体"/>
                                <w:b/>
                                <w:bCs/>
                                <w:color w:val="FF0000"/>
                                <w:lang w:val="en-US" w:eastAsia="zh-CN"/>
                              </w:rPr>
                              <w:t>村落</w:t>
                            </w:r>
                          </w:p>
                        </w:txbxContent>
                      </wps:txbx>
                      <wps:bodyPr vert="horz" wrap="square" anchor="t" anchorCtr="0" upright="0">
                        <a:spAutoFit/>
                      </wps:bodyPr>
                    </wps:wsp>
                  </a:graphicData>
                </a:graphic>
              </wp:anchor>
            </w:drawing>
          </mc:Choice>
          <mc:Fallback>
            <w:pict>
              <v:shape id="文本框 172" o:spid="_x0000_s1026" o:spt="202" type="#_x0000_t202" style="position:absolute;left:0pt;margin-left:371.9pt;margin-top:65.6pt;height:72pt;width:72pt;z-index:251744256;mso-width-relative:page;mso-height-relative:page;" filled="f" stroked="f" coordsize="21600,21600" o:gfxdata="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bNRIvtgAAAALAQAADwAAAAAAAAABACAA&#10;AAAiAAAAZHJzL2Rvd25yZXYueG1sUEsBAhQAFAAAAAgAh07iQBOcyAvUAQAAnQMAAA4AAAAAAAAA&#10;AQAgAAAAJwEAAGRycy9lMm9Eb2MueG1sUEsFBgAAAAAGAAYAWQEAAG0FAAAAAA==&#10;">
                <v:fill on="f" focussize="0,0"/>
                <v:stroke on="f"/>
                <v:imagedata o:title=""/>
                <o:lock v:ext="edit" aspectratio="f"/>
                <v:textbox style="mso-fit-shape-to-text:t;">
                  <w:txbxContent>
                    <w:p w14:paraId="5CBF366F">
                      <w:pPr>
                        <w:rPr>
                          <w:rFonts w:hint="default" w:eastAsia="宋体"/>
                          <w:b/>
                          <w:bCs/>
                          <w:color w:val="FF0000"/>
                          <w:lang w:val="en-US" w:eastAsia="zh-CN"/>
                        </w:rPr>
                      </w:pPr>
                      <w:r>
                        <w:rPr>
                          <w:rFonts w:hint="eastAsia" w:ascii="Times New Roman" w:eastAsia="宋体"/>
                          <w:b/>
                          <w:bCs/>
                          <w:color w:val="FF0000"/>
                          <w:lang w:val="en-US" w:eastAsia="zh-CN"/>
                        </w:rPr>
                        <w:t>村落</w:t>
                      </w:r>
                    </w:p>
                  </w:txbxContent>
                </v:textbox>
              </v:shape>
            </w:pict>
          </mc:Fallback>
        </mc:AlternateContent>
      </w:r>
      <w:r>
        <w:rPr>
          <w:rFonts w:ascii="宋体" w:hAnsi="Courier New" w:eastAsia="宋体" w:cs="Times New Roman"/>
          <w:color w:val="auto"/>
          <w:kern w:val="2"/>
          <w:sz w:val="21"/>
          <w:szCs w:val="20"/>
          <w:highlight w:val="none"/>
          <w:lang w:val="en-US" w:eastAsia="zh-CN" w:bidi="ar-SA"/>
        </w:rPr>
        <mc:AlternateContent>
          <mc:Choice Requires="wps">
            <w:drawing>
              <wp:anchor distT="0" distB="0" distL="114300" distR="114300" simplePos="0" relativeHeight="251743232" behindDoc="0" locked="0" layoutInCell="1" allowOverlap="1">
                <wp:simplePos x="0" y="0"/>
                <wp:positionH relativeFrom="column">
                  <wp:posOffset>4832350</wp:posOffset>
                </wp:positionH>
                <wp:positionV relativeFrom="paragraph">
                  <wp:posOffset>836295</wp:posOffset>
                </wp:positionV>
                <wp:extent cx="259080" cy="271780"/>
                <wp:effectExtent l="4445" t="4445" r="22225" b="9525"/>
                <wp:wrapNone/>
                <wp:docPr id="76" name="任意多边形 169"/>
                <wp:cNvGraphicFramePr/>
                <a:graphic xmlns:a="http://schemas.openxmlformats.org/drawingml/2006/main">
                  <a:graphicData uri="http://schemas.microsoft.com/office/word/2010/wordprocessingShape">
                    <wps:wsp>
                      <wps:cNvSpPr/>
                      <wps:spPr>
                        <a:xfrm>
                          <a:off x="0" y="0"/>
                          <a:ext cx="259080" cy="271780"/>
                        </a:xfrm>
                        <a:custGeom>
                          <a:avLst/>
                          <a:gdLst/>
                          <a:ahLst/>
                          <a:cxnLst/>
                          <a:pathLst>
                            <a:path w="408" h="428">
                              <a:moveTo>
                                <a:pt x="8" y="428"/>
                              </a:moveTo>
                              <a:lnTo>
                                <a:pt x="0" y="22"/>
                              </a:lnTo>
                              <a:lnTo>
                                <a:pt x="322" y="0"/>
                              </a:lnTo>
                              <a:lnTo>
                                <a:pt x="408" y="378"/>
                              </a:lnTo>
                              <a:lnTo>
                                <a:pt x="315" y="428"/>
                              </a:lnTo>
                              <a:lnTo>
                                <a:pt x="8" y="428"/>
                              </a:lnTo>
                              <a:close/>
                            </a:path>
                          </a:pathLst>
                        </a:custGeom>
                        <a:noFill/>
                        <a:ln w="9525" cap="flat" cmpd="sng">
                          <a:solidFill>
                            <a:srgbClr val="FFFF00"/>
                          </a:solidFill>
                          <a:prstDash val="solid"/>
                          <a:headEnd type="none" w="med" len="med"/>
                          <a:tailEnd type="none" w="med" len="med"/>
                        </a:ln>
                      </wps:spPr>
                      <wps:bodyPr vert="horz" wrap="square" anchor="t" anchorCtr="0" upright="1"/>
                    </wps:wsp>
                  </a:graphicData>
                </a:graphic>
              </wp:anchor>
            </w:drawing>
          </mc:Choice>
          <mc:Fallback>
            <w:pict>
              <v:shape id="任意多边形 169" o:spid="_x0000_s1026" o:spt="100" style="position:absolute;left:0pt;margin-left:380.5pt;margin-top:65.85pt;height:21.4pt;width:20.4pt;z-index:251743232;mso-width-relative:page;mso-height-relative:page;" filled="f" stroked="t" coordsize="408,428" o:gfxdata="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yVIML2gAAAAsBAAAP&#10;AAAAAAAAAAEAIAAAACIAAABkcnMvZG93bnJldi54bWxQSwECFAAUAAAACACHTuJATDi+yIgCAABp&#10;BQAADgAAAAAAAAABACAAAAApAQAAZHJzL2Uyb0RvYy54bWxQSwUGAAAAAAYABgBZAQAAIwYAAAAA&#10;" path="m8,428l0,22,322,0,408,378,315,428,8,428xe">
                <v:fill on="f" focussize="0,0"/>
                <v:stroke color="#FFFF00" joinstyle="round"/>
                <v:imagedata o:title=""/>
                <o:lock v:ext="edit" aspectratio="f"/>
              </v:shape>
            </w:pict>
          </mc:Fallback>
        </mc:AlternateContent>
      </w:r>
      <w:r>
        <w:rPr>
          <w:rFonts w:ascii="宋体" w:hAnsi="Courier New" w:eastAsia="宋体" w:cs="Times New Roman"/>
          <w:color w:val="auto"/>
          <w:kern w:val="2"/>
          <w:sz w:val="21"/>
          <w:szCs w:val="20"/>
          <w:highlight w:val="none"/>
          <w:lang w:val="en-US" w:eastAsia="zh-CN" w:bidi="ar-SA"/>
        </w:rPr>
        <w:drawing>
          <wp:inline distT="0" distB="0" distL="114300" distR="114300">
            <wp:extent cx="7306310" cy="5487670"/>
            <wp:effectExtent l="0" t="0" r="8890" b="17780"/>
            <wp:docPr id="126" name="图片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609"/>
                    <pic:cNvPicPr>
                      <a:picLocks noChangeAspect="1"/>
                    </pic:cNvPicPr>
                  </pic:nvPicPr>
                  <pic:blipFill>
                    <a:blip r:embed="rId80"/>
                    <a:stretch>
                      <a:fillRect/>
                    </a:stretch>
                  </pic:blipFill>
                  <pic:spPr>
                    <a:xfrm>
                      <a:off x="0" y="0"/>
                      <a:ext cx="7306310" cy="5487670"/>
                    </a:xfrm>
                    <a:prstGeom prst="rect">
                      <a:avLst/>
                    </a:prstGeom>
                    <a:noFill/>
                    <a:ln>
                      <a:noFill/>
                    </a:ln>
                  </pic:spPr>
                </pic:pic>
              </a:graphicData>
            </a:graphic>
          </wp:inline>
        </w:drawing>
      </w:r>
      <w:r>
        <w:rPr>
          <w:rFonts w:ascii="宋体" w:hAnsi="Courier New" w:eastAsia="宋体" w:cs="Times New Roman"/>
          <w:color w:val="auto"/>
          <w:kern w:val="2"/>
          <w:sz w:val="21"/>
          <w:szCs w:val="20"/>
          <w:highlight w:val="none"/>
          <w:lang w:val="en-US" w:eastAsia="zh-CN" w:bidi="ar-SA"/>
        </w:rPr>
        <w:drawing>
          <wp:anchor distT="0" distB="0" distL="114300" distR="114300" simplePos="0" relativeHeight="251712512" behindDoc="0" locked="0" layoutInCell="1" allowOverlap="1">
            <wp:simplePos x="0" y="0"/>
            <wp:positionH relativeFrom="column">
              <wp:posOffset>6791960</wp:posOffset>
            </wp:positionH>
            <wp:positionV relativeFrom="paragraph">
              <wp:posOffset>34925</wp:posOffset>
            </wp:positionV>
            <wp:extent cx="1039495" cy="975360"/>
            <wp:effectExtent l="0" t="0" r="8255" b="15240"/>
            <wp:wrapNone/>
            <wp:docPr id="61" name="图片 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888"/>
                    <pic:cNvPicPr>
                      <a:picLocks noChangeAspect="1"/>
                    </pic:cNvPicPr>
                  </pic:nvPicPr>
                  <pic:blipFill>
                    <a:blip r:embed="rId81"/>
                    <a:stretch>
                      <a:fillRect/>
                    </a:stretch>
                  </pic:blipFill>
                  <pic:spPr>
                    <a:xfrm>
                      <a:off x="0" y="0"/>
                      <a:ext cx="1039495" cy="975360"/>
                    </a:xfrm>
                    <a:prstGeom prst="rect">
                      <a:avLst/>
                    </a:prstGeom>
                    <a:noFill/>
                    <a:ln>
                      <a:noFill/>
                    </a:ln>
                  </pic:spPr>
                </pic:pic>
              </a:graphicData>
            </a:graphic>
          </wp:anchor>
        </w:drawing>
      </w:r>
      <w:bookmarkStart w:id="104" w:name="_Toc31546"/>
    </w:p>
    <w:bookmarkEnd w:id="104"/>
    <w:p w14:paraId="6F619C7E">
      <w:pPr>
        <w:spacing w:line="240" w:lineRule="auto"/>
        <w:jc w:val="center"/>
        <w:outlineLvl w:val="0"/>
        <w:rPr>
          <w:rFonts w:hint="default" w:ascii="Times New Roman" w:hAnsi="Times New Roman" w:eastAsia="宋体" w:cs="Times New Roman"/>
          <w:color w:val="auto"/>
          <w:highlight w:val="none"/>
        </w:rPr>
      </w:pPr>
      <w:bookmarkStart w:id="105" w:name="_Toc23610"/>
      <w:r>
        <w:rPr>
          <w:rFonts w:hint="default" w:ascii="Times New Roman" w:hAnsi="Times New Roman" w:eastAsia="宋体" w:cs="Times New Roman"/>
          <w:b/>
          <w:bCs/>
          <w:color w:val="auto"/>
          <w:sz w:val="24"/>
          <w:highlight w:val="none"/>
        </w:rPr>
        <w:t>附</w:t>
      </w:r>
      <w:r>
        <w:rPr>
          <w:rFonts w:hint="default" w:ascii="Times New Roman" w:hAnsi="Times New Roman" w:eastAsia="宋体" w:cs="Times New Roman"/>
          <w:b/>
          <w:bCs/>
          <w:color w:val="auto"/>
          <w:kern w:val="2"/>
          <w:sz w:val="24"/>
          <w:szCs w:val="20"/>
          <w:highlight w:val="none"/>
          <w:lang w:val="en-US" w:eastAsia="zh-CN" w:bidi="ar-SA"/>
        </w:rPr>
        <w:t>图</w:t>
      </w:r>
      <w:r>
        <w:rPr>
          <w:rFonts w:hint="eastAsia" w:ascii="Times New Roman" w:hAnsi="Times New Roman" w:eastAsia="宋体" w:cs="Times New Roman"/>
          <w:b/>
          <w:bCs/>
          <w:color w:val="auto"/>
          <w:kern w:val="2"/>
          <w:sz w:val="24"/>
          <w:szCs w:val="20"/>
          <w:highlight w:val="none"/>
          <w:lang w:val="en-US" w:eastAsia="zh-CN" w:bidi="ar-SA"/>
        </w:rPr>
        <w:t>11</w:t>
      </w:r>
      <w:r>
        <w:rPr>
          <w:rFonts w:hint="default" w:ascii="Times New Roman" w:hAnsi="Times New Roman" w:eastAsia="宋体" w:cs="Times New Roman"/>
          <w:b/>
          <w:bCs/>
          <w:color w:val="auto"/>
          <w:kern w:val="2"/>
          <w:sz w:val="24"/>
          <w:szCs w:val="20"/>
          <w:highlight w:val="none"/>
          <w:lang w:val="en-US" w:eastAsia="zh-CN" w:bidi="ar-SA"/>
        </w:rPr>
        <w:t xml:space="preserve"> </w:t>
      </w:r>
      <w:r>
        <w:rPr>
          <w:rFonts w:hint="eastAsia" w:ascii="Times New Roman" w:hAnsi="Times New Roman" w:eastAsia="宋体" w:cs="Times New Roman"/>
          <w:b/>
          <w:bCs/>
          <w:color w:val="auto"/>
          <w:kern w:val="2"/>
          <w:sz w:val="24"/>
          <w:szCs w:val="20"/>
          <w:highlight w:val="none"/>
          <w:lang w:val="en-US" w:eastAsia="zh-CN" w:bidi="ar-SA"/>
        </w:rPr>
        <w:t>项目周边</w:t>
      </w:r>
      <w:r>
        <w:rPr>
          <w:rFonts w:hint="default" w:ascii="Times New Roman" w:hAnsi="Times New Roman" w:eastAsia="宋体" w:cs="Times New Roman"/>
          <w:b/>
          <w:bCs/>
          <w:color w:val="auto"/>
          <w:kern w:val="2"/>
          <w:sz w:val="24"/>
          <w:szCs w:val="20"/>
          <w:highlight w:val="none"/>
          <w:lang w:val="en-US" w:eastAsia="zh-CN" w:bidi="ar-SA"/>
        </w:rPr>
        <w:t>环境</w:t>
      </w:r>
      <w:r>
        <w:rPr>
          <w:rFonts w:hint="default" w:ascii="Times New Roman" w:hAnsi="Times New Roman" w:eastAsia="宋体" w:cs="Times New Roman"/>
          <w:b/>
          <w:bCs/>
          <w:color w:val="auto"/>
          <w:sz w:val="24"/>
          <w:highlight w:val="none"/>
          <w:lang w:val="en-US" w:eastAsia="zh-CN"/>
        </w:rPr>
        <w:t>保护目标分布</w:t>
      </w:r>
      <w:r>
        <w:rPr>
          <w:rFonts w:hint="default" w:ascii="Times New Roman" w:hAnsi="Times New Roman" w:eastAsia="宋体" w:cs="Times New Roman"/>
          <w:b/>
          <w:bCs/>
          <w:color w:val="auto"/>
          <w:sz w:val="24"/>
          <w:highlight w:val="none"/>
        </w:rPr>
        <w:t>示意图</w:t>
      </w:r>
      <w:bookmarkEnd w:id="105"/>
    </w:p>
    <w:p w14:paraId="0B2884C0">
      <w:pPr>
        <w:jc w:val="center"/>
        <w:rPr>
          <w:rFonts w:ascii="Times New Roman"/>
          <w:color w:val="auto"/>
          <w:highlight w:val="none"/>
        </w:rPr>
        <w:sectPr>
          <w:pgSz w:w="16838" w:h="11906" w:orient="landscape"/>
          <w:pgMar w:top="1440" w:right="1800" w:bottom="1440" w:left="1800" w:header="851" w:footer="992" w:gutter="0"/>
          <w:pgBorders>
            <w:top w:val="none" w:sz="0" w:space="0"/>
            <w:left w:val="none" w:sz="0" w:space="0"/>
            <w:bottom w:val="none" w:sz="0" w:space="0"/>
            <w:right w:val="none" w:sz="0" w:space="0"/>
          </w:pgBorders>
          <w:pgNumType w:fmt="decimal"/>
          <w:cols w:space="720" w:num="1"/>
          <w:rtlGutter w:val="0"/>
          <w:docGrid w:type="lines" w:linePitch="334" w:charSpace="0"/>
        </w:sectPr>
      </w:pPr>
    </w:p>
    <w:bookmarkEnd w:id="103"/>
    <w:p w14:paraId="0C3845A7">
      <w:pPr>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hAnsi="Times New Roman" w:eastAsia="宋体....." w:cs="Times New Roman"/>
          <w:color w:val="auto"/>
          <w:kern w:val="2"/>
          <w:sz w:val="24"/>
          <w:szCs w:val="24"/>
          <w:highlight w:val="none"/>
          <w:lang w:val="en-US" w:eastAsia="zh-CN" w:bidi="ar-SA"/>
        </w:rPr>
      </w:pPr>
      <w:r>
        <w:rPr>
          <w:rFonts w:ascii="宋体....." w:hAnsi="Times New Roman" w:eastAsia="宋体....." w:cs="宋体....."/>
          <w:color w:val="auto"/>
          <w:kern w:val="2"/>
          <w:sz w:val="24"/>
          <w:szCs w:val="24"/>
          <w:highlight w:val="none"/>
          <w:lang w:val="en-US" w:eastAsia="zh-CN" w:bidi="ar-SA"/>
        </w:rPr>
        <mc:AlternateContent>
          <mc:Choice Requires="wps">
            <w:drawing>
              <wp:anchor distT="0" distB="0" distL="114300" distR="114300" simplePos="0" relativeHeight="251666432" behindDoc="0" locked="0" layoutInCell="1" allowOverlap="1">
                <wp:simplePos x="0" y="0"/>
                <wp:positionH relativeFrom="column">
                  <wp:posOffset>6282055</wp:posOffset>
                </wp:positionH>
                <wp:positionV relativeFrom="paragraph">
                  <wp:posOffset>1232535</wp:posOffset>
                </wp:positionV>
                <wp:extent cx="777875" cy="365760"/>
                <wp:effectExtent l="541020" t="4445" r="14605" b="239395"/>
                <wp:wrapNone/>
                <wp:docPr id="11" name="自选图形 1119"/>
                <wp:cNvGraphicFramePr/>
                <a:graphic xmlns:a="http://schemas.openxmlformats.org/drawingml/2006/main">
                  <a:graphicData uri="http://schemas.microsoft.com/office/word/2010/wordprocessingShape">
                    <wps:wsp>
                      <wps:cNvSpPr/>
                      <wps:spPr>
                        <a:xfrm>
                          <a:off x="0" y="0"/>
                          <a:ext cx="777875" cy="365760"/>
                        </a:xfrm>
                        <a:prstGeom prst="wedgeRoundRectCallout">
                          <a:avLst>
                            <a:gd name="adj1" fmla="val -115218"/>
                            <a:gd name="adj2" fmla="val 105384"/>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67F7B1BD">
                            <w:pPr>
                              <w:rPr>
                                <w:rFonts w:hint="default" w:eastAsia="宋体"/>
                                <w:b/>
                                <w:bCs/>
                                <w:color w:val="auto"/>
                                <w:lang w:val="en-US" w:eastAsia="zh-CN"/>
                              </w:rPr>
                            </w:pPr>
                            <w:r>
                              <w:rPr>
                                <w:rFonts w:hint="eastAsia" w:ascii="Times New Roman" w:eastAsia="宋体"/>
                                <w:b/>
                                <w:bCs/>
                                <w:color w:val="auto"/>
                                <w:lang w:val="en-US" w:eastAsia="zh-CN"/>
                              </w:rPr>
                              <w:t>项目选址</w:t>
                            </w:r>
                          </w:p>
                        </w:txbxContent>
                      </wps:txbx>
                      <wps:bodyPr vert="horz" wrap="square" anchor="t" anchorCtr="0" upright="1"/>
                    </wps:wsp>
                  </a:graphicData>
                </a:graphic>
              </wp:anchor>
            </w:drawing>
          </mc:Choice>
          <mc:Fallback>
            <w:pict>
              <v:shape id="自选图形 1119" o:spid="_x0000_s1026" o:spt="62" type="#_x0000_t62" style="position:absolute;left:0pt;margin-left:494.65pt;margin-top:97.05pt;height:28.8pt;width:61.25pt;z-index:251666432;mso-width-relative:page;mso-height-relative:page;" fillcolor="#FFFFFF" filled="t" stroked="t" coordsize="21600,21600" o:gfxdata="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urYFx1wAAAAwBAAAPAAAAAAAAAAEAIAAAACIAAABkcnMvZG93bnJldi54bWxQ&#10;SwECFAAUAAAACACHTuJAyoYDTWoCAADuBAAADgAAAAAAAAABACAAAAAmAQAAZHJzL2Uyb0RvYy54&#10;bWxQSwUGAAAAAAYABgBZAQAAAgYAAAAA&#10;" adj="-14087,33563,14400">
                <v:fill on="t" focussize="0,0"/>
                <v:stroke color="#000000" joinstyle="miter"/>
                <v:imagedata o:title=""/>
                <o:lock v:ext="edit" aspectratio="f"/>
                <v:textbox>
                  <w:txbxContent>
                    <w:p w14:paraId="67F7B1BD">
                      <w:pPr>
                        <w:rPr>
                          <w:rFonts w:hint="default" w:eastAsia="宋体"/>
                          <w:b/>
                          <w:bCs/>
                          <w:color w:val="auto"/>
                          <w:lang w:val="en-US" w:eastAsia="zh-CN"/>
                        </w:rPr>
                      </w:pPr>
                      <w:r>
                        <w:rPr>
                          <w:rFonts w:hint="eastAsia" w:ascii="Times New Roman" w:eastAsia="宋体"/>
                          <w:b/>
                          <w:bCs/>
                          <w:color w:val="auto"/>
                          <w:lang w:val="en-US" w:eastAsia="zh-CN"/>
                        </w:rPr>
                        <w:t>项目选址</w:t>
                      </w:r>
                    </w:p>
                  </w:txbxContent>
                </v:textbox>
              </v:shape>
            </w:pict>
          </mc:Fallback>
        </mc:AlternateContent>
      </w:r>
      <w:r>
        <w:rPr>
          <w:rFonts w:ascii="宋体....." w:hAnsi="Times New Roman" w:eastAsia="宋体....." w:cs="宋体....."/>
          <w:color w:val="auto"/>
          <w:kern w:val="2"/>
          <w:sz w:val="21"/>
          <w:szCs w:val="24"/>
          <w:highlight w:val="none"/>
          <w:lang w:val="en-US" w:eastAsia="zh-CN" w:bidi="ar-SA"/>
        </w:rPr>
        <mc:AlternateContent>
          <mc:Choice Requires="wps">
            <w:drawing>
              <wp:anchor distT="0" distB="0" distL="114300" distR="114300" simplePos="0" relativeHeight="251713536" behindDoc="0" locked="0" layoutInCell="1" allowOverlap="1">
                <wp:simplePos x="0" y="0"/>
                <wp:positionH relativeFrom="column">
                  <wp:posOffset>5472430</wp:posOffset>
                </wp:positionH>
                <wp:positionV relativeFrom="paragraph">
                  <wp:posOffset>1755140</wp:posOffset>
                </wp:positionV>
                <wp:extent cx="394970" cy="327025"/>
                <wp:effectExtent l="6350" t="6350" r="17780" b="9525"/>
                <wp:wrapNone/>
                <wp:docPr id="62" name="任意多边形 118"/>
                <wp:cNvGraphicFramePr/>
                <a:graphic xmlns:a="http://schemas.openxmlformats.org/drawingml/2006/main">
                  <a:graphicData uri="http://schemas.microsoft.com/office/word/2010/wordprocessingShape">
                    <wps:wsp>
                      <wps:cNvSpPr/>
                      <wps:spPr>
                        <a:xfrm>
                          <a:off x="0" y="0"/>
                          <a:ext cx="394970" cy="327025"/>
                        </a:xfrm>
                        <a:custGeom>
                          <a:avLst/>
                          <a:gdLst/>
                          <a:ahLst/>
                          <a:cxnLst/>
                          <a:pathLst>
                            <a:path w="622" h="515">
                              <a:moveTo>
                                <a:pt x="504" y="515"/>
                              </a:moveTo>
                              <a:lnTo>
                                <a:pt x="590" y="128"/>
                              </a:lnTo>
                              <a:lnTo>
                                <a:pt x="622" y="0"/>
                              </a:lnTo>
                              <a:lnTo>
                                <a:pt x="11" y="22"/>
                              </a:lnTo>
                              <a:lnTo>
                                <a:pt x="0" y="428"/>
                              </a:lnTo>
                              <a:lnTo>
                                <a:pt x="504" y="515"/>
                              </a:lnTo>
                              <a:close/>
                            </a:path>
                          </a:pathLst>
                        </a:custGeom>
                        <a:noFill/>
                        <a:ln w="12700" cap="flat" cmpd="sng">
                          <a:solidFill>
                            <a:srgbClr val="FF0000"/>
                          </a:solidFill>
                          <a:prstDash val="solid"/>
                          <a:headEnd type="none" w="med" len="med"/>
                          <a:tailEnd type="none" w="med" len="med"/>
                        </a:ln>
                      </wps:spPr>
                      <wps:bodyPr vert="horz" wrap="square" anchor="t" anchorCtr="0" upright="1"/>
                    </wps:wsp>
                  </a:graphicData>
                </a:graphic>
              </wp:anchor>
            </w:drawing>
          </mc:Choice>
          <mc:Fallback>
            <w:pict>
              <v:shape id="任意多边形 118" o:spid="_x0000_s1026" o:spt="100" style="position:absolute;left:0pt;margin-left:430.9pt;margin-top:138.2pt;height:25.75pt;width:31.1pt;z-index:251713536;mso-width-relative:page;mso-height-relative:page;" filled="f" stroked="t" coordsize="622,515" o:gfxdata="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kySf2QAAAAsBAAAPAAAA&#10;AAAAAAEAIAAAACIAAABkcnMvZG93bnJldi54bWxQSwECFAAUAAAACACHTuJACG2A8YYCAABtBQAA&#10;DgAAAAAAAAABACAAAAAoAQAAZHJzL2Uyb0RvYy54bWxQSwUGAAAAAAYABgBZAQAAIAYAAAAA&#10;" path="m504,515l590,128,622,0,11,22,0,428,504,515xe">
                <v:fill on="f" focussize="0,0"/>
                <v:stroke weight="1pt" color="#FF0000" joinstyle="round"/>
                <v:imagedata o:title=""/>
                <o:lock v:ext="edit" aspectratio="f"/>
              </v:shape>
            </w:pict>
          </mc:Fallback>
        </mc:AlternateContent>
      </w:r>
      <w:r>
        <w:rPr>
          <w:rFonts w:hint="eastAsia" w:ascii="宋体....." w:hAnsi="Times New Roman" w:eastAsia="宋体....." w:cs="宋体....."/>
          <w:color w:val="auto"/>
          <w:kern w:val="2"/>
          <w:sz w:val="24"/>
          <w:szCs w:val="24"/>
          <w:highlight w:val="none"/>
          <w:lang w:val="en-US" w:eastAsia="zh-CN" w:bidi="ar-SA"/>
        </w:rPr>
        <w:drawing>
          <wp:inline distT="0" distB="0" distL="114300" distR="114300">
            <wp:extent cx="10999470" cy="8804910"/>
            <wp:effectExtent l="9525" t="9525" r="20955" b="24765"/>
            <wp:docPr id="127" name="图片 410" descr="01城东法定图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410" descr="01城东法定图则"/>
                    <pic:cNvPicPr>
                      <a:picLocks noChangeAspect="1"/>
                    </pic:cNvPicPr>
                  </pic:nvPicPr>
                  <pic:blipFill>
                    <a:blip r:embed="rId82"/>
                    <a:srcRect l="827" t="2052" r="32103" b="21954"/>
                    <a:stretch>
                      <a:fillRect/>
                    </a:stretch>
                  </pic:blipFill>
                  <pic:spPr>
                    <a:xfrm>
                      <a:off x="0" y="0"/>
                      <a:ext cx="10999470" cy="8804910"/>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566FA18E">
      <w:pPr>
        <w:spacing w:line="240" w:lineRule="auto"/>
        <w:jc w:val="center"/>
        <w:outlineLvl w:val="0"/>
        <w:rPr>
          <w:rFonts w:hint="default" w:ascii="Times New Roman" w:hAnsi="Times New Roman" w:cs="Times New Roman"/>
          <w:color w:val="auto"/>
          <w:highlight w:val="none"/>
        </w:rPr>
      </w:pPr>
      <w:bookmarkStart w:id="106" w:name="_Toc28121"/>
      <w:bookmarkStart w:id="107" w:name="_Toc1941"/>
      <w:bookmarkStart w:id="108" w:name="_Toc30352"/>
      <w:bookmarkStart w:id="109" w:name="_Toc10279"/>
      <w:bookmarkStart w:id="110" w:name="_Toc5413"/>
      <w:bookmarkStart w:id="111" w:name="_Toc24107"/>
      <w:r>
        <w:rPr>
          <w:rFonts w:hint="default" w:ascii="Times New Roman" w:hAnsi="Times New Roman" w:eastAsia="宋体" w:cs="Times New Roman"/>
          <w:b/>
          <w:bCs/>
          <w:color w:val="auto"/>
          <w:sz w:val="24"/>
          <w:highlight w:val="none"/>
        </w:rPr>
        <w:t>附图</w:t>
      </w:r>
      <w:r>
        <w:rPr>
          <w:rFonts w:hint="eastAsia" w:ascii="Times New Roman" w:hAnsi="Times New Roman" w:eastAsia="宋体" w:cs="Times New Roman"/>
          <w:b/>
          <w:bCs/>
          <w:color w:val="auto"/>
          <w:sz w:val="24"/>
          <w:highlight w:val="none"/>
          <w:lang w:val="en-US" w:eastAsia="zh-CN"/>
        </w:rPr>
        <w:t>12</w:t>
      </w:r>
      <w:r>
        <w:rPr>
          <w:rFonts w:hint="default" w:ascii="Times New Roman" w:hAnsi="Times New Roman" w:eastAsia="宋体" w:cs="Times New Roman"/>
          <w:b/>
          <w:bCs/>
          <w:color w:val="auto"/>
          <w:sz w:val="24"/>
          <w:highlight w:val="none"/>
        </w:rPr>
        <w:t xml:space="preserve"> </w:t>
      </w:r>
      <w:bookmarkEnd w:id="106"/>
      <w:r>
        <w:rPr>
          <w:rFonts w:hint="eastAsia" w:ascii="Times New Roman" w:hAnsi="Times New Roman" w:cs="Times New Roman"/>
          <w:b/>
          <w:bCs/>
          <w:color w:val="auto"/>
          <w:sz w:val="24"/>
          <w:highlight w:val="none"/>
          <w:lang w:val="en-US" w:eastAsia="zh-CN"/>
        </w:rPr>
        <w:t>韶关乐</w:t>
      </w:r>
      <w:r>
        <w:rPr>
          <w:rFonts w:hint="eastAsia" w:ascii="Times New Roman" w:hAnsi="Times New Roman" w:eastAsia="宋体" w:cs="Times New Roman"/>
          <w:b/>
          <w:bCs/>
          <w:color w:val="auto"/>
          <w:sz w:val="24"/>
          <w:highlight w:val="none"/>
          <w:lang w:val="en-US" w:eastAsia="zh-CN"/>
        </w:rPr>
        <w:t>昌经济开发区</w:t>
      </w:r>
      <w:r>
        <w:rPr>
          <w:rFonts w:hint="default" w:ascii="Times New Roman" w:hAnsi="Times New Roman" w:eastAsia="宋体" w:cs="Times New Roman"/>
          <w:b/>
          <w:bCs/>
          <w:color w:val="auto"/>
          <w:sz w:val="24"/>
          <w:highlight w:val="none"/>
          <w:lang w:val="en-US" w:eastAsia="zh-CN"/>
        </w:rPr>
        <w:t>城东片区控制性详细规划</w:t>
      </w:r>
      <w:r>
        <w:rPr>
          <w:rFonts w:hint="eastAsia" w:ascii="Times New Roman" w:hAnsi="Times New Roman" w:eastAsia="宋体" w:cs="Times New Roman"/>
          <w:b/>
          <w:bCs/>
          <w:color w:val="auto"/>
          <w:sz w:val="24"/>
          <w:highlight w:val="none"/>
        </w:rPr>
        <w:t>图</w:t>
      </w:r>
      <w:bookmarkEnd w:id="107"/>
      <w:bookmarkEnd w:id="108"/>
      <w:bookmarkEnd w:id="109"/>
      <w:bookmarkEnd w:id="110"/>
      <w:bookmarkEnd w:id="111"/>
    </w:p>
    <w:p w14:paraId="78226463">
      <w:pPr>
        <w:spacing w:line="240" w:lineRule="auto"/>
        <w:rPr>
          <w:rFonts w:hint="default" w:ascii="Times New Roman" w:hAnsi="Times New Roman" w:cs="Times New Roman"/>
          <w:color w:val="auto"/>
          <w:highlight w:val="none"/>
        </w:rPr>
        <w:sectPr>
          <w:pgSz w:w="23811" w:h="16838" w:orient="landscape"/>
          <w:pgMar w:top="1134" w:right="1417" w:bottom="1077" w:left="1417" w:header="850" w:footer="907" w:gutter="340"/>
          <w:pgBorders>
            <w:top w:val="none" w:sz="0" w:space="0"/>
            <w:left w:val="none" w:sz="0" w:space="0"/>
            <w:bottom w:val="none" w:sz="0" w:space="0"/>
            <w:right w:val="none" w:sz="0" w:space="0"/>
          </w:pgBorders>
          <w:pgNumType w:fmt="decimal"/>
          <w:cols w:space="720" w:num="1"/>
          <w:docGrid w:type="lines" w:linePitch="412" w:charSpace="0"/>
        </w:sectPr>
      </w:pPr>
    </w:p>
    <w:p w14:paraId="19FF17C2">
      <w:pPr>
        <w:widowControl w:val="0"/>
        <w:spacing w:line="240" w:lineRule="auto"/>
        <w:ind w:left="0" w:leftChars="0" w:firstLine="0" w:firstLineChars="0"/>
        <w:jc w:val="center"/>
        <w:rPr>
          <w:rFonts w:hint="eastAsia" w:ascii="Times New Roman" w:hAnsi="Times New Roman" w:eastAsia="宋体" w:cs="Times New Roman"/>
          <w:b/>
          <w:bCs/>
          <w:color w:val="auto"/>
          <w:kern w:val="2"/>
          <w:sz w:val="24"/>
          <w:szCs w:val="24"/>
          <w:highlight w:val="none"/>
          <w:lang w:val="en-US" w:eastAsia="zh-CN" w:bidi="ar-SA"/>
        </w:rPr>
      </w:pPr>
      <w:r>
        <w:rPr>
          <w:rFonts w:ascii="Times New Roman" w:hAnsi="Times New Roman" w:eastAsia="宋体" w:cs="Times New Roman"/>
          <w:color w:val="auto"/>
          <w:kern w:val="2"/>
          <w:sz w:val="24"/>
          <w:szCs w:val="22"/>
          <w:highlight w:val="none"/>
          <w:lang w:val="en-US" w:eastAsia="zh-CN" w:bidi="ar-SA"/>
        </w:rPr>
        <mc:AlternateContent>
          <mc:Choice Requires="wps">
            <w:drawing>
              <wp:anchor distT="0" distB="0" distL="114300" distR="114300" simplePos="0" relativeHeight="251709440" behindDoc="0" locked="0" layoutInCell="1" allowOverlap="1">
                <wp:simplePos x="0" y="0"/>
                <wp:positionH relativeFrom="column">
                  <wp:posOffset>981710</wp:posOffset>
                </wp:positionH>
                <wp:positionV relativeFrom="paragraph">
                  <wp:posOffset>5452110</wp:posOffset>
                </wp:positionV>
                <wp:extent cx="266700" cy="142875"/>
                <wp:effectExtent l="4445" t="5080" r="14605" b="4445"/>
                <wp:wrapNone/>
                <wp:docPr id="56" name="矩形 16"/>
                <wp:cNvGraphicFramePr/>
                <a:graphic xmlns:a="http://schemas.openxmlformats.org/drawingml/2006/main">
                  <a:graphicData uri="http://schemas.microsoft.com/office/word/2010/wordprocessingShape">
                    <wps:wsp>
                      <wps:cNvSpPr/>
                      <wps:spPr>
                        <a:xfrm>
                          <a:off x="0" y="0"/>
                          <a:ext cx="266700" cy="142875"/>
                        </a:xfrm>
                        <a:prstGeom prst="rect">
                          <a:avLst/>
                        </a:prstGeom>
                        <a:solidFill>
                          <a:srgbClr val="F3ADAD"/>
                        </a:solidFill>
                        <a:ln w="0" cap="flat" cmpd="sng">
                          <a:solidFill>
                            <a:srgbClr val="FF0000"/>
                          </a:solidFill>
                          <a:prstDash val="solid"/>
                          <a:miter/>
                          <a:headEnd type="none" w="med" len="med"/>
                          <a:tailEnd type="none" w="med" len="med"/>
                        </a:ln>
                      </wps:spPr>
                      <wps:bodyPr wrap="square" upright="1"/>
                    </wps:wsp>
                  </a:graphicData>
                </a:graphic>
              </wp:anchor>
            </w:drawing>
          </mc:Choice>
          <mc:Fallback>
            <w:pict>
              <v:rect id="矩形 16" o:spid="_x0000_s1026" o:spt="1" style="position:absolute;left:0pt;margin-left:77.3pt;margin-top:429.3pt;height:11.25pt;width:21pt;z-index:251709440;mso-width-relative:page;mso-height-relative:page;" fillcolor="#F3ADAD" filled="t" stroked="t" coordsize="21600,21600" o:gfxdata="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MXcUidoAAAALAQAADwAAAAAAAAABACAAAAAiAAAA&#10;ZHJzL2Rvd25yZXYueG1sUEsBAhQAFAAAAAgAh07iQF9nB5gFAgAAKgQAAA4AAAAAAAAAAQAgAAAA&#10;KQEAAGRycy9lMm9Eb2MueG1sUEsFBgAAAAAGAAYAWQEAAKAFAAAAAA==&#10;">
                <v:fill on="t" focussize="0,0"/>
                <v:stroke weight="0pt" color="#FF0000" joinstyle="miter"/>
                <v:imagedata o:title=""/>
                <o:lock v:ext="edit" aspectratio="f"/>
              </v:rect>
            </w:pict>
          </mc:Fallback>
        </mc:AlternateContent>
      </w:r>
      <w:r>
        <w:rPr>
          <w:rFonts w:ascii="Times New Roman" w:hAnsi="Times New Roman" w:eastAsia="宋体" w:cs="Times New Roman"/>
          <w:color w:val="auto"/>
          <w:kern w:val="2"/>
          <w:sz w:val="24"/>
          <w:szCs w:val="22"/>
          <w:highlight w:val="none"/>
          <w:lang w:val="en-US" w:eastAsia="zh-CN" w:bidi="ar-SA"/>
        </w:rPr>
        <mc:AlternateContent>
          <mc:Choice Requires="wps">
            <w:drawing>
              <wp:anchor distT="0" distB="0" distL="114300" distR="114300" simplePos="0" relativeHeight="251710464" behindDoc="0" locked="0" layoutInCell="1" allowOverlap="1">
                <wp:simplePos x="0" y="0"/>
                <wp:positionH relativeFrom="column">
                  <wp:posOffset>974090</wp:posOffset>
                </wp:positionH>
                <wp:positionV relativeFrom="paragraph">
                  <wp:posOffset>5182235</wp:posOffset>
                </wp:positionV>
                <wp:extent cx="266700" cy="142875"/>
                <wp:effectExtent l="4445" t="5080" r="14605" b="4445"/>
                <wp:wrapNone/>
                <wp:docPr id="57" name="矩形 17"/>
                <wp:cNvGraphicFramePr/>
                <a:graphic xmlns:a="http://schemas.openxmlformats.org/drawingml/2006/main">
                  <a:graphicData uri="http://schemas.microsoft.com/office/word/2010/wordprocessingShape">
                    <wps:wsp>
                      <wps:cNvSpPr/>
                      <wps:spPr>
                        <a:xfrm>
                          <a:off x="0" y="0"/>
                          <a:ext cx="266700" cy="142875"/>
                        </a:xfrm>
                        <a:prstGeom prst="rect">
                          <a:avLst/>
                        </a:prstGeom>
                        <a:solidFill>
                          <a:srgbClr val="FFFF00">
                            <a:alpha val="71999"/>
                          </a:srgbClr>
                        </a:solidFill>
                        <a:ln w="0" cap="flat" cmpd="sng">
                          <a:solidFill>
                            <a:srgbClr val="FFFF00"/>
                          </a:solidFill>
                          <a:prstDash val="solid"/>
                          <a:miter/>
                          <a:headEnd type="none" w="med" len="med"/>
                          <a:tailEnd type="none" w="med" len="med"/>
                        </a:ln>
                      </wps:spPr>
                      <wps:bodyPr vert="horz" wrap="square" anchor="t" anchorCtr="0" upright="1"/>
                    </wps:wsp>
                  </a:graphicData>
                </a:graphic>
              </wp:anchor>
            </w:drawing>
          </mc:Choice>
          <mc:Fallback>
            <w:pict>
              <v:rect id="矩形 17" o:spid="_x0000_s1026" o:spt="1" style="position:absolute;left:0pt;margin-left:76.7pt;margin-top:408.05pt;height:11.25pt;width:21pt;z-index:251710464;mso-width-relative:page;mso-height-relative:page;" fillcolor="#FFFF00" filled="t" stroked="t" coordsize="21600,21600" o:gfxdata="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NxyZcDWAAAACwEAAA8AAAAAAAAAAQAgAAAAIgAAAGRycy9kb3ducmV2LnhtbFBLAQIUABQAAAAI&#10;AIdO4kBbJ6xzKAIAAHAEAAAOAAAAAAAAAAEAIAAAACUBAABkcnMvZTJvRG9jLnhtbFBLBQYAAAAA&#10;BgAGAFkBAAC/BQAAAAA=&#10;">
                <v:fill on="t" opacity="47185f" focussize="0,0"/>
                <v:stroke weight="0pt" color="#FFFF00" joinstyle="miter"/>
                <v:imagedata o:title=""/>
                <o:lock v:ext="edit" aspectratio="f"/>
              </v:rect>
            </w:pict>
          </mc:Fallback>
        </mc:AlternateContent>
      </w:r>
      <w:r>
        <w:rPr>
          <w:rFonts w:ascii="Times New Roman" w:hAnsi="Times New Roman" w:eastAsia="宋体" w:cs="Times New Roman"/>
          <w:color w:val="auto"/>
          <w:kern w:val="2"/>
          <w:sz w:val="24"/>
          <w:szCs w:val="22"/>
          <w:highlight w:val="none"/>
          <w:lang w:val="en-US" w:eastAsia="zh-CN" w:bidi="ar-SA"/>
        </w:rPr>
        <mc:AlternateContent>
          <mc:Choice Requires="wps">
            <w:drawing>
              <wp:anchor distT="0" distB="0" distL="114300" distR="114300" simplePos="0" relativeHeight="251708416" behindDoc="0" locked="0" layoutInCell="1" allowOverlap="1">
                <wp:simplePos x="0" y="0"/>
                <wp:positionH relativeFrom="column">
                  <wp:posOffset>980440</wp:posOffset>
                </wp:positionH>
                <wp:positionV relativeFrom="paragraph">
                  <wp:posOffset>4946650</wp:posOffset>
                </wp:positionV>
                <wp:extent cx="266700" cy="142875"/>
                <wp:effectExtent l="4445" t="5080" r="14605" b="4445"/>
                <wp:wrapNone/>
                <wp:docPr id="55" name="矩形 15"/>
                <wp:cNvGraphicFramePr/>
                <a:graphic xmlns:a="http://schemas.openxmlformats.org/drawingml/2006/main">
                  <a:graphicData uri="http://schemas.microsoft.com/office/word/2010/wordprocessingShape">
                    <wps:wsp>
                      <wps:cNvSpPr/>
                      <wps:spPr>
                        <a:xfrm>
                          <a:off x="0" y="0"/>
                          <a:ext cx="266700" cy="142875"/>
                        </a:xfrm>
                        <a:prstGeom prst="rect">
                          <a:avLst/>
                        </a:prstGeom>
                        <a:solidFill>
                          <a:srgbClr val="00B050">
                            <a:alpha val="71999"/>
                          </a:srgbClr>
                        </a:solidFill>
                        <a:ln w="0" cap="flat" cmpd="sng">
                          <a:solidFill>
                            <a:srgbClr val="00B050"/>
                          </a:solidFill>
                          <a:prstDash val="solid"/>
                          <a:miter/>
                          <a:headEnd type="none" w="med" len="med"/>
                          <a:tailEnd type="none" w="med" len="med"/>
                        </a:ln>
                      </wps:spPr>
                      <wps:bodyPr vert="horz" wrap="square" anchor="t" anchorCtr="0" upright="1"/>
                    </wps:wsp>
                  </a:graphicData>
                </a:graphic>
              </wp:anchor>
            </w:drawing>
          </mc:Choice>
          <mc:Fallback>
            <w:pict>
              <v:rect id="矩形 15" o:spid="_x0000_s1026" o:spt="1" style="position:absolute;left:0pt;margin-left:77.2pt;margin-top:389.5pt;height:11.25pt;width:21pt;z-index:251708416;mso-width-relative:page;mso-height-relative:page;" fillcolor="#00B050" filled="t" stroked="t" coordsize="21600,21600" o:gfxdata="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kSdBE2QAAAAsBAAAPAAAAAAAAAAEAIAAAACIAAABkcnMvZG93bnJldi54bWxQSwECFAAUAAAA&#10;CACHTuJABthZzCYCAABwBAAADgAAAAAAAAABACAAAAAoAQAAZHJzL2Uyb0RvYy54bWxQSwUGAAAA&#10;AAYABgBZAQAAwAUAAAAA&#10;">
                <v:fill on="t" opacity="47185f" focussize="0,0"/>
                <v:stroke weight="0pt" color="#00B050" joinstyle="miter"/>
                <v:imagedata o:title=""/>
                <o:lock v:ext="edit" aspectratio="f"/>
              </v:rect>
            </w:pict>
          </mc:Fallback>
        </mc:AlternateContent>
      </w:r>
      <w:r>
        <w:rPr>
          <w:rFonts w:ascii="Times New Roman" w:hAnsi="Times New Roman" w:eastAsia="宋体" w:cs="Times New Roman"/>
          <w:color w:val="auto"/>
          <w:kern w:val="2"/>
          <w:sz w:val="24"/>
          <w:szCs w:val="22"/>
          <w:highlight w:val="none"/>
          <w:lang w:val="en-US" w:eastAsia="zh-CN" w:bidi="ar-SA"/>
        </w:rPr>
        <mc:AlternateContent>
          <mc:Choice Requires="wps">
            <w:drawing>
              <wp:anchor distT="0" distB="0" distL="114300" distR="114300" simplePos="0" relativeHeight="251707392" behindDoc="0" locked="0" layoutInCell="1" allowOverlap="1">
                <wp:simplePos x="0" y="0"/>
                <wp:positionH relativeFrom="column">
                  <wp:posOffset>925830</wp:posOffset>
                </wp:positionH>
                <wp:positionV relativeFrom="paragraph">
                  <wp:posOffset>4577715</wp:posOffset>
                </wp:positionV>
                <wp:extent cx="1608455" cy="1123315"/>
                <wp:effectExtent l="4445" t="4445" r="6350" b="15240"/>
                <wp:wrapNone/>
                <wp:docPr id="54" name="矩形 14"/>
                <wp:cNvGraphicFramePr/>
                <a:graphic xmlns:a="http://schemas.openxmlformats.org/drawingml/2006/main">
                  <a:graphicData uri="http://schemas.microsoft.com/office/word/2010/wordprocessingShape">
                    <wps:wsp>
                      <wps:cNvSpPr/>
                      <wps:spPr>
                        <a:xfrm>
                          <a:off x="0" y="0"/>
                          <a:ext cx="1608455" cy="1123315"/>
                        </a:xfrm>
                        <a:prstGeom prst="rect">
                          <a:avLst/>
                        </a:prstGeom>
                        <a:solidFill>
                          <a:srgbClr val="FFFFFF">
                            <a:alpha val="39999"/>
                          </a:srgbClr>
                        </a:solidFill>
                        <a:ln w="9525" cap="flat" cmpd="sng">
                          <a:solidFill>
                            <a:srgbClr val="000000"/>
                          </a:solidFill>
                          <a:prstDash val="solid"/>
                          <a:miter/>
                          <a:headEnd type="none" w="med" len="med"/>
                          <a:tailEnd type="none" w="med" len="med"/>
                        </a:ln>
                      </wps:spPr>
                      <wps:txbx>
                        <w:txbxContent>
                          <w:p w14:paraId="2C358600">
                            <w:pPr>
                              <w:spacing w:line="240" w:lineRule="auto"/>
                              <w:jc w:val="center"/>
                              <w:rPr>
                                <w:rFonts w:hint="eastAsia"/>
                                <w:b/>
                                <w:bCs/>
                                <w:lang w:val="en-US" w:eastAsia="zh-CN"/>
                              </w:rPr>
                            </w:pPr>
                            <w:r>
                              <w:rPr>
                                <w:rFonts w:hint="eastAsia" w:ascii="Times New Roman" w:eastAsia="宋体"/>
                                <w:b/>
                                <w:bCs/>
                                <w:lang w:val="en-US" w:eastAsia="zh-CN"/>
                              </w:rPr>
                              <w:t>图 例</w:t>
                            </w:r>
                          </w:p>
                          <w:p w14:paraId="3124EBEE">
                            <w:pPr>
                              <w:jc w:val="center"/>
                              <w:rPr>
                                <w:rFonts w:hint="eastAsia"/>
                                <w:b/>
                                <w:bCs/>
                                <w:lang w:val="en-US" w:eastAsia="zh-CN"/>
                              </w:rPr>
                            </w:pPr>
                            <w:r>
                              <w:rPr>
                                <w:rFonts w:hint="eastAsia" w:ascii="Times New Roman" w:eastAsia="宋体"/>
                                <w:b/>
                                <w:bCs/>
                                <w:lang w:val="en-US" w:eastAsia="zh-CN"/>
                              </w:rPr>
                              <w:t>：生态保护红线</w:t>
                            </w:r>
                          </w:p>
                          <w:p w14:paraId="2AB08559">
                            <w:pPr>
                              <w:jc w:val="center"/>
                              <w:rPr>
                                <w:rFonts w:hint="default"/>
                                <w:b/>
                                <w:bCs/>
                                <w:lang w:val="en-US" w:eastAsia="zh-CN"/>
                              </w:rPr>
                            </w:pPr>
                            <w:r>
                              <w:rPr>
                                <w:rFonts w:hint="eastAsia" w:ascii="Times New Roman" w:eastAsia="宋体"/>
                                <w:b/>
                                <w:bCs/>
                                <w:lang w:val="en-US" w:eastAsia="zh-CN"/>
                              </w:rPr>
                              <w:t>：永久基本农田</w:t>
                            </w:r>
                          </w:p>
                          <w:p w14:paraId="11E621BE">
                            <w:pPr>
                              <w:jc w:val="center"/>
                              <w:rPr>
                                <w:rFonts w:hint="default"/>
                                <w:b/>
                                <w:bCs/>
                                <w:lang w:val="en-US" w:eastAsia="zh-CN"/>
                              </w:rPr>
                            </w:pPr>
                            <w:r>
                              <w:rPr>
                                <w:rFonts w:hint="eastAsia" w:ascii="Times New Roman" w:eastAsia="宋体"/>
                                <w:b/>
                                <w:bCs/>
                                <w:lang w:val="en-US" w:eastAsia="zh-CN"/>
                              </w:rPr>
                              <w:t>：城镇开发边界</w:t>
                            </w:r>
                          </w:p>
                        </w:txbxContent>
                      </wps:txbx>
                      <wps:bodyPr vert="horz" wrap="square" anchor="t" anchorCtr="0" upright="1"/>
                    </wps:wsp>
                  </a:graphicData>
                </a:graphic>
              </wp:anchor>
            </w:drawing>
          </mc:Choice>
          <mc:Fallback>
            <w:pict>
              <v:rect id="矩形 14" o:spid="_x0000_s1026" o:spt="1" style="position:absolute;left:0pt;margin-left:72.9pt;margin-top:360.45pt;height:88.45pt;width:126.65pt;z-index:251707392;mso-width-relative:page;mso-height-relative:page;" fillcolor="#FFFFFF" filled="t" stroked="t" coordsize="21600,21600" o:gfxdata="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HdzekXcAAAACwEAAA8AAAAAAAAAAQAgAAAAIgAAAGRycy9kb3ducmV2&#10;LnhtbFBLAQIUABQAAAAIAIdO4kBo8GL7MQIAAIAEAAAOAAAAAAAAAAEAIAAAACsBAABkcnMvZTJv&#10;RG9jLnhtbFBLBQYAAAAABgAGAFkBAADOBQAAAAA=&#10;">
                <v:fill on="t" opacity="26213f" focussize="0,0"/>
                <v:stroke color="#000000" joinstyle="miter"/>
                <v:imagedata o:title=""/>
                <o:lock v:ext="edit" aspectratio="f"/>
                <v:textbox>
                  <w:txbxContent>
                    <w:p w14:paraId="2C358600">
                      <w:pPr>
                        <w:spacing w:line="240" w:lineRule="auto"/>
                        <w:jc w:val="center"/>
                        <w:rPr>
                          <w:rFonts w:hint="eastAsia"/>
                          <w:b/>
                          <w:bCs/>
                          <w:lang w:val="en-US" w:eastAsia="zh-CN"/>
                        </w:rPr>
                      </w:pPr>
                      <w:r>
                        <w:rPr>
                          <w:rFonts w:hint="eastAsia" w:ascii="Times New Roman" w:eastAsia="宋体"/>
                          <w:b/>
                          <w:bCs/>
                          <w:lang w:val="en-US" w:eastAsia="zh-CN"/>
                        </w:rPr>
                        <w:t>图 例</w:t>
                      </w:r>
                    </w:p>
                    <w:p w14:paraId="3124EBEE">
                      <w:pPr>
                        <w:jc w:val="center"/>
                        <w:rPr>
                          <w:rFonts w:hint="eastAsia"/>
                          <w:b/>
                          <w:bCs/>
                          <w:lang w:val="en-US" w:eastAsia="zh-CN"/>
                        </w:rPr>
                      </w:pPr>
                      <w:r>
                        <w:rPr>
                          <w:rFonts w:hint="eastAsia" w:ascii="Times New Roman" w:eastAsia="宋体"/>
                          <w:b/>
                          <w:bCs/>
                          <w:lang w:val="en-US" w:eastAsia="zh-CN"/>
                        </w:rPr>
                        <w:t>：生态保护红线</w:t>
                      </w:r>
                    </w:p>
                    <w:p w14:paraId="2AB08559">
                      <w:pPr>
                        <w:jc w:val="center"/>
                        <w:rPr>
                          <w:rFonts w:hint="default"/>
                          <w:b/>
                          <w:bCs/>
                          <w:lang w:val="en-US" w:eastAsia="zh-CN"/>
                        </w:rPr>
                      </w:pPr>
                      <w:r>
                        <w:rPr>
                          <w:rFonts w:hint="eastAsia" w:ascii="Times New Roman" w:eastAsia="宋体"/>
                          <w:b/>
                          <w:bCs/>
                          <w:lang w:val="en-US" w:eastAsia="zh-CN"/>
                        </w:rPr>
                        <w:t>：永久基本农田</w:t>
                      </w:r>
                    </w:p>
                    <w:p w14:paraId="11E621BE">
                      <w:pPr>
                        <w:jc w:val="center"/>
                        <w:rPr>
                          <w:rFonts w:hint="default"/>
                          <w:b/>
                          <w:bCs/>
                          <w:lang w:val="en-US" w:eastAsia="zh-CN"/>
                        </w:rPr>
                      </w:pPr>
                      <w:r>
                        <w:rPr>
                          <w:rFonts w:hint="eastAsia" w:ascii="Times New Roman" w:eastAsia="宋体"/>
                          <w:b/>
                          <w:bCs/>
                          <w:lang w:val="en-US" w:eastAsia="zh-CN"/>
                        </w:rPr>
                        <w:t>：城镇开发边界</w:t>
                      </w:r>
                    </w:p>
                  </w:txbxContent>
                </v:textbox>
              </v:rect>
            </w:pict>
          </mc:Fallback>
        </mc:AlternateContent>
      </w:r>
      <w:r>
        <w:rPr>
          <w:rFonts w:ascii="Times New Roman" w:hAnsi="Times New Roman" w:eastAsia="宋体" w:cs="Times New Roman"/>
          <w:color w:val="auto"/>
          <w:kern w:val="2"/>
          <w:sz w:val="24"/>
          <w:szCs w:val="22"/>
          <w:highlight w:val="none"/>
          <w:lang w:val="en-US" w:eastAsia="zh-CN" w:bidi="ar-SA"/>
        </w:rPr>
        <w:drawing>
          <wp:anchor distT="0" distB="0" distL="114300" distR="114300" simplePos="0" relativeHeight="251692032" behindDoc="0" locked="0" layoutInCell="1" allowOverlap="1">
            <wp:simplePos x="0" y="0"/>
            <wp:positionH relativeFrom="column">
              <wp:posOffset>915670</wp:posOffset>
            </wp:positionH>
            <wp:positionV relativeFrom="paragraph">
              <wp:posOffset>53975</wp:posOffset>
            </wp:positionV>
            <wp:extent cx="1073150" cy="1005840"/>
            <wp:effectExtent l="0" t="0" r="12700" b="3810"/>
            <wp:wrapNone/>
            <wp:docPr id="37" name="图片 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89"/>
                    <pic:cNvPicPr>
                      <a:picLocks noChangeAspect="1"/>
                    </pic:cNvPicPr>
                  </pic:nvPicPr>
                  <pic:blipFill>
                    <a:blip r:embed="rId83"/>
                    <a:stretch>
                      <a:fillRect/>
                    </a:stretch>
                  </pic:blipFill>
                  <pic:spPr>
                    <a:xfrm>
                      <a:off x="0" y="0"/>
                      <a:ext cx="1073150" cy="1005840"/>
                    </a:xfrm>
                    <a:prstGeom prst="rect">
                      <a:avLst/>
                    </a:prstGeom>
                    <a:noFill/>
                    <a:ln>
                      <a:noFill/>
                    </a:ln>
                  </pic:spPr>
                </pic:pic>
              </a:graphicData>
            </a:graphic>
          </wp:anchor>
        </w:drawing>
      </w:r>
      <w:r>
        <w:rPr>
          <w:rFonts w:ascii="Times New Roman" w:hAnsi="Times New Roman" w:eastAsia="宋体" w:cs="Times New Roman"/>
          <w:color w:val="auto"/>
          <w:kern w:val="2"/>
          <w:sz w:val="24"/>
          <w:szCs w:val="22"/>
          <w:highlight w:val="none"/>
          <w:lang w:val="en-US" w:eastAsia="zh-CN" w:bidi="ar-SA"/>
        </w:rPr>
        <mc:AlternateContent>
          <mc:Choice Requires="wps">
            <w:drawing>
              <wp:anchor distT="0" distB="0" distL="114300" distR="114300" simplePos="0" relativeHeight="251671552" behindDoc="0" locked="0" layoutInCell="1" allowOverlap="1">
                <wp:simplePos x="0" y="0"/>
                <wp:positionH relativeFrom="column">
                  <wp:posOffset>4549775</wp:posOffset>
                </wp:positionH>
                <wp:positionV relativeFrom="paragraph">
                  <wp:posOffset>1430655</wp:posOffset>
                </wp:positionV>
                <wp:extent cx="777875" cy="365760"/>
                <wp:effectExtent l="4445" t="4445" r="246380" b="353695"/>
                <wp:wrapNone/>
                <wp:docPr id="15" name="自选图形 1855"/>
                <wp:cNvGraphicFramePr/>
                <a:graphic xmlns:a="http://schemas.openxmlformats.org/drawingml/2006/main">
                  <a:graphicData uri="http://schemas.microsoft.com/office/word/2010/wordprocessingShape">
                    <wps:wsp>
                      <wps:cNvSpPr/>
                      <wps:spPr>
                        <a:xfrm>
                          <a:off x="0" y="0"/>
                          <a:ext cx="777875" cy="365760"/>
                        </a:xfrm>
                        <a:prstGeom prst="wedgeRoundRectCallout">
                          <a:avLst>
                            <a:gd name="adj1" fmla="val 76366"/>
                            <a:gd name="adj2" fmla="val 137847"/>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08B648D4">
                            <w:pPr>
                              <w:rPr>
                                <w:rFonts w:hint="default" w:eastAsia="宋体"/>
                                <w:b/>
                                <w:bCs/>
                                <w:color w:val="auto"/>
                                <w:lang w:val="en-US" w:eastAsia="zh-CN"/>
                              </w:rPr>
                            </w:pPr>
                            <w:r>
                              <w:rPr>
                                <w:rFonts w:hint="eastAsia" w:ascii="Times New Roman" w:eastAsia="宋体"/>
                                <w:b/>
                                <w:bCs/>
                                <w:color w:val="auto"/>
                                <w:lang w:val="en-US" w:eastAsia="zh-CN"/>
                              </w:rPr>
                              <w:t>项目选址</w:t>
                            </w:r>
                          </w:p>
                        </w:txbxContent>
                      </wps:txbx>
                      <wps:bodyPr vert="horz" wrap="square" anchor="t" anchorCtr="0" upright="1"/>
                    </wps:wsp>
                  </a:graphicData>
                </a:graphic>
              </wp:anchor>
            </w:drawing>
          </mc:Choice>
          <mc:Fallback>
            <w:pict>
              <v:shape id="自选图形 1855" o:spid="_x0000_s1026" o:spt="62" type="#_x0000_t62" style="position:absolute;left:0pt;margin-left:358.25pt;margin-top:112.65pt;height:28.8pt;width:61.25pt;z-index:251671552;mso-width-relative:page;mso-height-relative:page;" fillcolor="#FFFFFF" filled="t" stroked="t" coordsize="21600,21600" o:gfxdata="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4UYSz2QAAAAsBAAAPAAAAAAAAAAEAIAAAACIAAABkcnMvZG93bnJldi54bWxQ&#10;SwECFAAUAAAACACHTuJAiVOximgCAADsBAAADgAAAAAAAAABACAAAAAoAQAAZHJzL2Uyb0RvYy54&#10;bWxQSwUGAAAAAAYABgBZAQAAAgYAAAAA&#10;" adj="27295,40575,14400">
                <v:fill on="t" focussize="0,0"/>
                <v:stroke color="#000000" joinstyle="miter"/>
                <v:imagedata o:title=""/>
                <o:lock v:ext="edit" aspectratio="f"/>
                <v:textbox>
                  <w:txbxContent>
                    <w:p w14:paraId="08B648D4">
                      <w:pPr>
                        <w:rPr>
                          <w:rFonts w:hint="default" w:eastAsia="宋体"/>
                          <w:b/>
                          <w:bCs/>
                          <w:color w:val="auto"/>
                          <w:lang w:val="en-US" w:eastAsia="zh-CN"/>
                        </w:rPr>
                      </w:pPr>
                      <w:r>
                        <w:rPr>
                          <w:rFonts w:hint="eastAsia" w:ascii="Times New Roman" w:eastAsia="宋体"/>
                          <w:b/>
                          <w:bCs/>
                          <w:color w:val="auto"/>
                          <w:lang w:val="en-US" w:eastAsia="zh-CN"/>
                        </w:rPr>
                        <w:t>项目选址</w:t>
                      </w:r>
                    </w:p>
                  </w:txbxContent>
                </v:textbox>
              </v:shape>
            </w:pict>
          </mc:Fallback>
        </mc:AlternateContent>
      </w:r>
      <w:r>
        <w:rPr>
          <w:rFonts w:ascii="Times New Roman" w:hAnsi="Times New Roman" w:eastAsia="宋体" w:cs="Times New Roman"/>
          <w:color w:val="auto"/>
          <w:kern w:val="2"/>
          <w:sz w:val="24"/>
          <w:szCs w:val="22"/>
          <w:highlight w:val="none"/>
          <w:lang w:val="en-US" w:eastAsia="zh-CN" w:bidi="ar-SA"/>
        </w:rPr>
        <w:drawing>
          <wp:inline distT="0" distB="0" distL="114300" distR="114300">
            <wp:extent cx="7082790" cy="5649595"/>
            <wp:effectExtent l="0" t="0" r="3810" b="8255"/>
            <wp:docPr id="128" name="图片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586"/>
                    <pic:cNvPicPr>
                      <a:picLocks noChangeAspect="1"/>
                    </pic:cNvPicPr>
                  </pic:nvPicPr>
                  <pic:blipFill>
                    <a:blip r:embed="rId84"/>
                    <a:stretch>
                      <a:fillRect/>
                    </a:stretch>
                  </pic:blipFill>
                  <pic:spPr>
                    <a:xfrm>
                      <a:off x="0" y="0"/>
                      <a:ext cx="7082790" cy="5649595"/>
                    </a:xfrm>
                    <a:prstGeom prst="rect">
                      <a:avLst/>
                    </a:prstGeom>
                    <a:noFill/>
                    <a:ln>
                      <a:noFill/>
                    </a:ln>
                  </pic:spPr>
                </pic:pic>
              </a:graphicData>
            </a:graphic>
          </wp:inline>
        </w:drawing>
      </w:r>
    </w:p>
    <w:p w14:paraId="17B0AEA2">
      <w:pPr>
        <w:spacing w:line="240" w:lineRule="auto"/>
        <w:jc w:val="center"/>
        <w:outlineLvl w:val="0"/>
        <w:rPr>
          <w:rFonts w:hint="default" w:ascii="Times New Roman" w:hAnsi="Times New Roman" w:eastAsia="宋体" w:cs="Times New Roman"/>
          <w:b/>
          <w:bCs/>
          <w:color w:val="auto"/>
          <w:kern w:val="2"/>
          <w:sz w:val="24"/>
          <w:szCs w:val="24"/>
          <w:highlight w:val="none"/>
          <w:lang w:val="en-US" w:eastAsia="zh-CN" w:bidi="ar-SA"/>
        </w:rPr>
      </w:pPr>
      <w:bookmarkStart w:id="112" w:name="_Toc22255"/>
      <w:bookmarkStart w:id="113" w:name="_Toc11664"/>
      <w:bookmarkStart w:id="114" w:name="_Toc5326"/>
      <w:bookmarkStart w:id="115" w:name="_Toc8794"/>
      <w:r>
        <w:rPr>
          <w:rFonts w:hint="eastAsia" w:ascii="Times New Roman" w:hAnsi="Times New Roman" w:eastAsia="宋体" w:cs="Times New Roman"/>
          <w:b/>
          <w:bCs/>
          <w:color w:val="auto"/>
          <w:kern w:val="2"/>
          <w:sz w:val="24"/>
          <w:szCs w:val="24"/>
          <w:highlight w:val="none"/>
          <w:lang w:val="en-US" w:eastAsia="zh-CN" w:bidi="ar-SA"/>
        </w:rPr>
        <w:t>附图13 项目与广东省“三区三线”的位置关系</w:t>
      </w:r>
      <w:r>
        <w:rPr>
          <w:rFonts w:hint="default" w:ascii="Times New Roman" w:hAnsi="Times New Roman" w:eastAsia="宋体" w:cs="Times New Roman"/>
          <w:b/>
          <w:bCs/>
          <w:color w:val="auto"/>
          <w:kern w:val="2"/>
          <w:sz w:val="24"/>
          <w:szCs w:val="24"/>
          <w:highlight w:val="none"/>
          <w:lang w:val="en-US" w:eastAsia="zh-CN" w:bidi="ar-SA"/>
        </w:rPr>
        <w:t>图</w:t>
      </w:r>
      <w:bookmarkEnd w:id="112"/>
      <w:bookmarkEnd w:id="113"/>
      <w:bookmarkEnd w:id="114"/>
      <w:bookmarkEnd w:id="115"/>
    </w:p>
    <w:p w14:paraId="2D775DE0">
      <w:pPr>
        <w:spacing w:line="240" w:lineRule="auto"/>
        <w:jc w:val="center"/>
        <w:outlineLvl w:val="0"/>
        <w:rPr>
          <w:rFonts w:hint="default" w:ascii="Times New Roman" w:hAnsi="Times New Roman" w:eastAsia="宋体" w:cs="Times New Roman"/>
          <w:b/>
          <w:bCs/>
          <w:color w:val="auto"/>
          <w:kern w:val="2"/>
          <w:sz w:val="24"/>
          <w:szCs w:val="24"/>
          <w:highlight w:val="none"/>
          <w:lang w:val="en-US" w:eastAsia="zh-CN" w:bidi="ar-SA"/>
        </w:rPr>
        <w:sectPr>
          <w:pgSz w:w="16783" w:h="11850" w:orient="landscape"/>
          <w:pgMar w:top="1020" w:right="1417" w:bottom="964" w:left="1417" w:header="850" w:footer="964" w:gutter="340"/>
          <w:pgBorders>
            <w:top w:val="none" w:sz="0" w:space="0"/>
            <w:left w:val="none" w:sz="0" w:space="0"/>
            <w:bottom w:val="none" w:sz="0" w:space="0"/>
            <w:right w:val="none" w:sz="0" w:space="0"/>
          </w:pgBorders>
          <w:pgNumType w:fmt="decimal"/>
          <w:cols w:space="720" w:num="1"/>
          <w:docGrid w:type="lines" w:linePitch="412" w:charSpace="0"/>
        </w:sectPr>
      </w:pPr>
    </w:p>
    <w:bookmarkEnd w:id="82"/>
    <w:bookmarkEnd w:id="83"/>
    <w:p w14:paraId="39CCCB1F">
      <w:pPr>
        <w:spacing w:line="240" w:lineRule="auto"/>
        <w:jc w:val="center"/>
        <w:outlineLvl w:val="9"/>
        <w:rPr>
          <w:color w:val="auto"/>
          <w:highlight w:val="none"/>
        </w:rPr>
      </w:pPr>
      <w:bookmarkStart w:id="116" w:name="_Toc25812"/>
      <w:bookmarkStart w:id="117" w:name="_Toc1930"/>
      <w:bookmarkStart w:id="118" w:name="_Toc8158"/>
      <w:bookmarkStart w:id="119" w:name="_Toc23573"/>
      <w:bookmarkStart w:id="120" w:name="_Toc11854"/>
      <w:r>
        <w:rPr>
          <w:color w:val="auto"/>
          <w:highlight w:val="none"/>
        </w:rPr>
        <w:drawing>
          <wp:inline distT="0" distB="0" distL="114300" distR="114300">
            <wp:extent cx="7844790" cy="5240655"/>
            <wp:effectExtent l="0" t="0" r="3810" b="17145"/>
            <wp:docPr id="129" name="图片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583"/>
                    <pic:cNvPicPr>
                      <a:picLocks noChangeAspect="1"/>
                    </pic:cNvPicPr>
                  </pic:nvPicPr>
                  <pic:blipFill>
                    <a:blip r:embed="rId85"/>
                    <a:stretch>
                      <a:fillRect/>
                    </a:stretch>
                  </pic:blipFill>
                  <pic:spPr>
                    <a:xfrm>
                      <a:off x="0" y="0"/>
                      <a:ext cx="7844790" cy="5240655"/>
                    </a:xfrm>
                    <a:prstGeom prst="rect">
                      <a:avLst/>
                    </a:prstGeom>
                    <a:noFill/>
                    <a:ln>
                      <a:noFill/>
                    </a:ln>
                  </pic:spPr>
                </pic:pic>
              </a:graphicData>
            </a:graphic>
          </wp:inline>
        </w:drawing>
      </w:r>
    </w:p>
    <w:p w14:paraId="6258EB3B">
      <w:pPr>
        <w:widowControl w:val="0"/>
        <w:autoSpaceDE w:val="0"/>
        <w:autoSpaceDN w:val="0"/>
        <w:adjustRightInd w:val="0"/>
        <w:jc w:val="center"/>
        <w:outlineLvl w:val="9"/>
        <w:rPr>
          <w:rFonts w:ascii="宋体....." w:hAnsi="Times New Roman" w:eastAsia="宋体....." w:cs="宋体....."/>
          <w:color w:val="auto"/>
          <w:kern w:val="2"/>
          <w:sz w:val="24"/>
          <w:szCs w:val="24"/>
          <w:highlight w:val="none"/>
          <w:lang w:val="en-US" w:eastAsia="zh-CN" w:bidi="ar-SA"/>
        </w:rPr>
      </w:pPr>
      <w:bookmarkStart w:id="121" w:name="_Toc25232"/>
      <w:bookmarkStart w:id="122" w:name="_Toc22069"/>
      <w:r>
        <w:rPr>
          <w:rFonts w:hint="eastAsia" w:ascii="Times New Roman" w:hAnsi="Times New Roman" w:eastAsia="宋体....." w:cs="Times New Roman"/>
          <w:b/>
          <w:bCs/>
          <w:color w:val="auto"/>
          <w:kern w:val="2"/>
          <w:sz w:val="24"/>
          <w:szCs w:val="24"/>
          <w:highlight w:val="none"/>
          <w:lang w:val="en-US" w:eastAsia="zh-CN" w:bidi="ar-SA"/>
        </w:rPr>
        <w:t>附图14-1 广东省</w:t>
      </w:r>
      <w:r>
        <w:rPr>
          <w:rFonts w:hint="eastAsia" w:eastAsia="宋体....." w:cs="Times New Roman"/>
          <w:b/>
          <w:bCs/>
          <w:color w:val="auto"/>
          <w:kern w:val="2"/>
          <w:sz w:val="24"/>
          <w:szCs w:val="24"/>
          <w:highlight w:val="none"/>
          <w:lang w:val="en-US" w:eastAsia="zh-CN" w:bidi="ar-SA"/>
        </w:rPr>
        <w:t>生态环境分区</w:t>
      </w:r>
      <w:r>
        <w:rPr>
          <w:rFonts w:hint="eastAsia" w:ascii="Times New Roman" w:hAnsi="Times New Roman" w:eastAsia="宋体....." w:cs="Times New Roman"/>
          <w:b/>
          <w:bCs/>
          <w:color w:val="auto"/>
          <w:kern w:val="2"/>
          <w:sz w:val="24"/>
          <w:szCs w:val="24"/>
          <w:highlight w:val="none"/>
          <w:lang w:val="en-US" w:eastAsia="zh-CN" w:bidi="ar-SA"/>
        </w:rPr>
        <w:t>管控</w:t>
      </w:r>
      <w:r>
        <w:rPr>
          <w:rFonts w:hint="eastAsia" w:eastAsia="宋体....." w:cs="Times New Roman"/>
          <w:b/>
          <w:bCs/>
          <w:color w:val="auto"/>
          <w:kern w:val="2"/>
          <w:sz w:val="24"/>
          <w:szCs w:val="24"/>
          <w:highlight w:val="none"/>
          <w:lang w:val="en-US" w:eastAsia="zh-CN" w:bidi="ar-SA"/>
        </w:rPr>
        <w:t>信息平台</w:t>
      </w:r>
      <w:r>
        <w:rPr>
          <w:rFonts w:hint="eastAsia" w:ascii="Times New Roman" w:hAnsi="Times New Roman" w:eastAsia="宋体....." w:cs="Times New Roman"/>
          <w:b/>
          <w:bCs/>
          <w:color w:val="auto"/>
          <w:kern w:val="2"/>
          <w:sz w:val="24"/>
          <w:szCs w:val="24"/>
          <w:highlight w:val="none"/>
          <w:lang w:val="en-US" w:eastAsia="zh-CN" w:bidi="ar-SA"/>
        </w:rPr>
        <w:t>陆域环境管控单元截图</w:t>
      </w:r>
      <w:bookmarkEnd w:id="121"/>
      <w:bookmarkEnd w:id="122"/>
      <w:bookmarkStart w:id="123" w:name="_Toc7275"/>
      <w:bookmarkStart w:id="124" w:name="_Toc21069"/>
      <w:r>
        <w:rPr>
          <w:rFonts w:hint="eastAsia" w:ascii="Times New Roman" w:hAnsi="Times New Roman" w:eastAsia="宋体....." w:cs="Times New Roman"/>
          <w:b/>
          <w:bCs/>
          <w:color w:val="auto"/>
          <w:kern w:val="2"/>
          <w:sz w:val="24"/>
          <w:szCs w:val="24"/>
          <w:highlight w:val="none"/>
          <w:lang w:val="en-US" w:eastAsia="zh-CN" w:bidi="ar-SA"/>
        </w:rPr>
        <w:br w:type="page"/>
      </w:r>
      <w:bookmarkEnd w:id="123"/>
      <w:bookmarkEnd w:id="124"/>
      <w:r>
        <w:rPr>
          <w:rFonts w:ascii="宋体....." w:hAnsi="Times New Roman" w:eastAsia="宋体....." w:cs="宋体....."/>
          <w:color w:val="auto"/>
          <w:kern w:val="2"/>
          <w:sz w:val="24"/>
          <w:szCs w:val="24"/>
          <w:highlight w:val="none"/>
          <w:lang w:val="en-US" w:eastAsia="zh-CN" w:bidi="ar-SA"/>
        </w:rPr>
        <w:drawing>
          <wp:inline distT="0" distB="0" distL="114300" distR="114300">
            <wp:extent cx="9058910" cy="5504180"/>
            <wp:effectExtent l="0" t="0" r="8890" b="1270"/>
            <wp:docPr id="130" name="图片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585"/>
                    <pic:cNvPicPr>
                      <a:picLocks noChangeAspect="1"/>
                    </pic:cNvPicPr>
                  </pic:nvPicPr>
                  <pic:blipFill>
                    <a:blip r:embed="rId86"/>
                    <a:srcRect r="7420"/>
                    <a:stretch>
                      <a:fillRect/>
                    </a:stretch>
                  </pic:blipFill>
                  <pic:spPr>
                    <a:xfrm>
                      <a:off x="0" y="0"/>
                      <a:ext cx="9058910" cy="5504180"/>
                    </a:xfrm>
                    <a:prstGeom prst="rect">
                      <a:avLst/>
                    </a:prstGeom>
                    <a:noFill/>
                    <a:ln>
                      <a:noFill/>
                    </a:ln>
                  </pic:spPr>
                </pic:pic>
              </a:graphicData>
            </a:graphic>
          </wp:inline>
        </w:drawing>
      </w:r>
    </w:p>
    <w:p w14:paraId="659986EB">
      <w:pPr>
        <w:widowControl w:val="0"/>
        <w:autoSpaceDE w:val="0"/>
        <w:autoSpaceDN w:val="0"/>
        <w:adjustRightInd w:val="0"/>
        <w:spacing w:line="240" w:lineRule="auto"/>
        <w:jc w:val="center"/>
        <w:outlineLvl w:val="9"/>
        <w:rPr>
          <w:rFonts w:ascii="宋体....." w:hAnsi="Times New Roman" w:eastAsia="宋体....." w:cs="宋体....."/>
          <w:color w:val="auto"/>
          <w:kern w:val="2"/>
          <w:sz w:val="24"/>
          <w:szCs w:val="24"/>
          <w:highlight w:val="none"/>
          <w:lang w:val="en-US" w:eastAsia="zh-CN" w:bidi="ar-SA"/>
        </w:rPr>
      </w:pPr>
      <w:bookmarkStart w:id="125" w:name="_Toc19902"/>
      <w:bookmarkStart w:id="126" w:name="_Toc5401"/>
      <w:bookmarkStart w:id="127" w:name="_Toc32560"/>
      <w:bookmarkStart w:id="128" w:name="_Toc5474"/>
      <w:r>
        <w:rPr>
          <w:rFonts w:hint="eastAsia" w:ascii="Times New Roman" w:hAnsi="Times New Roman" w:eastAsia="宋体....." w:cs="Times New Roman"/>
          <w:b/>
          <w:bCs/>
          <w:color w:val="auto"/>
          <w:kern w:val="2"/>
          <w:sz w:val="24"/>
          <w:szCs w:val="24"/>
          <w:highlight w:val="none"/>
          <w:lang w:val="en-US" w:eastAsia="zh-CN" w:bidi="ar-SA"/>
        </w:rPr>
        <w:t>附图14-2 广东省</w:t>
      </w:r>
      <w:r>
        <w:rPr>
          <w:rFonts w:hint="eastAsia" w:eastAsia="宋体....." w:cs="Times New Roman"/>
          <w:b/>
          <w:bCs/>
          <w:color w:val="auto"/>
          <w:kern w:val="2"/>
          <w:sz w:val="24"/>
          <w:szCs w:val="24"/>
          <w:highlight w:val="none"/>
          <w:lang w:val="en-US" w:eastAsia="zh-CN" w:bidi="ar-SA"/>
        </w:rPr>
        <w:t>生态环境分区管控信息平台</w:t>
      </w:r>
      <w:r>
        <w:rPr>
          <w:rFonts w:hint="eastAsia" w:ascii="Times New Roman" w:hAnsi="Times New Roman" w:eastAsia="宋体....." w:cs="Times New Roman"/>
          <w:b/>
          <w:bCs/>
          <w:color w:val="auto"/>
          <w:kern w:val="2"/>
          <w:sz w:val="24"/>
          <w:szCs w:val="24"/>
          <w:highlight w:val="none"/>
          <w:lang w:val="en-US" w:eastAsia="zh-CN" w:bidi="ar-SA"/>
        </w:rPr>
        <w:t>生态空间一般管控区截图</w:t>
      </w:r>
      <w:bookmarkEnd w:id="125"/>
      <w:bookmarkEnd w:id="126"/>
      <w:r>
        <w:rPr>
          <w:rFonts w:hint="eastAsia" w:ascii="Times New Roman" w:hAnsi="Times New Roman" w:eastAsia="宋体....." w:cs="Times New Roman"/>
          <w:b/>
          <w:bCs/>
          <w:color w:val="auto"/>
          <w:kern w:val="2"/>
          <w:sz w:val="24"/>
          <w:szCs w:val="24"/>
          <w:highlight w:val="none"/>
          <w:lang w:val="en-US" w:eastAsia="zh-CN" w:bidi="ar-SA"/>
        </w:rPr>
        <w:br w:type="page"/>
      </w:r>
      <w:bookmarkEnd w:id="127"/>
      <w:bookmarkEnd w:id="128"/>
      <w:r>
        <w:rPr>
          <w:rFonts w:ascii="宋体....." w:hAnsi="Times New Roman" w:eastAsia="宋体....." w:cs="宋体....."/>
          <w:color w:val="auto"/>
          <w:kern w:val="2"/>
          <w:sz w:val="24"/>
          <w:szCs w:val="24"/>
          <w:highlight w:val="none"/>
          <w:lang w:val="en-US" w:eastAsia="zh-CN" w:bidi="ar-SA"/>
        </w:rPr>
        <w:drawing>
          <wp:inline distT="0" distB="0" distL="114300" distR="114300">
            <wp:extent cx="8904605" cy="5494655"/>
            <wp:effectExtent l="0" t="0" r="10795" b="10795"/>
            <wp:docPr id="131" name="图片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587"/>
                    <pic:cNvPicPr>
                      <a:picLocks noChangeAspect="1"/>
                    </pic:cNvPicPr>
                  </pic:nvPicPr>
                  <pic:blipFill>
                    <a:blip r:embed="rId87"/>
                    <a:stretch>
                      <a:fillRect/>
                    </a:stretch>
                  </pic:blipFill>
                  <pic:spPr>
                    <a:xfrm>
                      <a:off x="0" y="0"/>
                      <a:ext cx="8904605" cy="5494655"/>
                    </a:xfrm>
                    <a:prstGeom prst="rect">
                      <a:avLst/>
                    </a:prstGeom>
                    <a:noFill/>
                    <a:ln>
                      <a:noFill/>
                    </a:ln>
                  </pic:spPr>
                </pic:pic>
              </a:graphicData>
            </a:graphic>
          </wp:inline>
        </w:drawing>
      </w:r>
    </w:p>
    <w:p w14:paraId="226D24BD">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outlineLvl w:val="0"/>
        <w:rPr>
          <w:rFonts w:hint="eastAsia" w:ascii="Times New Roman" w:hAnsi="Times New Roman" w:eastAsia="宋体....." w:cs="Times New Roman"/>
          <w:b/>
          <w:bCs/>
          <w:color w:val="auto"/>
          <w:kern w:val="2"/>
          <w:sz w:val="24"/>
          <w:szCs w:val="24"/>
          <w:highlight w:val="none"/>
          <w:lang w:val="en-US" w:eastAsia="zh-CN" w:bidi="ar-SA"/>
        </w:rPr>
      </w:pPr>
      <w:bookmarkStart w:id="129" w:name="_Toc17410"/>
      <w:bookmarkStart w:id="130" w:name="_Toc22769"/>
      <w:bookmarkStart w:id="131" w:name="_Toc25512"/>
      <w:bookmarkStart w:id="132" w:name="_Toc6221"/>
      <w:bookmarkStart w:id="133" w:name="_Toc805"/>
      <w:r>
        <w:rPr>
          <w:rFonts w:hint="eastAsia" w:ascii="Times New Roman" w:hAnsi="Times New Roman" w:eastAsia="宋体....." w:cs="Times New Roman"/>
          <w:b/>
          <w:bCs/>
          <w:color w:val="auto"/>
          <w:kern w:val="2"/>
          <w:sz w:val="24"/>
          <w:szCs w:val="24"/>
          <w:highlight w:val="none"/>
          <w:lang w:val="en-US" w:eastAsia="zh-CN" w:bidi="ar-SA"/>
        </w:rPr>
        <w:t>附图14-3 广东省</w:t>
      </w:r>
      <w:r>
        <w:rPr>
          <w:rFonts w:hint="eastAsia" w:eastAsia="宋体....." w:cs="Times New Roman"/>
          <w:b/>
          <w:bCs/>
          <w:color w:val="auto"/>
          <w:kern w:val="2"/>
          <w:sz w:val="24"/>
          <w:szCs w:val="24"/>
          <w:highlight w:val="none"/>
          <w:lang w:val="en-US" w:eastAsia="zh-CN" w:bidi="ar-SA"/>
        </w:rPr>
        <w:t>生态环境分区</w:t>
      </w:r>
      <w:r>
        <w:rPr>
          <w:rFonts w:hint="eastAsia" w:ascii="Times New Roman" w:hAnsi="Times New Roman" w:eastAsia="宋体....." w:cs="Times New Roman"/>
          <w:b/>
          <w:bCs/>
          <w:color w:val="auto"/>
          <w:kern w:val="2"/>
          <w:sz w:val="24"/>
          <w:szCs w:val="24"/>
          <w:highlight w:val="none"/>
          <w:lang w:val="en-US" w:eastAsia="zh-CN" w:bidi="ar-SA"/>
        </w:rPr>
        <w:t>管控</w:t>
      </w:r>
      <w:r>
        <w:rPr>
          <w:rFonts w:hint="eastAsia" w:eastAsia="宋体....." w:cs="Times New Roman"/>
          <w:b/>
          <w:bCs/>
          <w:color w:val="auto"/>
          <w:kern w:val="2"/>
          <w:sz w:val="24"/>
          <w:szCs w:val="24"/>
          <w:highlight w:val="none"/>
          <w:lang w:val="en-US" w:eastAsia="zh-CN" w:bidi="ar-SA"/>
        </w:rPr>
        <w:t>信息平台</w:t>
      </w:r>
      <w:r>
        <w:rPr>
          <w:rFonts w:hint="eastAsia" w:ascii="Times New Roman" w:hAnsi="Times New Roman" w:eastAsia="宋体....." w:cs="Times New Roman"/>
          <w:b/>
          <w:bCs/>
          <w:color w:val="auto"/>
          <w:kern w:val="2"/>
          <w:sz w:val="24"/>
          <w:szCs w:val="24"/>
          <w:highlight w:val="none"/>
          <w:lang w:val="en-US" w:eastAsia="zh-CN" w:bidi="ar-SA"/>
        </w:rPr>
        <w:t>水环境管控分区截图</w:t>
      </w:r>
      <w:bookmarkEnd w:id="129"/>
      <w:bookmarkEnd w:id="130"/>
      <w:bookmarkEnd w:id="131"/>
      <w:bookmarkEnd w:id="132"/>
      <w:bookmarkEnd w:id="133"/>
    </w:p>
    <w:p w14:paraId="4EB5C439">
      <w:pPr>
        <w:keepNext w:val="0"/>
        <w:keepLines w:val="0"/>
        <w:pageBreakBefore w:val="0"/>
        <w:widowControl w:val="0"/>
        <w:kinsoku/>
        <w:wordWrap/>
        <w:overflowPunct/>
        <w:topLinePunct w:val="0"/>
        <w:bidi w:val="0"/>
        <w:snapToGrid/>
        <w:spacing w:line="240" w:lineRule="auto"/>
        <w:ind w:left="200" w:hanging="420" w:hangingChars="200"/>
        <w:jc w:val="center"/>
        <w:textAlignment w:val="auto"/>
        <w:outlineLvl w:val="9"/>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4"/>
          <w:highlight w:val="none"/>
          <w:lang w:val="en-US" w:eastAsia="zh-CN" w:bidi="ar-SA"/>
        </w:rPr>
        <w:drawing>
          <wp:inline distT="0" distB="0" distL="114300" distR="114300">
            <wp:extent cx="8684260" cy="5390515"/>
            <wp:effectExtent l="0" t="0" r="2540" b="635"/>
            <wp:docPr id="132" name="图片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589"/>
                    <pic:cNvPicPr>
                      <a:picLocks noChangeAspect="1"/>
                    </pic:cNvPicPr>
                  </pic:nvPicPr>
                  <pic:blipFill>
                    <a:blip r:embed="rId88"/>
                    <a:stretch>
                      <a:fillRect/>
                    </a:stretch>
                  </pic:blipFill>
                  <pic:spPr>
                    <a:xfrm>
                      <a:off x="0" y="0"/>
                      <a:ext cx="8684260" cy="5390515"/>
                    </a:xfrm>
                    <a:prstGeom prst="rect">
                      <a:avLst/>
                    </a:prstGeom>
                    <a:noFill/>
                    <a:ln>
                      <a:noFill/>
                    </a:ln>
                  </pic:spPr>
                </pic:pic>
              </a:graphicData>
            </a:graphic>
          </wp:inline>
        </w:drawing>
      </w:r>
    </w:p>
    <w:p w14:paraId="54C1C762">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outlineLvl w:val="0"/>
        <w:rPr>
          <w:rFonts w:hint="eastAsia" w:ascii="Times New Roman" w:hAnsi="Times New Roman" w:eastAsia="宋体....." w:cs="Times New Roman"/>
          <w:b/>
          <w:bCs/>
          <w:color w:val="auto"/>
          <w:kern w:val="2"/>
          <w:sz w:val="24"/>
          <w:szCs w:val="24"/>
          <w:highlight w:val="none"/>
          <w:lang w:val="en-US" w:eastAsia="zh-CN" w:bidi="ar-SA"/>
        </w:rPr>
      </w:pPr>
      <w:bookmarkStart w:id="134" w:name="_Toc27132"/>
      <w:bookmarkStart w:id="135" w:name="_Toc10425"/>
      <w:bookmarkStart w:id="136" w:name="_Toc24743"/>
      <w:bookmarkStart w:id="137" w:name="_Toc29842"/>
      <w:bookmarkStart w:id="138" w:name="_Toc7227"/>
      <w:r>
        <w:rPr>
          <w:rFonts w:hint="eastAsia" w:ascii="Times New Roman" w:hAnsi="Times New Roman" w:eastAsia="宋体....." w:cs="Times New Roman"/>
          <w:b/>
          <w:bCs/>
          <w:color w:val="auto"/>
          <w:kern w:val="2"/>
          <w:sz w:val="24"/>
          <w:szCs w:val="24"/>
          <w:highlight w:val="none"/>
          <w:lang w:val="en-US" w:eastAsia="zh-CN" w:bidi="ar-SA"/>
        </w:rPr>
        <w:t>附图14-4 广东省</w:t>
      </w:r>
      <w:r>
        <w:rPr>
          <w:rFonts w:hint="eastAsia" w:eastAsia="宋体....." w:cs="Times New Roman"/>
          <w:b/>
          <w:bCs/>
          <w:color w:val="auto"/>
          <w:kern w:val="2"/>
          <w:sz w:val="24"/>
          <w:szCs w:val="24"/>
          <w:highlight w:val="none"/>
          <w:lang w:val="en-US" w:eastAsia="zh-CN" w:bidi="ar-SA"/>
        </w:rPr>
        <w:t>生态环境分区管控信息平台</w:t>
      </w:r>
      <w:r>
        <w:rPr>
          <w:rFonts w:hint="eastAsia" w:ascii="Times New Roman" w:hAnsi="Times New Roman" w:eastAsia="宋体....." w:cs="Times New Roman"/>
          <w:b/>
          <w:bCs/>
          <w:color w:val="auto"/>
          <w:kern w:val="2"/>
          <w:sz w:val="24"/>
          <w:szCs w:val="24"/>
          <w:highlight w:val="none"/>
          <w:lang w:val="en-US" w:eastAsia="zh-CN" w:bidi="ar-SA"/>
        </w:rPr>
        <w:t>大气环境管控分区截图</w:t>
      </w:r>
      <w:bookmarkEnd w:id="134"/>
      <w:bookmarkEnd w:id="135"/>
      <w:bookmarkEnd w:id="136"/>
      <w:bookmarkEnd w:id="137"/>
      <w:bookmarkEnd w:id="138"/>
    </w:p>
    <w:p w14:paraId="4871C1B9">
      <w:pPr>
        <w:keepNext w:val="0"/>
        <w:keepLines w:val="0"/>
        <w:pageBreakBefore w:val="0"/>
        <w:widowControl w:val="0"/>
        <w:kinsoku/>
        <w:wordWrap/>
        <w:overflowPunct/>
        <w:topLinePunct w:val="0"/>
        <w:bidi w:val="0"/>
        <w:snapToGrid/>
        <w:spacing w:line="240" w:lineRule="auto"/>
        <w:ind w:left="200" w:hanging="420" w:hangingChars="200"/>
        <w:jc w:val="center"/>
        <w:textAlignment w:val="auto"/>
        <w:outlineLvl w:val="9"/>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4"/>
          <w:highlight w:val="none"/>
          <w:lang w:val="en-US" w:eastAsia="zh-CN" w:bidi="ar-SA"/>
        </w:rPr>
        <w:drawing>
          <wp:inline distT="0" distB="0" distL="114300" distR="114300">
            <wp:extent cx="8442325" cy="5243830"/>
            <wp:effectExtent l="0" t="0" r="15875" b="13970"/>
            <wp:docPr id="133" name="图片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590"/>
                    <pic:cNvPicPr>
                      <a:picLocks noChangeAspect="1"/>
                    </pic:cNvPicPr>
                  </pic:nvPicPr>
                  <pic:blipFill>
                    <a:blip r:embed="rId89"/>
                    <a:stretch>
                      <a:fillRect/>
                    </a:stretch>
                  </pic:blipFill>
                  <pic:spPr>
                    <a:xfrm>
                      <a:off x="0" y="0"/>
                      <a:ext cx="8442325" cy="5243830"/>
                    </a:xfrm>
                    <a:prstGeom prst="rect">
                      <a:avLst/>
                    </a:prstGeom>
                    <a:noFill/>
                    <a:ln>
                      <a:noFill/>
                    </a:ln>
                  </pic:spPr>
                </pic:pic>
              </a:graphicData>
            </a:graphic>
          </wp:inline>
        </w:drawing>
      </w:r>
    </w:p>
    <w:p w14:paraId="39108E7A">
      <w:pPr>
        <w:keepNext w:val="0"/>
        <w:keepLines w:val="0"/>
        <w:pageBreakBefore w:val="0"/>
        <w:widowControl w:val="0"/>
        <w:kinsoku/>
        <w:wordWrap/>
        <w:overflowPunct/>
        <w:topLinePunct w:val="0"/>
        <w:bidi w:val="0"/>
        <w:snapToGrid/>
        <w:spacing w:line="240" w:lineRule="auto"/>
        <w:jc w:val="center"/>
        <w:textAlignment w:val="auto"/>
        <w:outlineLvl w:val="0"/>
        <w:rPr>
          <w:rFonts w:hint="eastAsia" w:ascii="Times New Roman" w:cs="Times New Roman"/>
          <w:b/>
          <w:bCs/>
          <w:color w:val="auto"/>
          <w:highlight w:val="none"/>
        </w:rPr>
        <w:sectPr>
          <w:footerReference r:id="rId16" w:type="default"/>
          <w:pgSz w:w="16781" w:h="11849" w:orient="landscape"/>
          <w:pgMar w:top="1213" w:right="1417" w:bottom="1213" w:left="1417" w:header="850" w:footer="794" w:gutter="340"/>
          <w:pgBorders>
            <w:top w:val="none" w:sz="0" w:space="0"/>
            <w:left w:val="none" w:sz="0" w:space="0"/>
            <w:bottom w:val="none" w:sz="0" w:space="0"/>
            <w:right w:val="none" w:sz="0" w:space="0"/>
          </w:pgBorders>
          <w:pgNumType w:fmt="decimal"/>
          <w:cols w:space="720" w:num="1"/>
          <w:docGrid w:type="lines" w:linePitch="434" w:charSpace="0"/>
        </w:sectPr>
      </w:pPr>
      <w:bookmarkStart w:id="139" w:name="_Toc22223"/>
      <w:bookmarkStart w:id="140" w:name="_Toc373"/>
      <w:bookmarkStart w:id="141" w:name="_Toc26344"/>
      <w:bookmarkStart w:id="142" w:name="_Toc29220"/>
      <w:bookmarkStart w:id="143" w:name="_Toc3375"/>
      <w:r>
        <w:rPr>
          <w:rFonts w:hint="eastAsia" w:ascii="Times New Roman" w:hAnsi="Times New Roman" w:eastAsia="宋体....." w:cs="Times New Roman"/>
          <w:b/>
          <w:bCs/>
          <w:color w:val="auto"/>
          <w:kern w:val="2"/>
          <w:sz w:val="24"/>
          <w:szCs w:val="24"/>
          <w:highlight w:val="none"/>
          <w:lang w:val="en-US" w:eastAsia="zh-CN" w:bidi="ar-SA"/>
        </w:rPr>
        <w:t>附图14-5 广东省</w:t>
      </w:r>
      <w:r>
        <w:rPr>
          <w:rFonts w:hint="eastAsia" w:eastAsia="宋体....." w:cs="Times New Roman"/>
          <w:b/>
          <w:bCs/>
          <w:color w:val="auto"/>
          <w:kern w:val="2"/>
          <w:sz w:val="24"/>
          <w:szCs w:val="24"/>
          <w:highlight w:val="none"/>
          <w:lang w:val="en-US" w:eastAsia="zh-CN" w:bidi="ar-SA"/>
        </w:rPr>
        <w:t>生态环境分区管控信息平台</w:t>
      </w:r>
      <w:r>
        <w:rPr>
          <w:rFonts w:hint="eastAsia" w:ascii="Times New Roman" w:hAnsi="Times New Roman" w:eastAsia="宋体....." w:cs="Times New Roman"/>
          <w:b/>
          <w:bCs/>
          <w:color w:val="auto"/>
          <w:kern w:val="2"/>
          <w:sz w:val="24"/>
          <w:szCs w:val="24"/>
          <w:highlight w:val="none"/>
          <w:lang w:val="en-US" w:eastAsia="zh-CN" w:bidi="ar-SA"/>
        </w:rPr>
        <w:t>高污染燃料禁燃区截图</w:t>
      </w:r>
      <w:bookmarkEnd w:id="139"/>
      <w:bookmarkEnd w:id="140"/>
      <w:bookmarkEnd w:id="141"/>
      <w:bookmarkEnd w:id="142"/>
      <w:bookmarkEnd w:id="143"/>
    </w:p>
    <w:p w14:paraId="0330DC25">
      <w:pPr>
        <w:keepNext w:val="0"/>
        <w:keepLines w:val="0"/>
        <w:pageBreakBefore w:val="0"/>
        <w:widowControl w:val="0"/>
        <w:kinsoku/>
        <w:wordWrap/>
        <w:overflowPunct/>
        <w:topLinePunct w:val="0"/>
        <w:bidi w:val="0"/>
        <w:snapToGrid/>
        <w:spacing w:line="240" w:lineRule="auto"/>
        <w:ind w:left="200" w:hanging="480" w:hangingChars="200"/>
        <w:jc w:val="center"/>
        <w:textAlignment w:val="auto"/>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kern w:val="2"/>
          <w:sz w:val="24"/>
          <w:szCs w:val="24"/>
          <w:lang w:val="en-US" w:eastAsia="zh-CN" w:bidi="ar-SA"/>
        </w:rPr>
        <mc:AlternateContent>
          <mc:Choice Requires="wpg">
            <w:drawing>
              <wp:anchor distT="0" distB="0" distL="114300" distR="114300" simplePos="0" relativeHeight="251777024" behindDoc="0" locked="0" layoutInCell="1" allowOverlap="1">
                <wp:simplePos x="0" y="0"/>
                <wp:positionH relativeFrom="column">
                  <wp:posOffset>3778250</wp:posOffset>
                </wp:positionH>
                <wp:positionV relativeFrom="paragraph">
                  <wp:posOffset>414020</wp:posOffset>
                </wp:positionV>
                <wp:extent cx="1651000" cy="795020"/>
                <wp:effectExtent l="12700" t="12700" r="31750" b="30480"/>
                <wp:wrapNone/>
                <wp:docPr id="134" name="组合 134"/>
                <wp:cNvGraphicFramePr/>
                <a:graphic xmlns:a="http://schemas.openxmlformats.org/drawingml/2006/main">
                  <a:graphicData uri="http://schemas.microsoft.com/office/word/2010/wordprocessingGroup">
                    <wpg:wgp>
                      <wpg:cNvGrpSpPr/>
                      <wpg:grpSpPr>
                        <a:xfrm>
                          <a:off x="0" y="0"/>
                          <a:ext cx="1651000" cy="795020"/>
                          <a:chOff x="9176" y="2798726"/>
                          <a:chExt cx="2600" cy="1252"/>
                        </a:xfrm>
                      </wpg:grpSpPr>
                      <wps:wsp>
                        <wps:cNvPr id="42" name="圆角矩形标注 26"/>
                        <wps:cNvSpPr/>
                        <wps:spPr>
                          <a:xfrm>
                            <a:off x="10142" y="2798726"/>
                            <a:ext cx="1635" cy="706"/>
                          </a:xfrm>
                          <a:prstGeom prst="wedgeRoundRectCallout">
                            <a:avLst>
                              <a:gd name="adj1" fmla="val -94709"/>
                              <a:gd name="adj2" fmla="val 93342"/>
                              <a:gd name="adj3" fmla="val 16667"/>
                            </a:avLst>
                          </a:prstGeom>
                          <a:solidFill>
                            <a:srgbClr val="D9D9D9"/>
                          </a:solidFill>
                          <a:ln w="25400" cap="flat" cmpd="sng">
                            <a:solidFill>
                              <a:srgbClr val="000000"/>
                            </a:solidFill>
                            <a:prstDash val="solid"/>
                            <a:round/>
                            <a:headEnd type="none" w="med" len="med"/>
                            <a:tailEnd type="none" w="med" len="med"/>
                          </a:ln>
                        </wps:spPr>
                        <wps:txbx>
                          <w:txbxContent>
                            <w:p w14:paraId="4F14C76D">
                              <w:pPr>
                                <w:jc w:val="center"/>
                                <w:rPr>
                                  <w:rFonts w:hint="eastAsia" w:eastAsia="宋体"/>
                                  <w:b/>
                                  <w:bCs/>
                                  <w:highlight w:val="none"/>
                                  <w:lang w:eastAsia="zh-CN"/>
                                </w:rPr>
                              </w:pPr>
                              <w:r>
                                <w:rPr>
                                  <w:rFonts w:hint="eastAsia" w:eastAsia="宋体"/>
                                  <w:b/>
                                  <w:bCs/>
                                  <w:highlight w:val="none"/>
                                  <w:lang w:eastAsia="zh-CN"/>
                                </w:rPr>
                                <w:t>项目位置</w:t>
                              </w:r>
                            </w:p>
                          </w:txbxContent>
                        </wps:txbx>
                        <wps:bodyPr vert="horz" wrap="square" anchor="ctr" anchorCtr="0" upright="1"/>
                      </wps:wsp>
                      <wps:wsp>
                        <wps:cNvPr id="293" name="五角星 293"/>
                        <wps:cNvSpPr/>
                        <wps:spPr>
                          <a:xfrm>
                            <a:off x="9176" y="2799546"/>
                            <a:ext cx="500" cy="433"/>
                          </a:xfrm>
                          <a:prstGeom prst="star5">
                            <a:avLst/>
                          </a:prstGeom>
                          <a:solidFill>
                            <a:srgbClr val="FFFF00"/>
                          </a:solidFill>
                          <a:ln w="25400" cap="flat" cmpd="sng" algn="ctr">
                            <a:solidFill>
                              <a:srgbClr val="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97.5pt;margin-top:32.6pt;height:62.6pt;width:130pt;z-index:251777024;mso-width-relative:page;mso-height-relative:page;" coordorigin="9176,2798726" coordsize="2600,1252" o:gfxdata="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">
                <o:lock v:ext="edit" aspectratio="f"/>
                <v:shape id="圆角矩形标注 26" o:spid="_x0000_s1026" o:spt="62" type="#_x0000_t62" style="position:absolute;left:10142;top:2798726;height:706;width:1635;v-text-anchor:middle;" fillcolor="#D9D9D9" filled="t" stroked="t" coordsize="21600,21600" o:gfxdata="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LagwvQAA&#10;ANsAAAAPAAAAAAAAAAEAIAAAACIAAABkcnMvZG93bnJldi54bWxQSwECFAAUAAAACACHTuJAMy8F&#10;njsAAAA5AAAAEAAAAAAAAAABACAAAAAMAQAAZHJzL3NoYXBleG1sLnhtbFBLBQYAAAAABgAGAFsB&#10;AAC2AwAAAAA=&#10;" adj="-9657,30962,14400">
                  <v:fill on="t" focussize="0,0"/>
                  <v:stroke weight="2pt" color="#000000" joinstyle="round"/>
                  <v:imagedata o:title=""/>
                  <o:lock v:ext="edit" aspectratio="f"/>
                  <v:textbox>
                    <w:txbxContent>
                      <w:p w14:paraId="4F14C76D">
                        <w:pPr>
                          <w:jc w:val="center"/>
                          <w:rPr>
                            <w:rFonts w:hint="eastAsia" w:eastAsia="宋体"/>
                            <w:b/>
                            <w:bCs/>
                            <w:highlight w:val="none"/>
                            <w:lang w:eastAsia="zh-CN"/>
                          </w:rPr>
                        </w:pPr>
                        <w:r>
                          <w:rPr>
                            <w:rFonts w:hint="eastAsia" w:eastAsia="宋体"/>
                            <w:b/>
                            <w:bCs/>
                            <w:highlight w:val="none"/>
                            <w:lang w:eastAsia="zh-CN"/>
                          </w:rPr>
                          <w:t>项目位置</w:t>
                        </w:r>
                      </w:p>
                    </w:txbxContent>
                  </v:textbox>
                </v:shape>
                <v:shape id="_x0000_s1026" o:spid="_x0000_s1026" style="position:absolute;left:9176;top:2799546;height:433;width:500;v-text-anchor:middle;" fillcolor="#FFFF00" filled="t" stroked="t" coordsize="500,433" o:gfxdata="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qLUj74A&#10;AADcAAAADwAAAAAAAAABACAAAAAiAAAAZHJzL2Rvd25yZXYueG1sUEsBAhQAFAAAAAgAh07iQDMv&#10;BZ47AAAAOQAAABAAAAAAAAAAAQAgAAAADQEAAGRycy9zaGFwZXhtbC54bWxQSwUGAAAAAAYABgBb&#10;AQAAtwMAAAAA&#10;" path="m0,165l190,165,250,0,309,165,499,165,345,267,404,432,250,330,95,432,154,267xe">
                  <v:path o:connectlocs="250,0;0,165;95,432;404,432;499,165" o:connectangles="247,164,82,82,0"/>
                  <v:fill on="t" focussize="0,0"/>
                  <v:stroke weight="2pt" color="#000000 [2404]" joinstyle="round"/>
                  <v:imagedata o:title=""/>
                  <o:lock v:ext="edit" aspectratio="f"/>
                </v:shape>
              </v:group>
            </w:pict>
          </mc:Fallback>
        </mc:AlternateContent>
      </w:r>
      <w:bookmarkStart w:id="144" w:name="_Toc18089"/>
      <w:r>
        <w:rPr>
          <w:rFonts w:ascii="Times New Roman" w:hAnsi="Times New Roman" w:eastAsia="宋体" w:cs="Times New Roman"/>
          <w:kern w:val="2"/>
          <w:position w:val="-263"/>
          <w:sz w:val="21"/>
          <w:szCs w:val="24"/>
          <w:lang w:val="en-US" w:eastAsia="zh-CN" w:bidi="ar-SA"/>
        </w:rPr>
        <w:drawing>
          <wp:inline distT="0" distB="0" distL="0" distR="0">
            <wp:extent cx="5270500" cy="8363585"/>
            <wp:effectExtent l="0" t="0" r="6350" b="18415"/>
            <wp:docPr id="292" name="IM 92"/>
            <wp:cNvGraphicFramePr/>
            <a:graphic xmlns:a="http://schemas.openxmlformats.org/drawingml/2006/main">
              <a:graphicData uri="http://schemas.openxmlformats.org/drawingml/2006/picture">
                <pic:pic xmlns:pic="http://schemas.openxmlformats.org/drawingml/2006/picture">
                  <pic:nvPicPr>
                    <pic:cNvPr id="292" name="IM 92"/>
                    <pic:cNvPicPr/>
                  </pic:nvPicPr>
                  <pic:blipFill>
                    <a:blip r:embed="rId90"/>
                    <a:stretch>
                      <a:fillRect/>
                    </a:stretch>
                  </pic:blipFill>
                  <pic:spPr>
                    <a:xfrm>
                      <a:off x="0" y="0"/>
                      <a:ext cx="5271134" cy="8364219"/>
                    </a:xfrm>
                    <a:prstGeom prst="rect">
                      <a:avLst/>
                    </a:prstGeom>
                  </pic:spPr>
                </pic:pic>
              </a:graphicData>
            </a:graphic>
          </wp:inline>
        </w:drawing>
      </w:r>
    </w:p>
    <w:p w14:paraId="13DB33E3">
      <w:pPr>
        <w:widowControl w:val="0"/>
        <w:autoSpaceDE w:val="0"/>
        <w:autoSpaceDN w:val="0"/>
        <w:adjustRightInd w:val="0"/>
        <w:jc w:val="center"/>
        <w:outlineLvl w:val="0"/>
        <w:rPr>
          <w:rFonts w:hint="default" w:ascii="Times New Roman" w:hAnsi="Times New Roman" w:eastAsia="宋体....." w:cs="Times New Roman"/>
          <w:b/>
          <w:bCs/>
          <w:color w:val="auto"/>
          <w:kern w:val="2"/>
          <w:sz w:val="24"/>
          <w:szCs w:val="24"/>
          <w:highlight w:val="none"/>
          <w:lang w:val="en-US" w:eastAsia="zh-CN" w:bidi="ar-SA"/>
        </w:rPr>
      </w:pPr>
      <w:bookmarkStart w:id="145" w:name="_Toc21182"/>
      <w:bookmarkStart w:id="146" w:name="_Toc31205"/>
      <w:bookmarkStart w:id="147" w:name="_Toc20135"/>
      <w:r>
        <w:rPr>
          <w:rFonts w:hint="default" w:ascii="Times New Roman" w:hAnsi="Times New Roman" w:eastAsia="宋体....." w:cs="Times New Roman"/>
          <w:b/>
          <w:bCs/>
          <w:color w:val="auto"/>
          <w:kern w:val="2"/>
          <w:sz w:val="24"/>
          <w:szCs w:val="24"/>
          <w:highlight w:val="none"/>
          <w:lang w:val="en-US" w:eastAsia="zh-CN" w:bidi="ar-SA"/>
        </w:rPr>
        <w:t>附图1</w:t>
      </w:r>
      <w:r>
        <w:rPr>
          <w:rFonts w:hint="eastAsia" w:ascii="Times New Roman" w:hAnsi="Times New Roman" w:eastAsia="宋体....." w:cs="Times New Roman"/>
          <w:b/>
          <w:bCs/>
          <w:color w:val="auto"/>
          <w:kern w:val="2"/>
          <w:sz w:val="24"/>
          <w:szCs w:val="24"/>
          <w:highlight w:val="none"/>
          <w:lang w:val="en-US" w:eastAsia="zh-CN" w:bidi="ar-SA"/>
        </w:rPr>
        <w:t>5</w:t>
      </w:r>
      <w:r>
        <w:rPr>
          <w:rFonts w:hint="default" w:ascii="Times New Roman" w:hAnsi="Times New Roman" w:eastAsia="宋体....." w:cs="Times New Roman"/>
          <w:b/>
          <w:bCs/>
          <w:color w:val="auto"/>
          <w:kern w:val="2"/>
          <w:sz w:val="24"/>
          <w:szCs w:val="24"/>
          <w:highlight w:val="none"/>
          <w:lang w:val="en-US" w:eastAsia="zh-CN" w:bidi="ar-SA"/>
        </w:rPr>
        <w:t xml:space="preserve"> </w:t>
      </w:r>
      <w:r>
        <w:rPr>
          <w:rFonts w:hint="eastAsia" w:ascii="Times New Roman" w:hAnsi="Times New Roman" w:eastAsia="宋体....." w:cs="Times New Roman"/>
          <w:b/>
          <w:bCs/>
          <w:color w:val="auto"/>
          <w:kern w:val="2"/>
          <w:sz w:val="24"/>
          <w:szCs w:val="24"/>
          <w:highlight w:val="none"/>
          <w:lang w:val="en-US" w:eastAsia="zh-CN" w:bidi="ar-SA"/>
        </w:rPr>
        <w:t>韶关乐</w:t>
      </w:r>
      <w:r>
        <w:rPr>
          <w:rFonts w:hint="eastAsia" w:ascii="Times New Roman" w:hAnsi="Times New Roman" w:eastAsia="宋体" w:cs="Times New Roman"/>
          <w:b/>
          <w:bCs/>
          <w:color w:val="auto"/>
          <w:kern w:val="2"/>
          <w:sz w:val="24"/>
          <w:szCs w:val="24"/>
          <w:highlight w:val="none"/>
          <w:lang w:val="en-US" w:eastAsia="zh-CN" w:bidi="ar-SA"/>
        </w:rPr>
        <w:t>昌经济开发区</w:t>
      </w:r>
      <w:r>
        <w:rPr>
          <w:rFonts w:hint="default" w:ascii="Times New Roman" w:hAnsi="Times New Roman" w:eastAsia="宋体....." w:cs="Times New Roman"/>
          <w:b/>
          <w:bCs/>
          <w:color w:val="auto"/>
          <w:kern w:val="2"/>
          <w:sz w:val="24"/>
          <w:szCs w:val="24"/>
          <w:highlight w:val="none"/>
          <w:lang w:val="en-US" w:eastAsia="zh-CN" w:bidi="ar-SA"/>
        </w:rPr>
        <w:t>管网分布图</w:t>
      </w:r>
      <w:bookmarkEnd w:id="144"/>
      <w:bookmarkEnd w:id="145"/>
      <w:bookmarkEnd w:id="146"/>
      <w:bookmarkEnd w:id="147"/>
    </w:p>
    <w:p w14:paraId="59E71158">
      <w:pPr>
        <w:rPr>
          <w:rFonts w:hint="default" w:ascii="Times New Roman" w:hAnsi="Times New Roman" w:cs="Times New Roman"/>
          <w:b/>
          <w:bCs/>
          <w:color w:val="auto"/>
          <w:highlight w:val="none"/>
          <w:lang w:val="en-US" w:eastAsia="zh-CN"/>
        </w:rPr>
        <w:sectPr>
          <w:pgSz w:w="11849" w:h="16781"/>
          <w:pgMar w:top="1417" w:right="1213" w:bottom="1417" w:left="1213" w:header="850" w:footer="794" w:gutter="340"/>
          <w:pgBorders>
            <w:top w:val="none" w:sz="0" w:space="0"/>
            <w:left w:val="none" w:sz="0" w:space="0"/>
            <w:bottom w:val="none" w:sz="0" w:space="0"/>
            <w:right w:val="none" w:sz="0" w:space="0"/>
          </w:pgBorders>
          <w:pgNumType w:fmt="decimal"/>
          <w:cols w:space="720" w:num="1"/>
          <w:docGrid w:type="lines" w:linePitch="434" w:charSpace="0"/>
        </w:sectPr>
      </w:pPr>
    </w:p>
    <w:p w14:paraId="635EDA0D">
      <w:pPr>
        <w:rPr>
          <w:rFonts w:hint="default"/>
          <w:lang w:val="en-US" w:eastAsia="zh-CN"/>
        </w:rPr>
      </w:pPr>
      <w:r>
        <w:rPr>
          <w:sz w:val="24"/>
        </w:rPr>
        <mc:AlternateContent>
          <mc:Choice Requires="wpg">
            <w:drawing>
              <wp:anchor distT="0" distB="0" distL="114300" distR="114300" simplePos="0" relativeHeight="251778048" behindDoc="0" locked="0" layoutInCell="1" allowOverlap="1">
                <wp:simplePos x="0" y="0"/>
                <wp:positionH relativeFrom="column">
                  <wp:posOffset>2905125</wp:posOffset>
                </wp:positionH>
                <wp:positionV relativeFrom="paragraph">
                  <wp:posOffset>201930</wp:posOffset>
                </wp:positionV>
                <wp:extent cx="1651000" cy="795020"/>
                <wp:effectExtent l="12700" t="12700" r="31750" b="30480"/>
                <wp:wrapNone/>
                <wp:docPr id="135" name="组合 135"/>
                <wp:cNvGraphicFramePr/>
                <a:graphic xmlns:a="http://schemas.openxmlformats.org/drawingml/2006/main">
                  <a:graphicData uri="http://schemas.microsoft.com/office/word/2010/wordprocessingGroup">
                    <wpg:wgp>
                      <wpg:cNvGrpSpPr/>
                      <wpg:grpSpPr>
                        <a:xfrm>
                          <a:off x="0" y="0"/>
                          <a:ext cx="1651000" cy="795020"/>
                          <a:chOff x="9176" y="2798726"/>
                          <a:chExt cx="2600" cy="1252"/>
                        </a:xfrm>
                      </wpg:grpSpPr>
                      <wps:wsp>
                        <wps:cNvPr id="33" name="圆角矩形标注 26"/>
                        <wps:cNvSpPr/>
                        <wps:spPr>
                          <a:xfrm>
                            <a:off x="10142" y="2798726"/>
                            <a:ext cx="1635" cy="706"/>
                          </a:xfrm>
                          <a:prstGeom prst="wedgeRoundRectCallout">
                            <a:avLst>
                              <a:gd name="adj1" fmla="val -94709"/>
                              <a:gd name="adj2" fmla="val 93342"/>
                              <a:gd name="adj3" fmla="val 16667"/>
                            </a:avLst>
                          </a:prstGeom>
                          <a:solidFill>
                            <a:srgbClr val="D9D9D9"/>
                          </a:solidFill>
                          <a:ln w="25400" cap="flat" cmpd="sng">
                            <a:solidFill>
                              <a:srgbClr val="000000"/>
                            </a:solidFill>
                            <a:prstDash val="solid"/>
                            <a:round/>
                            <a:headEnd type="none" w="med" len="med"/>
                            <a:tailEnd type="none" w="med" len="med"/>
                          </a:ln>
                        </wps:spPr>
                        <wps:txbx>
                          <w:txbxContent>
                            <w:p w14:paraId="7468A5AD">
                              <w:pPr>
                                <w:jc w:val="center"/>
                                <w:rPr>
                                  <w:rFonts w:hint="eastAsia" w:eastAsia="宋体"/>
                                  <w:b/>
                                  <w:bCs/>
                                  <w:highlight w:val="none"/>
                                  <w:lang w:eastAsia="zh-CN"/>
                                </w:rPr>
                              </w:pPr>
                              <w:r>
                                <w:rPr>
                                  <w:rFonts w:hint="eastAsia" w:eastAsia="宋体"/>
                                  <w:b/>
                                  <w:bCs/>
                                  <w:highlight w:val="none"/>
                                  <w:lang w:eastAsia="zh-CN"/>
                                </w:rPr>
                                <w:t>项目位置</w:t>
                              </w:r>
                            </w:p>
                          </w:txbxContent>
                        </wps:txbx>
                        <wps:bodyPr vert="horz" wrap="square" anchor="ctr" anchorCtr="0" upright="1"/>
                      </wps:wsp>
                      <wps:wsp>
                        <wps:cNvPr id="64" name="五角星 293"/>
                        <wps:cNvSpPr/>
                        <wps:spPr>
                          <a:xfrm>
                            <a:off x="9176" y="2799546"/>
                            <a:ext cx="500" cy="433"/>
                          </a:xfrm>
                          <a:prstGeom prst="star5">
                            <a:avLst/>
                          </a:prstGeom>
                          <a:solidFill>
                            <a:srgbClr val="FFFF00"/>
                          </a:solidFill>
                          <a:ln w="25400" cap="flat" cmpd="sng" algn="ctr">
                            <a:solidFill>
                              <a:srgbClr val="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28.75pt;margin-top:15.9pt;height:62.6pt;width:130pt;z-index:251778048;mso-width-relative:page;mso-height-relative:page;" coordorigin="9176,2798726" coordsize="2600,1252" o:gfxdata="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">
                <o:lock v:ext="edit" aspectratio="f"/>
                <v:shape id="圆角矩形标注 26" o:spid="_x0000_s1026" o:spt="62" type="#_x0000_t62" style="position:absolute;left:10142;top:2798726;height:706;width:1635;v-text-anchor:middle;" fillcolor="#D9D9D9" filled="t" stroked="t" coordsize="21600,21600" o:gfxdata="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Z37WvQAA&#10;ANsAAAAPAAAAAAAAAAEAIAAAACIAAABkcnMvZG93bnJldi54bWxQSwECFAAUAAAACACHTuJAMy8F&#10;njsAAAA5AAAAEAAAAAAAAAABACAAAAAMAQAAZHJzL3NoYXBleG1sLnhtbFBLBQYAAAAABgAGAFsB&#10;AAC2AwAAAAA=&#10;" adj="-9657,30962,14400">
                  <v:fill on="t" focussize="0,0"/>
                  <v:stroke weight="2pt" color="#000000" joinstyle="round"/>
                  <v:imagedata o:title=""/>
                  <o:lock v:ext="edit" aspectratio="f"/>
                  <v:textbox>
                    <w:txbxContent>
                      <w:p w14:paraId="7468A5AD">
                        <w:pPr>
                          <w:jc w:val="center"/>
                          <w:rPr>
                            <w:rFonts w:hint="eastAsia" w:eastAsia="宋体"/>
                            <w:b/>
                            <w:bCs/>
                            <w:highlight w:val="none"/>
                            <w:lang w:eastAsia="zh-CN"/>
                          </w:rPr>
                        </w:pPr>
                        <w:r>
                          <w:rPr>
                            <w:rFonts w:hint="eastAsia" w:eastAsia="宋体"/>
                            <w:b/>
                            <w:bCs/>
                            <w:highlight w:val="none"/>
                            <w:lang w:eastAsia="zh-CN"/>
                          </w:rPr>
                          <w:t>项目位置</w:t>
                        </w:r>
                      </w:p>
                    </w:txbxContent>
                  </v:textbox>
                </v:shape>
                <v:shape id="五角星 293" o:spid="_x0000_s1026" style="position:absolute;left:9176;top:2799546;height:433;width:500;v-text-anchor:middle;" fillcolor="#FFFF00" filled="t" stroked="t" coordsize="500,433" o:gfxdata="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KqRFvQAA&#10;ANsAAAAPAAAAAAAAAAEAIAAAACIAAABkcnMvZG93bnJldi54bWxQSwECFAAUAAAACACHTuJAMy8F&#10;njsAAAA5AAAAEAAAAAAAAAABACAAAAAMAQAAZHJzL3NoYXBleG1sLnhtbFBLBQYAAAAABgAGAFsB&#10;AAC2AwAAAAA=&#10;" path="m0,165l190,165,250,0,309,165,499,165,345,267,404,432,250,330,95,432,154,267xe">
                  <v:path o:connectlocs="250,0;0,165;95,432;404,432;499,165" o:connectangles="247,164,82,82,0"/>
                  <v:fill on="t" focussize="0,0"/>
                  <v:stroke weight="2pt" color="#000000 [2404]" joinstyle="round"/>
                  <v:imagedata o:title=""/>
                  <o:lock v:ext="edit" aspectratio="f"/>
                </v:shape>
              </v:group>
            </w:pict>
          </mc:Fallback>
        </mc:AlternateContent>
      </w:r>
      <w:r>
        <w:rPr>
          <w:position w:val="-222"/>
        </w:rPr>
        <w:drawing>
          <wp:inline distT="0" distB="0" distL="0" distR="0">
            <wp:extent cx="5293360" cy="7061200"/>
            <wp:effectExtent l="0" t="0" r="2540" b="6350"/>
            <wp:docPr id="290" name="IM 82"/>
            <wp:cNvGraphicFramePr/>
            <a:graphic xmlns:a="http://schemas.openxmlformats.org/drawingml/2006/main">
              <a:graphicData uri="http://schemas.openxmlformats.org/drawingml/2006/picture">
                <pic:pic xmlns:pic="http://schemas.openxmlformats.org/drawingml/2006/picture">
                  <pic:nvPicPr>
                    <pic:cNvPr id="290" name="IM 82"/>
                    <pic:cNvPicPr/>
                  </pic:nvPicPr>
                  <pic:blipFill>
                    <a:blip r:embed="rId91"/>
                    <a:stretch>
                      <a:fillRect/>
                    </a:stretch>
                  </pic:blipFill>
                  <pic:spPr>
                    <a:xfrm>
                      <a:off x="0" y="0"/>
                      <a:ext cx="5293817" cy="7061580"/>
                    </a:xfrm>
                    <a:prstGeom prst="rect">
                      <a:avLst/>
                    </a:prstGeom>
                  </pic:spPr>
                </pic:pic>
              </a:graphicData>
            </a:graphic>
          </wp:inline>
        </w:drawing>
      </w:r>
    </w:p>
    <w:p w14:paraId="00A78914">
      <w:pPr>
        <w:widowControl w:val="0"/>
        <w:autoSpaceDE w:val="0"/>
        <w:autoSpaceDN w:val="0"/>
        <w:adjustRightInd w:val="0"/>
        <w:jc w:val="center"/>
        <w:outlineLvl w:val="0"/>
        <w:rPr>
          <w:rFonts w:hint="default" w:ascii="Times New Roman" w:hAnsi="Times New Roman" w:eastAsia="宋体....." w:cs="Times New Roman"/>
          <w:b/>
          <w:bCs/>
          <w:color w:val="auto"/>
          <w:kern w:val="2"/>
          <w:sz w:val="24"/>
          <w:szCs w:val="24"/>
          <w:highlight w:val="none"/>
          <w:lang w:val="en-US" w:eastAsia="zh-CN" w:bidi="ar-SA"/>
        </w:rPr>
      </w:pPr>
      <w:bookmarkStart w:id="148" w:name="_Toc14143"/>
      <w:r>
        <w:rPr>
          <w:rFonts w:hint="eastAsia" w:ascii="Times New Roman" w:hAnsi="Times New Roman" w:eastAsia="宋体....." w:cs="Times New Roman"/>
          <w:b/>
          <w:bCs/>
          <w:color w:val="auto"/>
          <w:kern w:val="2"/>
          <w:sz w:val="24"/>
          <w:szCs w:val="24"/>
          <w:highlight w:val="none"/>
          <w:lang w:val="en-US" w:eastAsia="zh-CN" w:bidi="ar-SA"/>
        </w:rPr>
        <w:t>附图16  项目所在区域</w:t>
      </w:r>
      <w:r>
        <w:rPr>
          <w:rFonts w:hint="default" w:ascii="Times New Roman" w:hAnsi="Times New Roman" w:eastAsia="宋体....." w:cs="Times New Roman"/>
          <w:b/>
          <w:bCs/>
          <w:color w:val="auto"/>
          <w:kern w:val="2"/>
          <w:sz w:val="24"/>
          <w:szCs w:val="24"/>
          <w:highlight w:val="none"/>
          <w:lang w:val="en-US" w:eastAsia="en-US" w:bidi="ar-SA"/>
        </w:rPr>
        <w:t>土地利用规划图</w:t>
      </w:r>
      <w:bookmarkEnd w:id="148"/>
    </w:p>
    <w:p w14:paraId="21D27096">
      <w:pPr>
        <w:widowControl w:val="0"/>
        <w:autoSpaceDE w:val="0"/>
        <w:autoSpaceDN w:val="0"/>
        <w:adjustRightInd w:val="0"/>
        <w:jc w:val="center"/>
        <w:rPr>
          <w:rFonts w:hint="eastAsia" w:ascii="宋体....." w:hAnsi="Times New Roman" w:eastAsia="宋体....." w:cs="宋体....."/>
          <w:color w:val="auto"/>
          <w:kern w:val="2"/>
          <w:sz w:val="24"/>
          <w:szCs w:val="24"/>
          <w:highlight w:val="none"/>
          <w:lang w:val="en-US" w:eastAsia="zh-CN" w:bidi="ar-SA"/>
        </w:rPr>
      </w:pPr>
      <w:r>
        <w:rPr>
          <w:rFonts w:ascii="宋体....." w:hAnsi="Times New Roman" w:eastAsia="宋体....." w:cs="宋体....."/>
          <w:color w:val="000000"/>
          <w:kern w:val="2"/>
          <w:sz w:val="24"/>
          <w:szCs w:val="24"/>
          <w:lang w:val="en-US" w:eastAsia="zh-CN" w:bidi="ar-SA"/>
        </w:rPr>
        <mc:AlternateContent>
          <mc:Choice Requires="wpg">
            <w:drawing>
              <wp:anchor distT="0" distB="0" distL="114300" distR="114300" simplePos="0" relativeHeight="251779072" behindDoc="0" locked="0" layoutInCell="1" allowOverlap="1">
                <wp:simplePos x="0" y="0"/>
                <wp:positionH relativeFrom="column">
                  <wp:posOffset>3804920</wp:posOffset>
                </wp:positionH>
                <wp:positionV relativeFrom="paragraph">
                  <wp:posOffset>2491105</wp:posOffset>
                </wp:positionV>
                <wp:extent cx="1651000" cy="795020"/>
                <wp:effectExtent l="12700" t="12700" r="31750" b="30480"/>
                <wp:wrapNone/>
                <wp:docPr id="136" name="组合 136"/>
                <wp:cNvGraphicFramePr/>
                <a:graphic xmlns:a="http://schemas.openxmlformats.org/drawingml/2006/main">
                  <a:graphicData uri="http://schemas.microsoft.com/office/word/2010/wordprocessingGroup">
                    <wpg:wgp>
                      <wpg:cNvGrpSpPr/>
                      <wpg:grpSpPr>
                        <a:xfrm>
                          <a:off x="0" y="0"/>
                          <a:ext cx="1651000" cy="795020"/>
                          <a:chOff x="9176" y="2798726"/>
                          <a:chExt cx="2600" cy="1252"/>
                        </a:xfrm>
                      </wpg:grpSpPr>
                      <wps:wsp>
                        <wps:cNvPr id="137" name="圆角矩形标注 26"/>
                        <wps:cNvSpPr/>
                        <wps:spPr>
                          <a:xfrm>
                            <a:off x="10142" y="2798726"/>
                            <a:ext cx="1635" cy="706"/>
                          </a:xfrm>
                          <a:prstGeom prst="wedgeRoundRectCallout">
                            <a:avLst>
                              <a:gd name="adj1" fmla="val -94709"/>
                              <a:gd name="adj2" fmla="val 93342"/>
                              <a:gd name="adj3" fmla="val 16667"/>
                            </a:avLst>
                          </a:prstGeom>
                          <a:solidFill>
                            <a:srgbClr val="D9D9D9"/>
                          </a:solidFill>
                          <a:ln w="25400" cap="flat" cmpd="sng">
                            <a:solidFill>
                              <a:srgbClr val="000000"/>
                            </a:solidFill>
                            <a:prstDash val="solid"/>
                            <a:round/>
                            <a:headEnd type="none" w="med" len="med"/>
                            <a:tailEnd type="none" w="med" len="med"/>
                          </a:ln>
                        </wps:spPr>
                        <wps:txbx>
                          <w:txbxContent>
                            <w:p w14:paraId="64B7D97C">
                              <w:pPr>
                                <w:jc w:val="center"/>
                                <w:rPr>
                                  <w:rFonts w:hint="eastAsia" w:eastAsia="宋体"/>
                                  <w:b/>
                                  <w:bCs/>
                                  <w:highlight w:val="none"/>
                                  <w:lang w:eastAsia="zh-CN"/>
                                </w:rPr>
                              </w:pPr>
                              <w:r>
                                <w:rPr>
                                  <w:rFonts w:hint="eastAsia" w:eastAsia="宋体"/>
                                  <w:b/>
                                  <w:bCs/>
                                  <w:highlight w:val="none"/>
                                  <w:lang w:eastAsia="zh-CN"/>
                                </w:rPr>
                                <w:t>项目位置</w:t>
                              </w:r>
                            </w:p>
                          </w:txbxContent>
                        </wps:txbx>
                        <wps:bodyPr vert="horz" wrap="square" anchor="ctr" anchorCtr="0" upright="1"/>
                      </wps:wsp>
                      <wps:wsp>
                        <wps:cNvPr id="138" name="五角星 293"/>
                        <wps:cNvSpPr/>
                        <wps:spPr>
                          <a:xfrm>
                            <a:off x="9176" y="2799546"/>
                            <a:ext cx="500" cy="433"/>
                          </a:xfrm>
                          <a:prstGeom prst="star5">
                            <a:avLst/>
                          </a:prstGeom>
                          <a:solidFill>
                            <a:srgbClr val="FFFF00"/>
                          </a:solidFill>
                          <a:ln w="25400" cap="flat" cmpd="sng" algn="ctr">
                            <a:solidFill>
                              <a:srgbClr val="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99.6pt;margin-top:196.15pt;height:62.6pt;width:130pt;z-index:251779072;mso-width-relative:page;mso-height-relative:page;" coordorigin="9176,2798726" coordsize="2600,1252" o:gfxdata="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">
                <o:lock v:ext="edit" aspectratio="f"/>
                <v:shape id="圆角矩形标注 26" o:spid="_x0000_s1026" o:spt="62" type="#_x0000_t62" style="position:absolute;left:10142;top:2798726;height:706;width:1635;v-text-anchor:middle;" fillcolor="#D9D9D9" filled="t" stroked="t" coordsize="21600,21600" o:gfxdata="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NFq3e8AAAA&#10;3AAAAA8AAAAAAAAAAQAgAAAAIgAAAGRycy9kb3ducmV2LnhtbFBLAQIUABQAAAAIAIdO4kAzLwWe&#10;OwAAADkAAAAQAAAAAAAAAAEAIAAAAAsBAABkcnMvc2hhcGV4bWwueG1sUEsFBgAAAAAGAAYAWwEA&#10;ALUDAAAAAA==&#10;" adj="-9657,30962,14400">
                  <v:fill on="t" focussize="0,0"/>
                  <v:stroke weight="2pt" color="#000000" joinstyle="round"/>
                  <v:imagedata o:title=""/>
                  <o:lock v:ext="edit" aspectratio="f"/>
                  <v:textbox>
                    <w:txbxContent>
                      <w:p w14:paraId="64B7D97C">
                        <w:pPr>
                          <w:jc w:val="center"/>
                          <w:rPr>
                            <w:rFonts w:hint="eastAsia" w:eastAsia="宋体"/>
                            <w:b/>
                            <w:bCs/>
                            <w:highlight w:val="none"/>
                            <w:lang w:eastAsia="zh-CN"/>
                          </w:rPr>
                        </w:pPr>
                        <w:r>
                          <w:rPr>
                            <w:rFonts w:hint="eastAsia" w:eastAsia="宋体"/>
                            <w:b/>
                            <w:bCs/>
                            <w:highlight w:val="none"/>
                            <w:lang w:eastAsia="zh-CN"/>
                          </w:rPr>
                          <w:t>项目位置</w:t>
                        </w:r>
                      </w:p>
                    </w:txbxContent>
                  </v:textbox>
                </v:shape>
                <v:shape id="五角星 293" o:spid="_x0000_s1026" style="position:absolute;left:9176;top:2799546;height:433;width:500;v-text-anchor:middle;" fillcolor="#FFFF00" filled="t" stroked="t" coordsize="500,433" o:gfxdata="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RXi4vQAA&#10;ANwAAAAPAAAAAAAAAAEAIAAAACIAAABkcnMvZG93bnJldi54bWxQSwECFAAUAAAACACHTuJAMy8F&#10;njsAAAA5AAAAEAAAAAAAAAABACAAAAAMAQAAZHJzL3NoYXBleG1sLnhtbFBLBQYAAAAABgAGAFsB&#10;AAC2AwAAAAA=&#10;" path="m0,165l190,165,250,0,309,165,499,165,345,267,404,432,250,330,95,432,154,267xe">
                  <v:path o:connectlocs="250,0;0,165;95,432;404,432;499,165" o:connectangles="247,164,82,82,0"/>
                  <v:fill on="t" focussize="0,0"/>
                  <v:stroke weight="2pt" color="#000000 [2404]" joinstyle="round"/>
                  <v:imagedata o:title=""/>
                  <o:lock v:ext="edit" aspectratio="f"/>
                </v:shape>
              </v:group>
            </w:pict>
          </mc:Fallback>
        </mc:AlternateContent>
      </w:r>
      <w:r>
        <w:rPr>
          <w:rFonts w:ascii="宋体....." w:hAnsi="Times New Roman" w:eastAsia="宋体....." w:cs="宋体....."/>
          <w:color w:val="000000"/>
          <w:kern w:val="2"/>
          <w:position w:val="-263"/>
          <w:sz w:val="24"/>
          <w:szCs w:val="24"/>
          <w:lang w:val="en-US" w:eastAsia="zh-CN" w:bidi="ar-SA"/>
        </w:rPr>
        <w:drawing>
          <wp:inline distT="0" distB="0" distL="0" distR="0">
            <wp:extent cx="5266690" cy="8350885"/>
            <wp:effectExtent l="0" t="0" r="10160" b="12065"/>
            <wp:docPr id="84" name="IM 30"/>
            <wp:cNvGraphicFramePr/>
            <a:graphic xmlns:a="http://schemas.openxmlformats.org/drawingml/2006/main">
              <a:graphicData uri="http://schemas.openxmlformats.org/drawingml/2006/picture">
                <pic:pic xmlns:pic="http://schemas.openxmlformats.org/drawingml/2006/picture">
                  <pic:nvPicPr>
                    <pic:cNvPr id="84" name="IM 30"/>
                    <pic:cNvPicPr/>
                  </pic:nvPicPr>
                  <pic:blipFill>
                    <a:blip r:embed="rId92"/>
                    <a:stretch>
                      <a:fillRect/>
                    </a:stretch>
                  </pic:blipFill>
                  <pic:spPr>
                    <a:xfrm>
                      <a:off x="0" y="0"/>
                      <a:ext cx="5266690" cy="8351519"/>
                    </a:xfrm>
                    <a:prstGeom prst="rect">
                      <a:avLst/>
                    </a:prstGeom>
                  </pic:spPr>
                </pic:pic>
              </a:graphicData>
            </a:graphic>
          </wp:inline>
        </w:drawing>
      </w:r>
    </w:p>
    <w:p w14:paraId="613250B9">
      <w:pPr>
        <w:widowControl w:val="0"/>
        <w:autoSpaceDE w:val="0"/>
        <w:autoSpaceDN w:val="0"/>
        <w:adjustRightInd w:val="0"/>
        <w:jc w:val="center"/>
        <w:outlineLvl w:val="0"/>
        <w:rPr>
          <w:rFonts w:hint="eastAsia" w:ascii="Times New Roman" w:hAnsi="Times New Roman" w:eastAsia="宋体....." w:cs="Times New Roman"/>
          <w:b/>
          <w:bCs/>
          <w:color w:val="auto"/>
          <w:kern w:val="2"/>
          <w:sz w:val="24"/>
          <w:szCs w:val="24"/>
          <w:highlight w:val="none"/>
          <w:lang w:val="en-US" w:eastAsia="zh-CN" w:bidi="ar-SA"/>
        </w:rPr>
      </w:pPr>
      <w:bookmarkStart w:id="149" w:name="_Toc16243"/>
      <w:r>
        <w:rPr>
          <w:rFonts w:hint="eastAsia" w:ascii="Times New Roman" w:hAnsi="Times New Roman" w:eastAsia="宋体....." w:cs="Times New Roman"/>
          <w:b/>
          <w:bCs/>
          <w:color w:val="auto"/>
          <w:kern w:val="2"/>
          <w:sz w:val="24"/>
          <w:szCs w:val="24"/>
          <w:highlight w:val="none"/>
          <w:lang w:val="en-US" w:eastAsia="zh-CN" w:bidi="ar-SA"/>
        </w:rPr>
        <w:t>附图17  项目所在区域生态红线分布图</w:t>
      </w:r>
      <w:bookmarkEnd w:id="149"/>
    </w:p>
    <w:p w14:paraId="19E02820">
      <w:pPr>
        <w:widowControl w:val="0"/>
        <w:ind w:left="240"/>
        <w:jc w:val="both"/>
        <w:rPr>
          <w:rFonts w:hint="default" w:ascii="宋体" w:hAnsi="Times New Roman" w:eastAsia="宋体" w:cs="Times New Roman"/>
          <w:b/>
          <w:bCs/>
          <w:kern w:val="2"/>
          <w:sz w:val="32"/>
          <w:szCs w:val="32"/>
          <w:lang w:val="en-US" w:eastAsia="zh-CN" w:bidi="ar-SA"/>
        </w:rPr>
      </w:pPr>
      <w:r>
        <w:rPr>
          <w:rFonts w:ascii="宋体" w:hAnsi="Times New Roman" w:eastAsia="宋体" w:cs="Times New Roman"/>
          <w:b/>
          <w:bCs/>
          <w:kern w:val="2"/>
          <w:sz w:val="24"/>
          <w:szCs w:val="32"/>
          <w:lang w:val="en-US" w:eastAsia="zh-CN" w:bidi="ar-SA"/>
        </w:rPr>
        <mc:AlternateContent>
          <mc:Choice Requires="wpg">
            <w:drawing>
              <wp:anchor distT="0" distB="0" distL="114300" distR="114300" simplePos="0" relativeHeight="251780096" behindDoc="0" locked="0" layoutInCell="1" allowOverlap="1">
                <wp:simplePos x="0" y="0"/>
                <wp:positionH relativeFrom="column">
                  <wp:posOffset>2931795</wp:posOffset>
                </wp:positionH>
                <wp:positionV relativeFrom="paragraph">
                  <wp:posOffset>1379855</wp:posOffset>
                </wp:positionV>
                <wp:extent cx="1651000" cy="795020"/>
                <wp:effectExtent l="12700" t="12700" r="31750" b="30480"/>
                <wp:wrapNone/>
                <wp:docPr id="139" name="组合 139"/>
                <wp:cNvGraphicFramePr/>
                <a:graphic xmlns:a="http://schemas.openxmlformats.org/drawingml/2006/main">
                  <a:graphicData uri="http://schemas.microsoft.com/office/word/2010/wordprocessingGroup">
                    <wpg:wgp>
                      <wpg:cNvGrpSpPr/>
                      <wpg:grpSpPr>
                        <a:xfrm>
                          <a:off x="0" y="0"/>
                          <a:ext cx="1651000" cy="795020"/>
                          <a:chOff x="9176" y="2798726"/>
                          <a:chExt cx="2600" cy="1252"/>
                        </a:xfrm>
                      </wpg:grpSpPr>
                      <wps:wsp>
                        <wps:cNvPr id="167" name="圆角矩形标注 26"/>
                        <wps:cNvSpPr/>
                        <wps:spPr>
                          <a:xfrm>
                            <a:off x="10142" y="2798726"/>
                            <a:ext cx="1635" cy="706"/>
                          </a:xfrm>
                          <a:prstGeom prst="wedgeRoundRectCallout">
                            <a:avLst>
                              <a:gd name="adj1" fmla="val -94709"/>
                              <a:gd name="adj2" fmla="val 93342"/>
                              <a:gd name="adj3" fmla="val 16667"/>
                            </a:avLst>
                          </a:prstGeom>
                          <a:solidFill>
                            <a:srgbClr val="D9D9D9"/>
                          </a:solidFill>
                          <a:ln w="25400" cap="flat" cmpd="sng">
                            <a:solidFill>
                              <a:srgbClr val="000000"/>
                            </a:solidFill>
                            <a:prstDash val="solid"/>
                            <a:round/>
                            <a:headEnd type="none" w="med" len="med"/>
                            <a:tailEnd type="none" w="med" len="med"/>
                          </a:ln>
                        </wps:spPr>
                        <wps:txbx>
                          <w:txbxContent>
                            <w:p w14:paraId="3A578D6E">
                              <w:pPr>
                                <w:jc w:val="center"/>
                                <w:rPr>
                                  <w:rFonts w:hint="eastAsia" w:eastAsia="宋体"/>
                                  <w:b/>
                                  <w:bCs/>
                                  <w:highlight w:val="none"/>
                                  <w:lang w:eastAsia="zh-CN"/>
                                </w:rPr>
                              </w:pPr>
                              <w:r>
                                <w:rPr>
                                  <w:rFonts w:hint="eastAsia" w:eastAsia="宋体"/>
                                  <w:b/>
                                  <w:bCs/>
                                  <w:highlight w:val="none"/>
                                  <w:lang w:eastAsia="zh-CN"/>
                                </w:rPr>
                                <w:t>项目位置</w:t>
                              </w:r>
                            </w:p>
                          </w:txbxContent>
                        </wps:txbx>
                        <wps:bodyPr vert="horz" wrap="square" anchor="ctr" anchorCtr="0" upright="1"/>
                      </wps:wsp>
                      <wps:wsp>
                        <wps:cNvPr id="168" name="五角星 293"/>
                        <wps:cNvSpPr/>
                        <wps:spPr>
                          <a:xfrm>
                            <a:off x="9176" y="2799546"/>
                            <a:ext cx="500" cy="433"/>
                          </a:xfrm>
                          <a:prstGeom prst="star5">
                            <a:avLst/>
                          </a:prstGeom>
                          <a:solidFill>
                            <a:srgbClr val="FFFF00"/>
                          </a:solidFill>
                          <a:ln w="25400" cap="flat" cmpd="sng" algn="ctr">
                            <a:solidFill>
                              <a:srgbClr val="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30.85pt;margin-top:108.65pt;height:62.6pt;width:130pt;z-index:251780096;mso-width-relative:page;mso-height-relative:page;" coordorigin="9176,2798726" coordsize="2600,1252" o:gfxdata="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">
                <o:lock v:ext="edit" aspectratio="f"/>
                <v:shape id="圆角矩形标注 26" o:spid="_x0000_s1026" o:spt="62" type="#_x0000_t62" style="position:absolute;left:10142;top:2798726;height:706;width:1635;v-text-anchor:middle;" fillcolor="#D9D9D9" filled="t" stroked="t" coordsize="21600,21600" o:gfxdata="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D2hGq8AAAA&#10;3AAAAA8AAAAAAAAAAQAgAAAAIgAAAGRycy9kb3ducmV2LnhtbFBLAQIUABQAAAAIAIdO4kAzLwWe&#10;OwAAADkAAAAQAAAAAAAAAAEAIAAAAAsBAABkcnMvc2hhcGV4bWwueG1sUEsFBgAAAAAGAAYAWwEA&#10;ALUDAAAAAA==&#10;" adj="-9657,30962,14400">
                  <v:fill on="t" focussize="0,0"/>
                  <v:stroke weight="2pt" color="#000000" joinstyle="round"/>
                  <v:imagedata o:title=""/>
                  <o:lock v:ext="edit" aspectratio="f"/>
                  <v:textbox>
                    <w:txbxContent>
                      <w:p w14:paraId="3A578D6E">
                        <w:pPr>
                          <w:jc w:val="center"/>
                          <w:rPr>
                            <w:rFonts w:hint="eastAsia" w:eastAsia="宋体"/>
                            <w:b/>
                            <w:bCs/>
                            <w:highlight w:val="none"/>
                            <w:lang w:eastAsia="zh-CN"/>
                          </w:rPr>
                        </w:pPr>
                        <w:r>
                          <w:rPr>
                            <w:rFonts w:hint="eastAsia" w:eastAsia="宋体"/>
                            <w:b/>
                            <w:bCs/>
                            <w:highlight w:val="none"/>
                            <w:lang w:eastAsia="zh-CN"/>
                          </w:rPr>
                          <w:t>项目位置</w:t>
                        </w:r>
                      </w:p>
                    </w:txbxContent>
                  </v:textbox>
                </v:shape>
                <v:shape id="五角星 293" o:spid="_x0000_s1026" style="position:absolute;left:9176;top:2799546;height:433;width:500;v-text-anchor:middle;" fillcolor="#FFFF00" filled="t" stroked="t" coordsize="500,433" o:gfxdata="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r2V6W/&#10;AAAA3AAAAA8AAAAAAAAAAQAgAAAAIgAAAGRycy9kb3ducmV2LnhtbFBLAQIUABQAAAAIAIdO4kAz&#10;LwWeOwAAADkAAAAQAAAAAAAAAAEAIAAAAA4BAABkcnMvc2hhcGV4bWwueG1sUEsFBgAAAAAGAAYA&#10;WwEAALgDAAAAAA==&#10;" path="m0,165l190,165,250,0,309,165,499,165,345,267,404,432,250,330,95,432,154,267xe">
                  <v:path o:connectlocs="250,0;0,165;95,432;404,432;499,165" o:connectangles="247,164,82,82,0"/>
                  <v:fill on="t" focussize="0,0"/>
                  <v:stroke weight="2pt" color="#000000 [2404]" joinstyle="round"/>
                  <v:imagedata o:title=""/>
                  <o:lock v:ext="edit" aspectratio="f"/>
                </v:shape>
              </v:group>
            </w:pict>
          </mc:Fallback>
        </mc:AlternateContent>
      </w:r>
      <w:r>
        <w:rPr>
          <w:rFonts w:ascii="宋体" w:hAnsi="Times New Roman" w:eastAsia="宋体" w:cs="Times New Roman"/>
          <w:b/>
          <w:bCs/>
          <w:kern w:val="2"/>
          <w:position w:val="-263"/>
          <w:sz w:val="32"/>
          <w:szCs w:val="32"/>
          <w:lang w:val="en-US" w:eastAsia="zh-CN" w:bidi="ar-SA"/>
        </w:rPr>
        <w:drawing>
          <wp:inline distT="0" distB="0" distL="0" distR="0">
            <wp:extent cx="5266690" cy="8353425"/>
            <wp:effectExtent l="0" t="0" r="10160" b="9525"/>
            <wp:docPr id="140" name="IM 66"/>
            <wp:cNvGraphicFramePr/>
            <a:graphic xmlns:a="http://schemas.openxmlformats.org/drawingml/2006/main">
              <a:graphicData uri="http://schemas.openxmlformats.org/drawingml/2006/picture">
                <pic:pic xmlns:pic="http://schemas.openxmlformats.org/drawingml/2006/picture">
                  <pic:nvPicPr>
                    <pic:cNvPr id="140" name="IM 66"/>
                    <pic:cNvPicPr/>
                  </pic:nvPicPr>
                  <pic:blipFill>
                    <a:blip r:embed="rId93"/>
                    <a:stretch>
                      <a:fillRect/>
                    </a:stretch>
                  </pic:blipFill>
                  <pic:spPr>
                    <a:xfrm>
                      <a:off x="0" y="0"/>
                      <a:ext cx="5266690" cy="8354059"/>
                    </a:xfrm>
                    <a:prstGeom prst="rect">
                      <a:avLst/>
                    </a:prstGeom>
                  </pic:spPr>
                </pic:pic>
              </a:graphicData>
            </a:graphic>
          </wp:inline>
        </w:drawing>
      </w:r>
    </w:p>
    <w:p w14:paraId="07BE6689">
      <w:pPr>
        <w:widowControl w:val="0"/>
        <w:autoSpaceDE w:val="0"/>
        <w:autoSpaceDN w:val="0"/>
        <w:adjustRightInd w:val="0"/>
        <w:jc w:val="center"/>
        <w:outlineLvl w:val="0"/>
        <w:rPr>
          <w:rFonts w:hint="default"/>
        </w:rPr>
      </w:pPr>
      <w:bookmarkStart w:id="150" w:name="_Toc15485"/>
      <w:r>
        <w:rPr>
          <w:rFonts w:hint="eastAsia" w:ascii="Times New Roman" w:hAnsi="Times New Roman" w:eastAsia="宋体....." w:cs="Times New Roman"/>
          <w:b/>
          <w:bCs/>
          <w:color w:val="auto"/>
          <w:kern w:val="2"/>
          <w:sz w:val="24"/>
          <w:szCs w:val="24"/>
          <w:highlight w:val="none"/>
          <w:lang w:val="en-US" w:eastAsia="zh-CN" w:bidi="ar-SA"/>
        </w:rPr>
        <w:t>附图18  项目周边永久农田、耕地、园地分布图</w:t>
      </w:r>
      <w:bookmarkEnd w:id="50"/>
      <w:bookmarkEnd w:id="51"/>
      <w:bookmarkEnd w:id="52"/>
      <w:bookmarkEnd w:id="53"/>
      <w:bookmarkEnd w:id="54"/>
      <w:bookmarkEnd w:id="116"/>
      <w:bookmarkEnd w:id="117"/>
      <w:bookmarkEnd w:id="118"/>
      <w:bookmarkEnd w:id="119"/>
      <w:bookmarkEnd w:id="120"/>
      <w:bookmarkEnd w:id="150"/>
      <w:bookmarkStart w:id="151" w:name="_GoBack"/>
      <w:bookmarkEnd w:id="151"/>
    </w:p>
    <w:sectPr>
      <w:headerReference r:id="rId17" w:type="default"/>
      <w:footerReference r:id="rId18" w:type="default"/>
      <w:pgSz w:w="11907" w:h="16840"/>
      <w:pgMar w:top="1531" w:right="1701" w:bottom="1531" w:left="1531" w:header="1020" w:footer="1020"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宋体.....">
    <w:altName w:val="宋体"/>
    <w:panose1 w:val="00000000000000000000"/>
    <w:charset w:val="86"/>
    <w:family w:val="roma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roman"/>
    <w:pitch w:val="default"/>
    <w:sig w:usb0="F7FFAEFF" w:usb1="F9DFFFFF" w:usb2="0000007F" w:usb3="00000000" w:csb0="203F01FF" w:csb1="DFFF0000"/>
  </w:font>
  <w:font w:name="Tahoma">
    <w:panose1 w:val="020B0604030504040204"/>
    <w:charset w:val="00"/>
    <w:family w:val="auto"/>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体">
    <w:altName w:val="宋体"/>
    <w:panose1 w:val="00000000000000000000"/>
    <w:charset w:val="86"/>
    <w:family w:val="roman"/>
    <w:pitch w:val="default"/>
    <w:sig w:usb0="00000000" w:usb1="00000000" w:usb2="0000001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Segoe UI">
    <w:panose1 w:val="020B0502040204020203"/>
    <w:charset w:val="00"/>
    <w:family w:val="auto"/>
    <w:pitch w:val="default"/>
    <w:sig w:usb0="E4002EFF" w:usb1="C000E47F"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2FBA5">
    <w:pPr>
      <w:pStyle w:val="33"/>
      <w:framePr w:wrap="around" w:vAnchor="text" w:hAnchor="margin" w:xAlign="outside" w:y="1"/>
      <w:rPr>
        <w:rStyle w:val="48"/>
        <w:rFonts w:ascii="宋体" w:hAnsi="宋体"/>
        <w:sz w:val="28"/>
        <w:szCs w:val="28"/>
      </w:rPr>
    </w:pPr>
    <w:r>
      <w:rPr>
        <w:rStyle w:val="48"/>
        <w:rFonts w:hint="eastAsia" w:ascii="宋体" w:hAnsi="宋体"/>
        <w:sz w:val="28"/>
        <w:szCs w:val="28"/>
      </w:rPr>
      <w:t>—</w:t>
    </w:r>
    <w:r>
      <w:rPr>
        <w:rStyle w:val="48"/>
        <w:rFonts w:hint="eastAsia" w:ascii="宋体" w:hAnsi="宋体"/>
        <w:sz w:val="20"/>
      </w:rPr>
      <w:t xml:space="preserve">  </w:t>
    </w:r>
    <w:r>
      <w:rPr>
        <w:rFonts w:ascii="宋体" w:hAnsi="宋体"/>
        <w:sz w:val="26"/>
        <w:szCs w:val="26"/>
      </w:rPr>
      <w:fldChar w:fldCharType="begin"/>
    </w:r>
    <w:r>
      <w:rPr>
        <w:rStyle w:val="48"/>
        <w:rFonts w:ascii="宋体" w:hAnsi="宋体"/>
        <w:sz w:val="26"/>
        <w:szCs w:val="26"/>
      </w:rPr>
      <w:instrText xml:space="preserve">PAGE  </w:instrText>
    </w:r>
    <w:r>
      <w:rPr>
        <w:rFonts w:ascii="宋体" w:hAnsi="宋体"/>
        <w:sz w:val="26"/>
        <w:szCs w:val="26"/>
      </w:rPr>
      <w:fldChar w:fldCharType="separate"/>
    </w:r>
    <w:r>
      <w:rPr>
        <w:rStyle w:val="48"/>
        <w:rFonts w:ascii="宋体" w:hAnsi="宋体"/>
        <w:sz w:val="26"/>
        <w:szCs w:val="26"/>
      </w:rPr>
      <w:t>4</w:t>
    </w:r>
    <w:r>
      <w:rPr>
        <w:rFonts w:ascii="宋体" w:hAnsi="宋体"/>
        <w:sz w:val="26"/>
        <w:szCs w:val="26"/>
      </w:rPr>
      <w:fldChar w:fldCharType="end"/>
    </w:r>
    <w:r>
      <w:rPr>
        <w:rStyle w:val="48"/>
        <w:rFonts w:hint="eastAsia" w:ascii="宋体" w:hAnsi="宋体"/>
        <w:sz w:val="20"/>
      </w:rPr>
      <w:t xml:space="preserve">  </w:t>
    </w:r>
    <w:r>
      <w:rPr>
        <w:rStyle w:val="48"/>
        <w:rFonts w:hint="eastAsia" w:ascii="宋体" w:hAnsi="宋体"/>
        <w:sz w:val="28"/>
        <w:szCs w:val="28"/>
      </w:rPr>
      <w:t>—</w:t>
    </w:r>
  </w:p>
  <w:p w14:paraId="539EDB09">
    <w:pPr>
      <w:pStyle w:val="33"/>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60B41">
    <w:pPr>
      <w:pStyle w:val="33"/>
      <w:framePr w:wrap="around" w:vAnchor="text" w:hAnchor="margin" w:xAlign="center" w:y="1"/>
      <w:rPr>
        <w:rStyle w:val="48"/>
      </w:rPr>
    </w:pPr>
    <w:r>
      <w:fldChar w:fldCharType="begin"/>
    </w:r>
    <w:r>
      <w:rPr>
        <w:rStyle w:val="48"/>
      </w:rPr>
      <w:instrText xml:space="preserve">PAGE  </w:instrText>
    </w:r>
    <w:r>
      <w:fldChar w:fldCharType="end"/>
    </w:r>
  </w:p>
  <w:p w14:paraId="3FC37D5B">
    <w:pPr>
      <w:pStyle w:val="3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B0994">
    <w:pPr>
      <w:pStyle w:val="3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61E63">
    <w:pPr>
      <w:pStyle w:val="33"/>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2A7AD">
    <w:pPr>
      <w:pStyle w:val="33"/>
      <w:framePr w:wrap="around" w:vAnchor="text" w:hAnchor="margin" w:xAlign="center" w:y="1"/>
      <w:rPr>
        <w:rStyle w:val="48"/>
      </w:rPr>
    </w:pPr>
    <w:r>
      <w:fldChar w:fldCharType="begin"/>
    </w:r>
    <w:r>
      <w:rPr>
        <w:rStyle w:val="48"/>
      </w:rPr>
      <w:instrText xml:space="preserve">PAGE  </w:instrText>
    </w:r>
    <w:r>
      <w:fldChar w:fldCharType="end"/>
    </w:r>
  </w:p>
  <w:p w14:paraId="42BE60E2">
    <w:pPr>
      <w:pStyle w:val="33"/>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93127">
    <w:pPr>
      <w:pStyle w:val="33"/>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9" name="文本框 20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CFB8CD">
                          <w:pPr>
                            <w:pStyle w:val="33"/>
                            <w:rPr>
                              <w:rStyle w:val="48"/>
                              <w:rFonts w:ascii="宋体" w:hAnsi="宋体"/>
                              <w:sz w:val="28"/>
                              <w:szCs w:val="28"/>
                            </w:rPr>
                          </w:pPr>
                          <w:r>
                            <w:rPr>
                              <w:rStyle w:val="48"/>
                              <w:rFonts w:hint="eastAsia" w:ascii="宋体" w:hAnsi="宋体"/>
                              <w:sz w:val="28"/>
                              <w:szCs w:val="28"/>
                            </w:rPr>
                            <w:t>—</w:t>
                          </w:r>
                          <w:r>
                            <w:rPr>
                              <w:rStyle w:val="48"/>
                              <w:rFonts w:hint="eastAsia" w:ascii="宋体" w:hAnsi="宋体"/>
                              <w:sz w:val="20"/>
                            </w:rPr>
                            <w:t xml:space="preserve">  </w:t>
                          </w:r>
                          <w:r>
                            <w:rPr>
                              <w:rFonts w:ascii="宋体" w:hAnsi="宋体"/>
                              <w:sz w:val="26"/>
                              <w:szCs w:val="26"/>
                            </w:rPr>
                            <w:fldChar w:fldCharType="begin"/>
                          </w:r>
                          <w:r>
                            <w:rPr>
                              <w:rStyle w:val="48"/>
                              <w:rFonts w:ascii="宋体" w:hAnsi="宋体"/>
                              <w:sz w:val="26"/>
                              <w:szCs w:val="26"/>
                            </w:rPr>
                            <w:instrText xml:space="preserve">PAGE  </w:instrText>
                          </w:r>
                          <w:r>
                            <w:rPr>
                              <w:rFonts w:ascii="宋体" w:hAnsi="宋体"/>
                              <w:sz w:val="26"/>
                              <w:szCs w:val="26"/>
                            </w:rPr>
                            <w:fldChar w:fldCharType="separate"/>
                          </w:r>
                          <w:r>
                            <w:rPr>
                              <w:rStyle w:val="48"/>
                              <w:rFonts w:ascii="宋体" w:hAnsi="宋体"/>
                              <w:sz w:val="26"/>
                              <w:szCs w:val="26"/>
                            </w:rPr>
                            <w:t>9</w:t>
                          </w:r>
                          <w:r>
                            <w:rPr>
                              <w:rFonts w:ascii="宋体" w:hAnsi="宋体"/>
                              <w:sz w:val="26"/>
                              <w:szCs w:val="26"/>
                            </w:rPr>
                            <w:fldChar w:fldCharType="end"/>
                          </w:r>
                          <w:r>
                            <w:rPr>
                              <w:rStyle w:val="48"/>
                              <w:rFonts w:hint="eastAsia" w:ascii="宋体" w:hAnsi="宋体"/>
                              <w:sz w:val="20"/>
                            </w:rPr>
                            <w:t xml:space="preserve">  </w:t>
                          </w:r>
                          <w:r>
                            <w:rPr>
                              <w:rStyle w:val="48"/>
                              <w:rFonts w:hint="eastAsia" w:ascii="宋体" w:hAnsi="宋体"/>
                              <w:sz w:val="28"/>
                              <w:szCs w:val="28"/>
                            </w:rPr>
                            <w:t>—</w:t>
                          </w:r>
                        </w:p>
                      </w:txbxContent>
                    </wps:txbx>
                    <wps:bodyPr vert="horz" wrap="none" lIns="0" tIns="0" rIns="0" bIns="0" anchor="t" anchorCtr="0" upright="0">
                      <a:spAutoFit/>
                    </wps:bodyPr>
                  </wps:wsp>
                </a:graphicData>
              </a:graphic>
            </wp:anchor>
          </w:drawing>
        </mc:Choice>
        <mc:Fallback>
          <w:pict>
            <v:shape id="文本框 2058"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BQQ7by4QEAAMMDAAAOAAAA&#10;AAAAAAEAIAAAAB4BAABkcnMvZTJvRG9jLnhtbFBLBQYAAAAABgAGAFkBAABxBQAAAAA=&#10;">
              <v:fill on="f" focussize="0,0"/>
              <v:stroke on="f"/>
              <v:imagedata o:title=""/>
              <o:lock v:ext="edit" aspectratio="f"/>
              <v:textbox inset="0mm,0mm,0mm,0mm" style="mso-fit-shape-to-text:t;">
                <w:txbxContent>
                  <w:p w14:paraId="37CFB8CD">
                    <w:pPr>
                      <w:pStyle w:val="33"/>
                      <w:rPr>
                        <w:rStyle w:val="48"/>
                        <w:rFonts w:ascii="宋体" w:hAnsi="宋体"/>
                        <w:sz w:val="28"/>
                        <w:szCs w:val="28"/>
                      </w:rPr>
                    </w:pPr>
                    <w:r>
                      <w:rPr>
                        <w:rStyle w:val="48"/>
                        <w:rFonts w:hint="eastAsia" w:ascii="宋体" w:hAnsi="宋体"/>
                        <w:sz w:val="28"/>
                        <w:szCs w:val="28"/>
                      </w:rPr>
                      <w:t>—</w:t>
                    </w:r>
                    <w:r>
                      <w:rPr>
                        <w:rStyle w:val="48"/>
                        <w:rFonts w:hint="eastAsia" w:ascii="宋体" w:hAnsi="宋体"/>
                        <w:sz w:val="20"/>
                      </w:rPr>
                      <w:t xml:space="preserve">  </w:t>
                    </w:r>
                    <w:r>
                      <w:rPr>
                        <w:rFonts w:ascii="宋体" w:hAnsi="宋体"/>
                        <w:sz w:val="26"/>
                        <w:szCs w:val="26"/>
                      </w:rPr>
                      <w:fldChar w:fldCharType="begin"/>
                    </w:r>
                    <w:r>
                      <w:rPr>
                        <w:rStyle w:val="48"/>
                        <w:rFonts w:ascii="宋体" w:hAnsi="宋体"/>
                        <w:sz w:val="26"/>
                        <w:szCs w:val="26"/>
                      </w:rPr>
                      <w:instrText xml:space="preserve">PAGE  </w:instrText>
                    </w:r>
                    <w:r>
                      <w:rPr>
                        <w:rFonts w:ascii="宋体" w:hAnsi="宋体"/>
                        <w:sz w:val="26"/>
                        <w:szCs w:val="26"/>
                      </w:rPr>
                      <w:fldChar w:fldCharType="separate"/>
                    </w:r>
                    <w:r>
                      <w:rPr>
                        <w:rStyle w:val="48"/>
                        <w:rFonts w:ascii="宋体" w:hAnsi="宋体"/>
                        <w:sz w:val="26"/>
                        <w:szCs w:val="26"/>
                      </w:rPr>
                      <w:t>9</w:t>
                    </w:r>
                    <w:r>
                      <w:rPr>
                        <w:rFonts w:ascii="宋体" w:hAnsi="宋体"/>
                        <w:sz w:val="26"/>
                        <w:szCs w:val="26"/>
                      </w:rPr>
                      <w:fldChar w:fldCharType="end"/>
                    </w:r>
                    <w:r>
                      <w:rPr>
                        <w:rStyle w:val="48"/>
                        <w:rFonts w:hint="eastAsia" w:ascii="宋体" w:hAnsi="宋体"/>
                        <w:sz w:val="20"/>
                      </w:rPr>
                      <w:t xml:space="preserve">  </w:t>
                    </w:r>
                    <w:r>
                      <w:rPr>
                        <w:rStyle w:val="48"/>
                        <w:rFonts w:hint="eastAsia" w:ascii="宋体" w:hAnsi="宋体"/>
                        <w:sz w:val="28"/>
                        <w:szCs w:val="28"/>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B2A6A">
    <w:pPr>
      <w:pStyle w:val="33"/>
      <w:ind w:right="360"/>
      <w:jc w:val="both"/>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3"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EA3ABA">
                          <w:pPr>
                            <w:pStyle w:val="33"/>
                            <w:rPr>
                              <w:rStyle w:val="48"/>
                              <w:rFonts w:ascii="宋体" w:hAnsi="宋体"/>
                              <w:sz w:val="28"/>
                              <w:szCs w:val="28"/>
                            </w:rPr>
                          </w:pPr>
                          <w:r>
                            <w:rPr>
                              <w:rStyle w:val="48"/>
                              <w:rFonts w:hint="eastAsia" w:ascii="宋体" w:hAnsi="宋体"/>
                              <w:sz w:val="28"/>
                              <w:szCs w:val="28"/>
                            </w:rPr>
                            <w:t>—</w:t>
                          </w:r>
                          <w:r>
                            <w:rPr>
                              <w:rStyle w:val="48"/>
                              <w:rFonts w:hint="eastAsia" w:ascii="宋体" w:hAnsi="宋体"/>
                              <w:sz w:val="20"/>
                            </w:rPr>
                            <w:t xml:space="preserve">  </w:t>
                          </w:r>
                          <w:r>
                            <w:rPr>
                              <w:rFonts w:ascii="宋体" w:hAnsi="宋体"/>
                              <w:sz w:val="26"/>
                              <w:szCs w:val="26"/>
                            </w:rPr>
                            <w:fldChar w:fldCharType="begin"/>
                          </w:r>
                          <w:r>
                            <w:rPr>
                              <w:rStyle w:val="48"/>
                              <w:rFonts w:ascii="宋体" w:hAnsi="宋体"/>
                              <w:sz w:val="26"/>
                              <w:szCs w:val="26"/>
                            </w:rPr>
                            <w:instrText xml:space="preserve">PAGE  </w:instrText>
                          </w:r>
                          <w:r>
                            <w:rPr>
                              <w:rFonts w:ascii="宋体" w:hAnsi="宋体"/>
                              <w:sz w:val="26"/>
                              <w:szCs w:val="26"/>
                            </w:rPr>
                            <w:fldChar w:fldCharType="separate"/>
                          </w:r>
                          <w:r>
                            <w:rPr>
                              <w:rStyle w:val="48"/>
                              <w:rFonts w:ascii="宋体" w:hAnsi="宋体"/>
                              <w:sz w:val="26"/>
                              <w:szCs w:val="26"/>
                            </w:rPr>
                            <w:t>11</w:t>
                          </w:r>
                          <w:r>
                            <w:rPr>
                              <w:rFonts w:ascii="宋体" w:hAnsi="宋体"/>
                              <w:sz w:val="26"/>
                              <w:szCs w:val="26"/>
                            </w:rPr>
                            <w:fldChar w:fldCharType="end"/>
                          </w:r>
                          <w:r>
                            <w:rPr>
                              <w:rStyle w:val="48"/>
                              <w:rFonts w:hint="eastAsia" w:ascii="宋体" w:hAnsi="宋体"/>
                              <w:sz w:val="20"/>
                            </w:rPr>
                            <w:t xml:space="preserve">  </w:t>
                          </w:r>
                          <w:r>
                            <w:rPr>
                              <w:rStyle w:val="48"/>
                              <w:rFonts w:hint="eastAsia" w:ascii="宋体" w:hAnsi="宋体"/>
                              <w:sz w:val="28"/>
                              <w:szCs w:val="28"/>
                            </w:rPr>
                            <w:t>—</w:t>
                          </w:r>
                        </w:p>
                      </w:txbxContent>
                    </wps:txbx>
                    <wps:bodyPr vert="horz" wrap="none" lIns="0" tIns="0" rIns="0" bIns="0" anchor="t" anchorCtr="0" upright="0">
                      <a:spAutoFit/>
                    </wps:bodyPr>
                  </wps:wsp>
                </a:graphicData>
              </a:graphic>
            </wp:anchor>
          </w:drawing>
        </mc:Choice>
        <mc:Fallback>
          <w:pict>
            <v:shape id="文本框 1030"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KCjkIvgAQAAwwMAAA4AAAAA&#10;AAAAAQAgAAAAHgEAAGRycy9lMm9Eb2MueG1sUEsFBgAAAAAGAAYAWQEAAHAFAAAAAA==&#10;">
              <v:fill on="f" focussize="0,0"/>
              <v:stroke on="f"/>
              <v:imagedata o:title=""/>
              <o:lock v:ext="edit" aspectratio="f"/>
              <v:textbox inset="0mm,0mm,0mm,0mm" style="mso-fit-shape-to-text:t;">
                <w:txbxContent>
                  <w:p w14:paraId="32EA3ABA">
                    <w:pPr>
                      <w:pStyle w:val="33"/>
                      <w:rPr>
                        <w:rStyle w:val="48"/>
                        <w:rFonts w:ascii="宋体" w:hAnsi="宋体"/>
                        <w:sz w:val="28"/>
                        <w:szCs w:val="28"/>
                      </w:rPr>
                    </w:pPr>
                    <w:r>
                      <w:rPr>
                        <w:rStyle w:val="48"/>
                        <w:rFonts w:hint="eastAsia" w:ascii="宋体" w:hAnsi="宋体"/>
                        <w:sz w:val="28"/>
                        <w:szCs w:val="28"/>
                      </w:rPr>
                      <w:t>—</w:t>
                    </w:r>
                    <w:r>
                      <w:rPr>
                        <w:rStyle w:val="48"/>
                        <w:rFonts w:hint="eastAsia" w:ascii="宋体" w:hAnsi="宋体"/>
                        <w:sz w:val="20"/>
                      </w:rPr>
                      <w:t xml:space="preserve">  </w:t>
                    </w:r>
                    <w:r>
                      <w:rPr>
                        <w:rFonts w:ascii="宋体" w:hAnsi="宋体"/>
                        <w:sz w:val="26"/>
                        <w:szCs w:val="26"/>
                      </w:rPr>
                      <w:fldChar w:fldCharType="begin"/>
                    </w:r>
                    <w:r>
                      <w:rPr>
                        <w:rStyle w:val="48"/>
                        <w:rFonts w:ascii="宋体" w:hAnsi="宋体"/>
                        <w:sz w:val="26"/>
                        <w:szCs w:val="26"/>
                      </w:rPr>
                      <w:instrText xml:space="preserve">PAGE  </w:instrText>
                    </w:r>
                    <w:r>
                      <w:rPr>
                        <w:rFonts w:ascii="宋体" w:hAnsi="宋体"/>
                        <w:sz w:val="26"/>
                        <w:szCs w:val="26"/>
                      </w:rPr>
                      <w:fldChar w:fldCharType="separate"/>
                    </w:r>
                    <w:r>
                      <w:rPr>
                        <w:rStyle w:val="48"/>
                        <w:rFonts w:ascii="宋体" w:hAnsi="宋体"/>
                        <w:sz w:val="26"/>
                        <w:szCs w:val="26"/>
                      </w:rPr>
                      <w:t>11</w:t>
                    </w:r>
                    <w:r>
                      <w:rPr>
                        <w:rFonts w:ascii="宋体" w:hAnsi="宋体"/>
                        <w:sz w:val="26"/>
                        <w:szCs w:val="26"/>
                      </w:rPr>
                      <w:fldChar w:fldCharType="end"/>
                    </w:r>
                    <w:r>
                      <w:rPr>
                        <w:rStyle w:val="48"/>
                        <w:rFonts w:hint="eastAsia" w:ascii="宋体" w:hAnsi="宋体"/>
                        <w:sz w:val="20"/>
                      </w:rPr>
                      <w:t xml:space="preserve">  </w:t>
                    </w:r>
                    <w:r>
                      <w:rPr>
                        <w:rStyle w:val="48"/>
                        <w:rFonts w:hint="eastAsia" w:ascii="宋体" w:hAnsi="宋体"/>
                        <w:sz w:val="28"/>
                        <w:szCs w:val="28"/>
                      </w:rP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F53F9">
    <w:pPr>
      <w:widowControl w:val="0"/>
      <w:tabs>
        <w:tab w:val="center" w:pos="4153"/>
        <w:tab w:val="right" w:pos="8306"/>
      </w:tabs>
      <w:snapToGrid w:val="0"/>
      <w:ind w:right="360" w:firstLine="360"/>
      <w:jc w:val="center"/>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1" name="文本框 20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D9B5E7">
                          <w:pPr>
                            <w:widowControl w:val="0"/>
                            <w:tabs>
                              <w:tab w:val="center" w:pos="4153"/>
                              <w:tab w:val="right" w:pos="8306"/>
                            </w:tabs>
                            <w:snapToGrid w:val="0"/>
                            <w:jc w:val="left"/>
                            <w:rPr>
                              <w:rFonts w:ascii="宋体" w:hAnsi="宋体" w:eastAsia="宋体" w:cs="Times New Roman"/>
                              <w:kern w:val="0"/>
                              <w:sz w:val="28"/>
                              <w:szCs w:val="28"/>
                              <w:lang w:val="en-US" w:eastAsia="zh-CN" w:bidi="ar-SA"/>
                            </w:rPr>
                          </w:pPr>
                          <w:r>
                            <w:rPr>
                              <w:rFonts w:hint="eastAsia" w:ascii="宋体" w:hAnsi="宋体" w:eastAsia="宋体" w:cs="Times New Roman"/>
                              <w:kern w:val="2"/>
                              <w:sz w:val="28"/>
                              <w:szCs w:val="28"/>
                              <w:lang w:val="en-US" w:eastAsia="zh-CN" w:bidi="ar-SA"/>
                            </w:rPr>
                            <w:t>—</w:t>
                          </w:r>
                          <w:r>
                            <w:rPr>
                              <w:rFonts w:hint="eastAsia" w:ascii="宋体" w:hAnsi="宋体" w:eastAsia="宋体" w:cs="Times New Roman"/>
                              <w:kern w:val="2"/>
                              <w:sz w:val="20"/>
                              <w:szCs w:val="24"/>
                              <w:lang w:val="en-US" w:eastAsia="zh-CN" w:bidi="ar-SA"/>
                            </w:rPr>
                            <w:t xml:space="preserve">  </w:t>
                          </w:r>
                          <w:r>
                            <w:rPr>
                              <w:rFonts w:ascii="宋体" w:hAnsi="宋体" w:eastAsia="宋体" w:cs="Times New Roman"/>
                              <w:kern w:val="0"/>
                              <w:sz w:val="26"/>
                              <w:szCs w:val="26"/>
                              <w:lang w:val="en-US" w:eastAsia="zh-CN" w:bidi="ar-SA"/>
                            </w:rPr>
                            <w:fldChar w:fldCharType="begin"/>
                          </w:r>
                          <w:r>
                            <w:rPr>
                              <w:rFonts w:ascii="宋体" w:hAnsi="宋体" w:eastAsia="宋体" w:cs="Times New Roman"/>
                              <w:kern w:val="2"/>
                              <w:sz w:val="26"/>
                              <w:szCs w:val="26"/>
                              <w:lang w:val="en-US" w:eastAsia="zh-CN" w:bidi="ar-SA"/>
                            </w:rPr>
                            <w:instrText xml:space="preserve">PAGE  </w:instrText>
                          </w:r>
                          <w:r>
                            <w:rPr>
                              <w:rFonts w:ascii="宋体" w:hAnsi="宋体" w:eastAsia="宋体" w:cs="Times New Roman"/>
                              <w:kern w:val="0"/>
                              <w:sz w:val="26"/>
                              <w:szCs w:val="26"/>
                              <w:lang w:val="en-US" w:eastAsia="zh-CN" w:bidi="ar-SA"/>
                            </w:rPr>
                            <w:fldChar w:fldCharType="separate"/>
                          </w:r>
                          <w:r>
                            <w:rPr>
                              <w:rFonts w:ascii="宋体" w:hAnsi="宋体" w:eastAsia="宋体" w:cs="Times New Roman"/>
                              <w:kern w:val="2"/>
                              <w:sz w:val="26"/>
                              <w:szCs w:val="26"/>
                              <w:lang w:val="en-US" w:eastAsia="zh-CN" w:bidi="ar-SA"/>
                            </w:rPr>
                            <w:t>10</w:t>
                          </w:r>
                          <w:r>
                            <w:rPr>
                              <w:rFonts w:ascii="宋体" w:hAnsi="宋体" w:eastAsia="宋体" w:cs="Times New Roman"/>
                              <w:kern w:val="0"/>
                              <w:sz w:val="26"/>
                              <w:szCs w:val="26"/>
                              <w:lang w:val="en-US" w:eastAsia="zh-CN" w:bidi="ar-SA"/>
                            </w:rPr>
                            <w:fldChar w:fldCharType="end"/>
                          </w:r>
                          <w:r>
                            <w:rPr>
                              <w:rFonts w:hint="eastAsia" w:ascii="宋体" w:hAnsi="宋体" w:eastAsia="宋体" w:cs="Times New Roman"/>
                              <w:kern w:val="2"/>
                              <w:sz w:val="20"/>
                              <w:szCs w:val="24"/>
                              <w:lang w:val="en-US" w:eastAsia="zh-CN" w:bidi="ar-SA"/>
                            </w:rPr>
                            <w:t xml:space="preserve">  </w:t>
                          </w:r>
                          <w:r>
                            <w:rPr>
                              <w:rFonts w:hint="eastAsia" w:ascii="宋体" w:hAnsi="宋体" w:eastAsia="宋体" w:cs="Times New Roman"/>
                              <w:kern w:val="2"/>
                              <w:sz w:val="28"/>
                              <w:szCs w:val="28"/>
                              <w:lang w:val="en-US" w:eastAsia="zh-CN" w:bidi="ar-SA"/>
                            </w:rPr>
                            <w:t>—</w:t>
                          </w:r>
                        </w:p>
                      </w:txbxContent>
                    </wps:txbx>
                    <wps:bodyPr vert="horz" wrap="none" lIns="0" tIns="0" rIns="0" bIns="0" anchor="t" anchorCtr="0" upright="0">
                      <a:spAutoFit/>
                    </wps:bodyPr>
                  </wps:wsp>
                </a:graphicData>
              </a:graphic>
            </wp:anchor>
          </w:drawing>
        </mc:Choice>
        <mc:Fallback>
          <w:pict>
            <v:shape id="文本框 2064"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tlNlOIBAADDAwAADgAA&#10;AAAAAAABACAAAAAeAQAAZHJzL2Uyb0RvYy54bWxQSwUGAAAAAAYABgBZAQAAcgUAAAAA&#10;">
              <v:fill on="f" focussize="0,0"/>
              <v:stroke on="f"/>
              <v:imagedata o:title=""/>
              <o:lock v:ext="edit" aspectratio="f"/>
              <v:textbox inset="0mm,0mm,0mm,0mm" style="mso-fit-shape-to-text:t;">
                <w:txbxContent>
                  <w:p w14:paraId="5DD9B5E7">
                    <w:pPr>
                      <w:widowControl w:val="0"/>
                      <w:tabs>
                        <w:tab w:val="center" w:pos="4153"/>
                        <w:tab w:val="right" w:pos="8306"/>
                      </w:tabs>
                      <w:snapToGrid w:val="0"/>
                      <w:jc w:val="left"/>
                      <w:rPr>
                        <w:rFonts w:ascii="宋体" w:hAnsi="宋体" w:eastAsia="宋体" w:cs="Times New Roman"/>
                        <w:kern w:val="0"/>
                        <w:sz w:val="28"/>
                        <w:szCs w:val="28"/>
                        <w:lang w:val="en-US" w:eastAsia="zh-CN" w:bidi="ar-SA"/>
                      </w:rPr>
                    </w:pPr>
                    <w:r>
                      <w:rPr>
                        <w:rFonts w:hint="eastAsia" w:ascii="宋体" w:hAnsi="宋体" w:eastAsia="宋体" w:cs="Times New Roman"/>
                        <w:kern w:val="2"/>
                        <w:sz w:val="28"/>
                        <w:szCs w:val="28"/>
                        <w:lang w:val="en-US" w:eastAsia="zh-CN" w:bidi="ar-SA"/>
                      </w:rPr>
                      <w:t>—</w:t>
                    </w:r>
                    <w:r>
                      <w:rPr>
                        <w:rFonts w:hint="eastAsia" w:ascii="宋体" w:hAnsi="宋体" w:eastAsia="宋体" w:cs="Times New Roman"/>
                        <w:kern w:val="2"/>
                        <w:sz w:val="20"/>
                        <w:szCs w:val="24"/>
                        <w:lang w:val="en-US" w:eastAsia="zh-CN" w:bidi="ar-SA"/>
                      </w:rPr>
                      <w:t xml:space="preserve">  </w:t>
                    </w:r>
                    <w:r>
                      <w:rPr>
                        <w:rFonts w:ascii="宋体" w:hAnsi="宋体" w:eastAsia="宋体" w:cs="Times New Roman"/>
                        <w:kern w:val="0"/>
                        <w:sz w:val="26"/>
                        <w:szCs w:val="26"/>
                        <w:lang w:val="en-US" w:eastAsia="zh-CN" w:bidi="ar-SA"/>
                      </w:rPr>
                      <w:fldChar w:fldCharType="begin"/>
                    </w:r>
                    <w:r>
                      <w:rPr>
                        <w:rFonts w:ascii="宋体" w:hAnsi="宋体" w:eastAsia="宋体" w:cs="Times New Roman"/>
                        <w:kern w:val="2"/>
                        <w:sz w:val="26"/>
                        <w:szCs w:val="26"/>
                        <w:lang w:val="en-US" w:eastAsia="zh-CN" w:bidi="ar-SA"/>
                      </w:rPr>
                      <w:instrText xml:space="preserve">PAGE  </w:instrText>
                    </w:r>
                    <w:r>
                      <w:rPr>
                        <w:rFonts w:ascii="宋体" w:hAnsi="宋体" w:eastAsia="宋体" w:cs="Times New Roman"/>
                        <w:kern w:val="0"/>
                        <w:sz w:val="26"/>
                        <w:szCs w:val="26"/>
                        <w:lang w:val="en-US" w:eastAsia="zh-CN" w:bidi="ar-SA"/>
                      </w:rPr>
                      <w:fldChar w:fldCharType="separate"/>
                    </w:r>
                    <w:r>
                      <w:rPr>
                        <w:rFonts w:ascii="宋体" w:hAnsi="宋体" w:eastAsia="宋体" w:cs="Times New Roman"/>
                        <w:kern w:val="2"/>
                        <w:sz w:val="26"/>
                        <w:szCs w:val="26"/>
                        <w:lang w:val="en-US" w:eastAsia="zh-CN" w:bidi="ar-SA"/>
                      </w:rPr>
                      <w:t>10</w:t>
                    </w:r>
                    <w:r>
                      <w:rPr>
                        <w:rFonts w:ascii="宋体" w:hAnsi="宋体" w:eastAsia="宋体" w:cs="Times New Roman"/>
                        <w:kern w:val="0"/>
                        <w:sz w:val="26"/>
                        <w:szCs w:val="26"/>
                        <w:lang w:val="en-US" w:eastAsia="zh-CN" w:bidi="ar-SA"/>
                      </w:rPr>
                      <w:fldChar w:fldCharType="end"/>
                    </w:r>
                    <w:r>
                      <w:rPr>
                        <w:rFonts w:hint="eastAsia" w:ascii="宋体" w:hAnsi="宋体" w:eastAsia="宋体" w:cs="Times New Roman"/>
                        <w:kern w:val="2"/>
                        <w:sz w:val="20"/>
                        <w:szCs w:val="24"/>
                        <w:lang w:val="en-US" w:eastAsia="zh-CN" w:bidi="ar-SA"/>
                      </w:rPr>
                      <w:t xml:space="preserve">  </w:t>
                    </w:r>
                    <w:r>
                      <w:rPr>
                        <w:rFonts w:hint="eastAsia" w:ascii="宋体" w:hAnsi="宋体" w:eastAsia="宋体" w:cs="Times New Roman"/>
                        <w:kern w:val="2"/>
                        <w:sz w:val="28"/>
                        <w:szCs w:val="28"/>
                        <w:lang w:val="en-US" w:eastAsia="zh-CN" w:bidi="ar-SA"/>
                      </w:rPr>
                      <w:t>—</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5300C">
    <w:pPr>
      <w:pStyle w:val="33"/>
      <w:ind w:right="360"/>
      <w:jc w:val="both"/>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6"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202DCE">
                          <w:pPr>
                            <w:pStyle w:val="33"/>
                            <w:rPr>
                              <w:rStyle w:val="48"/>
                              <w:rFonts w:ascii="宋体" w:hAnsi="宋体"/>
                              <w:sz w:val="28"/>
                              <w:szCs w:val="28"/>
                            </w:rPr>
                          </w:pPr>
                          <w:r>
                            <w:rPr>
                              <w:rStyle w:val="48"/>
                              <w:rFonts w:hint="eastAsia" w:ascii="宋体" w:hAnsi="宋体"/>
                              <w:sz w:val="28"/>
                              <w:szCs w:val="28"/>
                            </w:rPr>
                            <w:t>—</w:t>
                          </w:r>
                          <w:r>
                            <w:rPr>
                              <w:rStyle w:val="48"/>
                              <w:rFonts w:hint="eastAsia" w:ascii="宋体" w:hAnsi="宋体"/>
                              <w:sz w:val="20"/>
                            </w:rPr>
                            <w:t xml:space="preserve">  </w:t>
                          </w:r>
                          <w:r>
                            <w:rPr>
                              <w:rFonts w:ascii="宋体" w:hAnsi="宋体"/>
                              <w:sz w:val="26"/>
                              <w:szCs w:val="26"/>
                            </w:rPr>
                            <w:fldChar w:fldCharType="begin"/>
                          </w:r>
                          <w:r>
                            <w:rPr>
                              <w:rStyle w:val="48"/>
                              <w:rFonts w:ascii="宋体" w:hAnsi="宋体"/>
                              <w:sz w:val="26"/>
                              <w:szCs w:val="26"/>
                            </w:rPr>
                            <w:instrText xml:space="preserve">PAGE  </w:instrText>
                          </w:r>
                          <w:r>
                            <w:rPr>
                              <w:rFonts w:ascii="宋体" w:hAnsi="宋体"/>
                              <w:sz w:val="26"/>
                              <w:szCs w:val="26"/>
                            </w:rPr>
                            <w:fldChar w:fldCharType="separate"/>
                          </w:r>
                          <w:r>
                            <w:rPr>
                              <w:rStyle w:val="48"/>
                              <w:rFonts w:ascii="宋体" w:hAnsi="宋体"/>
                              <w:sz w:val="26"/>
                              <w:szCs w:val="26"/>
                            </w:rPr>
                            <w:t>11</w:t>
                          </w:r>
                          <w:r>
                            <w:rPr>
                              <w:rFonts w:ascii="宋体" w:hAnsi="宋体"/>
                              <w:sz w:val="26"/>
                              <w:szCs w:val="26"/>
                            </w:rPr>
                            <w:fldChar w:fldCharType="end"/>
                          </w:r>
                          <w:r>
                            <w:rPr>
                              <w:rStyle w:val="48"/>
                              <w:rFonts w:hint="eastAsia" w:ascii="宋体" w:hAnsi="宋体"/>
                              <w:sz w:val="20"/>
                            </w:rPr>
                            <w:t xml:space="preserve">  </w:t>
                          </w:r>
                          <w:r>
                            <w:rPr>
                              <w:rStyle w:val="48"/>
                              <w:rFonts w:hint="eastAsia" w:ascii="宋体" w:hAnsi="宋体"/>
                              <w:sz w:val="28"/>
                              <w:szCs w:val="28"/>
                            </w:rPr>
                            <w:t>—</w:t>
                          </w:r>
                        </w:p>
                      </w:txbxContent>
                    </wps:txbx>
                    <wps:bodyPr vert="horz" wrap="none" lIns="0" tIns="0" rIns="0" bIns="0" anchor="t" anchorCtr="0" upright="0">
                      <a:spAutoFit/>
                    </wps:bodyPr>
                  </wps:wsp>
                </a:graphicData>
              </a:graphic>
            </wp:anchor>
          </w:drawing>
        </mc:Choice>
        <mc:Fallback>
          <w:pict>
            <v:shape id="文本框 1030"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mucw84QEAAMMDAAAOAAAA&#10;AAAAAAEAIAAAAB4BAABkcnMvZTJvRG9jLnhtbFBLBQYAAAAABgAGAFkBAABxBQAAAAA=&#10;">
              <v:fill on="f" focussize="0,0"/>
              <v:stroke on="f"/>
              <v:imagedata o:title=""/>
              <o:lock v:ext="edit" aspectratio="f"/>
              <v:textbox inset="0mm,0mm,0mm,0mm" style="mso-fit-shape-to-text:t;">
                <w:txbxContent>
                  <w:p w14:paraId="4D202DCE">
                    <w:pPr>
                      <w:pStyle w:val="33"/>
                      <w:rPr>
                        <w:rStyle w:val="48"/>
                        <w:rFonts w:ascii="宋体" w:hAnsi="宋体"/>
                        <w:sz w:val="28"/>
                        <w:szCs w:val="28"/>
                      </w:rPr>
                    </w:pPr>
                    <w:r>
                      <w:rPr>
                        <w:rStyle w:val="48"/>
                        <w:rFonts w:hint="eastAsia" w:ascii="宋体" w:hAnsi="宋体"/>
                        <w:sz w:val="28"/>
                        <w:szCs w:val="28"/>
                      </w:rPr>
                      <w:t>—</w:t>
                    </w:r>
                    <w:r>
                      <w:rPr>
                        <w:rStyle w:val="48"/>
                        <w:rFonts w:hint="eastAsia" w:ascii="宋体" w:hAnsi="宋体"/>
                        <w:sz w:val="20"/>
                      </w:rPr>
                      <w:t xml:space="preserve">  </w:t>
                    </w:r>
                    <w:r>
                      <w:rPr>
                        <w:rFonts w:ascii="宋体" w:hAnsi="宋体"/>
                        <w:sz w:val="26"/>
                        <w:szCs w:val="26"/>
                      </w:rPr>
                      <w:fldChar w:fldCharType="begin"/>
                    </w:r>
                    <w:r>
                      <w:rPr>
                        <w:rStyle w:val="48"/>
                        <w:rFonts w:ascii="宋体" w:hAnsi="宋体"/>
                        <w:sz w:val="26"/>
                        <w:szCs w:val="26"/>
                      </w:rPr>
                      <w:instrText xml:space="preserve">PAGE  </w:instrText>
                    </w:r>
                    <w:r>
                      <w:rPr>
                        <w:rFonts w:ascii="宋体" w:hAnsi="宋体"/>
                        <w:sz w:val="26"/>
                        <w:szCs w:val="26"/>
                      </w:rPr>
                      <w:fldChar w:fldCharType="separate"/>
                    </w:r>
                    <w:r>
                      <w:rPr>
                        <w:rStyle w:val="48"/>
                        <w:rFonts w:ascii="宋体" w:hAnsi="宋体"/>
                        <w:sz w:val="26"/>
                        <w:szCs w:val="26"/>
                      </w:rPr>
                      <w:t>11</w:t>
                    </w:r>
                    <w:r>
                      <w:rPr>
                        <w:rFonts w:ascii="宋体" w:hAnsi="宋体"/>
                        <w:sz w:val="26"/>
                        <w:szCs w:val="26"/>
                      </w:rPr>
                      <w:fldChar w:fldCharType="end"/>
                    </w:r>
                    <w:r>
                      <w:rPr>
                        <w:rStyle w:val="48"/>
                        <w:rFonts w:hint="eastAsia" w:ascii="宋体" w:hAnsi="宋体"/>
                        <w:sz w:val="20"/>
                      </w:rPr>
                      <w:t xml:space="preserve">  </w:t>
                    </w:r>
                    <w:r>
                      <w:rPr>
                        <w:rStyle w:val="48"/>
                        <w:rFonts w:hint="eastAsia" w:ascii="宋体" w:hAnsi="宋体"/>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23809">
    <w:pPr>
      <w:pStyle w:val="3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8BE26">
    <w:pPr>
      <w:pStyle w:val="3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8C947">
    <w:pPr>
      <w:pStyle w:val="3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5782F">
    <w:pPr>
      <w:pStyle w:val="34"/>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4A51D">
    <w:pPr>
      <w:pStyle w:val="34"/>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3DA46">
    <w:pPr>
      <w:pStyle w:val="34"/>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1022A">
    <w:pPr>
      <w:pStyle w:val="3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00E9B5"/>
    <w:multiLevelType w:val="singleLevel"/>
    <w:tmpl w:val="BB00E9B5"/>
    <w:lvl w:ilvl="0" w:tentative="0">
      <w:start w:val="1"/>
      <w:numFmt w:val="decimal"/>
      <w:pStyle w:val="151"/>
      <w:suff w:val="space"/>
      <w:lvlText w:val="表2-%1"/>
      <w:lvlJc w:val="center"/>
      <w:pPr>
        <w:tabs>
          <w:tab w:val="left" w:pos="0"/>
        </w:tabs>
        <w:ind w:left="0" w:firstLine="0"/>
      </w:pPr>
      <w:rPr>
        <w:rFonts w:hint="default" w:ascii="Times New Roman" w:hAnsi="Times New Roman"/>
        <w:b/>
        <w:bCs/>
        <w:snapToGrid w:val="0"/>
        <w:color w:val="000000"/>
        <w:sz w:val="21"/>
        <w:szCs w:val="21"/>
      </w:rPr>
    </w:lvl>
  </w:abstractNum>
  <w:abstractNum w:abstractNumId="1">
    <w:nsid w:val="D0FA49B2"/>
    <w:multiLevelType w:val="multilevel"/>
    <w:tmpl w:val="D0FA49B2"/>
    <w:lvl w:ilvl="0" w:tentative="0">
      <w:start w:val="1"/>
      <w:numFmt w:val="decimal"/>
      <w:pStyle w:val="153"/>
      <w:suff w:val="space"/>
      <w:lvlText w:val="%1."/>
      <w:lvlJc w:val="left"/>
      <w:pPr>
        <w:tabs>
          <w:tab w:val="left" w:pos="0"/>
        </w:tabs>
        <w:ind w:left="0" w:firstLine="482"/>
      </w:pPr>
      <w:rPr>
        <w:rFonts w:hint="default"/>
        <w:b/>
        <w:bCs/>
        <w:color w:val="000000"/>
        <w:sz w:val="24"/>
        <w:szCs w:val="24"/>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
    <w:nsid w:val="E6BFA822"/>
    <w:multiLevelType w:val="singleLevel"/>
    <w:tmpl w:val="E6BFA822"/>
    <w:lvl w:ilvl="0" w:tentative="0">
      <w:start w:val="1"/>
      <w:numFmt w:val="decimal"/>
      <w:suff w:val="space"/>
      <w:lvlText w:val="图2-%1"/>
      <w:lvlJc w:val="left"/>
      <w:pPr>
        <w:tabs>
          <w:tab w:val="left" w:pos="420"/>
        </w:tabs>
        <w:ind w:left="0" w:firstLine="0"/>
      </w:pPr>
      <w:rPr>
        <w:rFonts w:hint="default"/>
        <w:b/>
        <w:sz w:val="21"/>
        <w:szCs w:val="21"/>
      </w:rPr>
    </w:lvl>
  </w:abstractNum>
  <w:abstractNum w:abstractNumId="3">
    <w:nsid w:val="F24B7D65"/>
    <w:multiLevelType w:val="singleLevel"/>
    <w:tmpl w:val="F24B7D65"/>
    <w:lvl w:ilvl="0" w:tentative="0">
      <w:start w:val="1"/>
      <w:numFmt w:val="decimal"/>
      <w:suff w:val="space"/>
      <w:lvlText w:val="表3-%1"/>
      <w:lvlJc w:val="center"/>
      <w:pPr>
        <w:tabs>
          <w:tab w:val="left" w:pos="0"/>
        </w:tabs>
        <w:ind w:left="0" w:firstLine="40"/>
      </w:pPr>
      <w:rPr>
        <w:rFonts w:hint="default" w:ascii="Times New Roman" w:hAnsi="Times New Roman" w:cs="Times New Roman"/>
        <w:b/>
        <w:color w:val="000000"/>
        <w:sz w:val="21"/>
        <w:szCs w:val="21"/>
      </w:rPr>
    </w:lvl>
  </w:abstractNum>
  <w:abstractNum w:abstractNumId="4">
    <w:nsid w:val="FEF7C76B"/>
    <w:multiLevelType w:val="singleLevel"/>
    <w:tmpl w:val="FEF7C76B"/>
    <w:lvl w:ilvl="0" w:tentative="0">
      <w:start w:val="1"/>
      <w:numFmt w:val="decimal"/>
      <w:lvlText w:val="%1."/>
      <w:lvlJc w:val="left"/>
      <w:pPr>
        <w:ind w:left="425" w:hanging="425"/>
      </w:pPr>
      <w:rPr>
        <w:rFonts w:hint="default"/>
      </w:rPr>
    </w:lvl>
  </w:abstractNum>
  <w:abstractNum w:abstractNumId="5">
    <w:nsid w:val="FEFB23CF"/>
    <w:multiLevelType w:val="singleLevel"/>
    <w:tmpl w:val="FEFB23CF"/>
    <w:lvl w:ilvl="0" w:tentative="0">
      <w:start w:val="1"/>
      <w:numFmt w:val="decimal"/>
      <w:suff w:val="space"/>
      <w:lvlText w:val="表2-%1"/>
      <w:lvlJc w:val="center"/>
      <w:pPr>
        <w:tabs>
          <w:tab w:val="left" w:pos="0"/>
        </w:tabs>
        <w:ind w:left="0" w:firstLine="40"/>
      </w:pPr>
      <w:rPr>
        <w:rFonts w:hint="default" w:ascii="Times New Roman" w:hAnsi="Times New Roman" w:cs="Times New Roman"/>
        <w:b/>
        <w:color w:val="000000"/>
        <w:sz w:val="21"/>
        <w:szCs w:val="21"/>
      </w:rPr>
    </w:lvl>
  </w:abstractNum>
  <w:abstractNum w:abstractNumId="6">
    <w:nsid w:val="00000002"/>
    <w:multiLevelType w:val="multilevel"/>
    <w:tmpl w:val="00000002"/>
    <w:lvl w:ilvl="0" w:tentative="0">
      <w:start w:val="1"/>
      <w:numFmt w:val="bullet"/>
      <w:lvlText w:val=""/>
      <w:lvlJc w:val="left"/>
      <w:pPr>
        <w:tabs>
          <w:tab w:val="left" w:pos="780"/>
        </w:tabs>
        <w:ind w:left="840" w:hanging="360"/>
      </w:pPr>
      <w:rPr>
        <w:rFonts w:hint="default" w:ascii="Wingdings" w:hAnsi="Wingdings"/>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0000000C"/>
    <w:multiLevelType w:val="singleLevel"/>
    <w:tmpl w:val="0000000C"/>
    <w:lvl w:ilvl="0" w:tentative="0">
      <w:start w:val="1"/>
      <w:numFmt w:val="chineseCounting"/>
      <w:pStyle w:val="176"/>
      <w:suff w:val="nothing"/>
      <w:lvlText w:val="（%1）"/>
      <w:lvlJc w:val="left"/>
      <w:pPr>
        <w:ind w:left="0" w:firstLine="420"/>
      </w:pPr>
      <w:rPr>
        <w:rFonts w:hint="eastAsia"/>
      </w:rPr>
    </w:lvl>
  </w:abstractNum>
  <w:abstractNum w:abstractNumId="8">
    <w:nsid w:val="182F78F9"/>
    <w:multiLevelType w:val="singleLevel"/>
    <w:tmpl w:val="182F78F9"/>
    <w:lvl w:ilvl="0" w:tentative="0">
      <w:start w:val="1"/>
      <w:numFmt w:val="bullet"/>
      <w:pStyle w:val="23"/>
      <w:lvlText w:val=""/>
      <w:lvlJc w:val="left"/>
      <w:pPr>
        <w:tabs>
          <w:tab w:val="left" w:pos="2040"/>
        </w:tabs>
        <w:ind w:left="2040" w:hanging="360"/>
      </w:pPr>
      <w:rPr>
        <w:rFonts w:hint="default" w:ascii="Wingdings" w:hAnsi="Wingdings"/>
      </w:rPr>
    </w:lvl>
  </w:abstractNum>
  <w:abstractNum w:abstractNumId="9">
    <w:nsid w:val="21130950"/>
    <w:multiLevelType w:val="multilevel"/>
    <w:tmpl w:val="21130950"/>
    <w:lvl w:ilvl="0" w:tentative="0">
      <w:start w:val="1"/>
      <w:numFmt w:val="decimal"/>
      <w:lvlText w:val="%1."/>
      <w:lvlJc w:val="left"/>
      <w:pPr>
        <w:ind w:left="567" w:hanging="425"/>
      </w:pPr>
    </w:lvl>
    <w:lvl w:ilvl="1" w:tentative="0">
      <w:start w:val="1"/>
      <w:numFmt w:val="decimal"/>
      <w:pStyle w:val="54"/>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rPr>
        <w:i w:val="0"/>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0">
    <w:nsid w:val="3744670F"/>
    <w:multiLevelType w:val="multilevel"/>
    <w:tmpl w:val="3744670F"/>
    <w:lvl w:ilvl="0" w:tentative="0">
      <w:start w:val="1"/>
      <w:numFmt w:val="decimal"/>
      <w:lvlText w:val="%1"/>
      <w:lvlJc w:val="left"/>
      <w:pPr>
        <w:ind w:left="432" w:hanging="432"/>
      </w:pPr>
      <w:rPr>
        <w:rFonts w:hint="eastAsia"/>
      </w:rPr>
    </w:lvl>
    <w:lvl w:ilvl="1" w:tentative="0">
      <w:start w:val="1"/>
      <w:numFmt w:val="none"/>
      <w:suff w:val="nothing"/>
      <w:lvlText w:val=""/>
      <w:lvlJc w:val="left"/>
      <w:pPr>
        <w:tabs>
          <w:tab w:val="left" w:pos="0"/>
        </w:tabs>
        <w:ind w:left="0" w:firstLine="0"/>
      </w:pPr>
      <w:rPr>
        <w:rFonts w:hint="eastAsia" w:ascii="宋体" w:hAnsi="宋体" w:eastAsia="宋体" w:cs="宋体"/>
      </w:rPr>
    </w:lvl>
    <w:lvl w:ilvl="2" w:tentative="0">
      <w:start w:val="1"/>
      <w:numFmt w:val="chineseCounting"/>
      <w:suff w:val="nothing"/>
      <w:lvlText w:val="%3、"/>
      <w:lvlJc w:val="left"/>
      <w:pPr>
        <w:tabs>
          <w:tab w:val="left" w:pos="0"/>
        </w:tabs>
        <w:ind w:left="-2" w:firstLine="0"/>
      </w:pPr>
      <w:rPr>
        <w:rFonts w:hint="eastAsia" w:ascii="宋体" w:hAnsi="宋体" w:eastAsia="宋体" w:cs="宋体"/>
        <w:b/>
        <w:bCs/>
        <w:sz w:val="24"/>
        <w:szCs w:val="24"/>
      </w:rPr>
    </w:lvl>
    <w:lvl w:ilvl="3" w:tentative="0">
      <w:start w:val="1"/>
      <w:numFmt w:val="decimal"/>
      <w:suff w:val="nothing"/>
      <w:lvlText w:val="%4、"/>
      <w:lvlJc w:val="left"/>
      <w:pPr>
        <w:tabs>
          <w:tab w:val="left" w:pos="0"/>
        </w:tabs>
        <w:ind w:left="-96" w:hanging="864"/>
      </w:pPr>
      <w:rPr>
        <w:rFonts w:hint="eastAsia" w:ascii="Times New Roman" w:hAnsi="Times New Roman" w:eastAsia="宋体" w:cs="宋体"/>
        <w:b/>
        <w:bCs/>
        <w:sz w:val="24"/>
        <w:szCs w:val="24"/>
      </w:rPr>
    </w:lvl>
    <w:lvl w:ilvl="4" w:tentative="0">
      <w:start w:val="1"/>
      <w:numFmt w:val="decimal"/>
      <w:pStyle w:val="11"/>
      <w:suff w:val="nothing"/>
      <w:lvlText w:val="（%5）"/>
      <w:lvlJc w:val="left"/>
      <w:pPr>
        <w:tabs>
          <w:tab w:val="left" w:pos="0"/>
        </w:tabs>
        <w:ind w:left="-960" w:firstLine="0"/>
      </w:pPr>
      <w:rPr>
        <w:rFonts w:hint="eastAsia" w:ascii="Times New Roman" w:hAnsi="Times New Roman" w:eastAsia="宋体" w:cs="宋体"/>
      </w:rPr>
    </w:lvl>
    <w:lvl w:ilvl="5" w:tentative="0">
      <w:start w:val="1"/>
      <w:numFmt w:val="decimalEnclosedCircleChinese"/>
      <w:pStyle w:val="12"/>
      <w:suff w:val="nothing"/>
      <w:lvlText w:val="%6"/>
      <w:lvlJc w:val="left"/>
      <w:pPr>
        <w:tabs>
          <w:tab w:val="left" w:pos="0"/>
        </w:tabs>
        <w:ind w:left="0" w:firstLine="0"/>
      </w:pPr>
      <w:rPr>
        <w:rFonts w:hint="eastAsia" w:ascii="宋体" w:hAnsi="宋体" w:eastAsia="宋体" w:cs="宋体"/>
        <w:sz w:val="21"/>
        <w:szCs w:val="21"/>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1">
    <w:nsid w:val="41862CA9"/>
    <w:multiLevelType w:val="multilevel"/>
    <w:tmpl w:val="41862CA9"/>
    <w:lvl w:ilvl="0" w:tentative="0">
      <w:start w:val="1"/>
      <w:numFmt w:val="decimal"/>
      <w:suff w:val="space"/>
      <w:lvlText w:val="%1"/>
      <w:lvlJc w:val="left"/>
      <w:pPr>
        <w:ind w:left="0" w:firstLine="0"/>
      </w:pPr>
      <w:rPr>
        <w:rFonts w:hint="eastAsia"/>
        <w:sz w:val="30"/>
        <w:szCs w:val="30"/>
      </w:rPr>
    </w:lvl>
    <w:lvl w:ilvl="1" w:tentative="0">
      <w:start w:val="1"/>
      <w:numFmt w:val="decimal"/>
      <w:pStyle w:val="75"/>
      <w:suff w:val="space"/>
      <w:lvlText w:val="%1.%2"/>
      <w:lvlJc w:val="left"/>
      <w:pPr>
        <w:ind w:left="1560" w:firstLine="0"/>
      </w:pPr>
      <w:rPr>
        <w:rFonts w:hint="default" w:ascii="Arial" w:hAnsi="Arial"/>
      </w:rPr>
    </w:lvl>
    <w:lvl w:ilvl="2" w:tentative="0">
      <w:start w:val="1"/>
      <w:numFmt w:val="decimal"/>
      <w:suff w:val="space"/>
      <w:lvlText w:val="%1.%2.%3"/>
      <w:lvlJc w:val="left"/>
      <w:pPr>
        <w:ind w:left="994" w:hanging="426"/>
      </w:pPr>
      <w:rPr>
        <w:rFonts w:hint="default" w:ascii="Arial" w:hAnsi="Arial"/>
      </w:rPr>
    </w:lvl>
    <w:lvl w:ilvl="3" w:tentative="0">
      <w:start w:val="1"/>
      <w:numFmt w:val="decimal"/>
      <w:suff w:val="nothing"/>
      <w:lvlText w:val="%1.%2.%3.%4"/>
      <w:lvlJc w:val="left"/>
      <w:pPr>
        <w:ind w:left="851" w:hanging="851"/>
      </w:pPr>
      <w:rPr>
        <w:rFonts w:hint="eastAsia" w:ascii="Arial" w:hAnsi="Arial"/>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4A3CC985"/>
    <w:multiLevelType w:val="singleLevel"/>
    <w:tmpl w:val="4A3CC985"/>
    <w:lvl w:ilvl="0" w:tentative="0">
      <w:start w:val="1"/>
      <w:numFmt w:val="decimal"/>
      <w:suff w:val="nothing"/>
      <w:lvlText w:val="%1、"/>
      <w:lvlJc w:val="left"/>
    </w:lvl>
  </w:abstractNum>
  <w:abstractNum w:abstractNumId="13">
    <w:nsid w:val="68BC5020"/>
    <w:multiLevelType w:val="singleLevel"/>
    <w:tmpl w:val="68BC5020"/>
    <w:lvl w:ilvl="0" w:tentative="0">
      <w:start w:val="3"/>
      <w:numFmt w:val="chineseCounting"/>
      <w:suff w:val="nothing"/>
      <w:lvlText w:val="%1、"/>
      <w:lvlJc w:val="left"/>
      <w:rPr>
        <w:rFonts w:hint="eastAsia"/>
      </w:rPr>
    </w:lvl>
  </w:abstractNum>
  <w:abstractNum w:abstractNumId="14">
    <w:nsid w:val="6FCC5E05"/>
    <w:multiLevelType w:val="singleLevel"/>
    <w:tmpl w:val="6FCC5E05"/>
    <w:lvl w:ilvl="0" w:tentative="0">
      <w:start w:val="6"/>
      <w:numFmt w:val="decimal"/>
      <w:suff w:val="nothing"/>
      <w:lvlText w:val="%1、"/>
      <w:lvlJc w:val="left"/>
    </w:lvl>
  </w:abstractNum>
  <w:abstractNum w:abstractNumId="15">
    <w:nsid w:val="72B149C0"/>
    <w:multiLevelType w:val="singleLevel"/>
    <w:tmpl w:val="72B149C0"/>
    <w:lvl w:ilvl="0" w:tentative="0">
      <w:start w:val="1"/>
      <w:numFmt w:val="bullet"/>
      <w:pStyle w:val="25"/>
      <w:lvlText w:val=""/>
      <w:lvlJc w:val="left"/>
      <w:pPr>
        <w:tabs>
          <w:tab w:val="left" w:pos="780"/>
        </w:tabs>
        <w:ind w:left="780" w:hanging="360"/>
      </w:pPr>
      <w:rPr>
        <w:rFonts w:hint="default" w:ascii="Wingdings" w:hAnsi="Wingdings"/>
      </w:rPr>
    </w:lvl>
  </w:abstractNum>
  <w:abstractNum w:abstractNumId="16">
    <w:nsid w:val="7E84E819"/>
    <w:multiLevelType w:val="singleLevel"/>
    <w:tmpl w:val="7E84E819"/>
    <w:lvl w:ilvl="0" w:tentative="0">
      <w:start w:val="1"/>
      <w:numFmt w:val="decimal"/>
      <w:pStyle w:val="155"/>
      <w:suff w:val="space"/>
      <w:lvlText w:val="表1-%1"/>
      <w:lvlJc w:val="center"/>
      <w:pPr>
        <w:tabs>
          <w:tab w:val="left" w:pos="0"/>
        </w:tabs>
        <w:ind w:left="0" w:firstLine="0"/>
      </w:pPr>
      <w:rPr>
        <w:rFonts w:hint="default" w:ascii="Times New Roman" w:hAnsi="Times New Roman"/>
        <w:b/>
        <w:bCs/>
        <w:sz w:val="21"/>
        <w:szCs w:val="21"/>
      </w:rPr>
    </w:lvl>
  </w:abstractNum>
  <w:num w:numId="1">
    <w:abstractNumId w:val="10"/>
  </w:num>
  <w:num w:numId="2">
    <w:abstractNumId w:val="8"/>
  </w:num>
  <w:num w:numId="3">
    <w:abstractNumId w:val="15"/>
  </w:num>
  <w:num w:numId="4">
    <w:abstractNumId w:val="9"/>
  </w:num>
  <w:num w:numId="5">
    <w:abstractNumId w:val="11"/>
  </w:num>
  <w:num w:numId="6">
    <w:abstractNumId w:val="0"/>
  </w:num>
  <w:num w:numId="7">
    <w:abstractNumId w:val="1"/>
  </w:num>
  <w:num w:numId="8">
    <w:abstractNumId w:val="16"/>
  </w:num>
  <w:num w:numId="9">
    <w:abstractNumId w:val="7"/>
  </w:num>
  <w:num w:numId="10">
    <w:abstractNumId w:val="5"/>
  </w:num>
  <w:num w:numId="11">
    <w:abstractNumId w:val="2"/>
  </w:num>
  <w:num w:numId="12">
    <w:abstractNumId w:val="12"/>
  </w:num>
  <w:num w:numId="13">
    <w:abstractNumId w:val="13"/>
  </w:num>
  <w:num w:numId="14">
    <w:abstractNumId w:val="3"/>
  </w:num>
  <w:num w:numId="15">
    <w:abstractNumId w:val="4"/>
  </w:num>
  <w:num w:numId="16">
    <w:abstractNumId w:val="1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zZmVlNzJjYTlkNDJmNTU5YjllMGJmOTE3YjBlZjkifQ=="/>
  </w:docVars>
  <w:rsids>
    <w:rsidRoot w:val="00172A27"/>
    <w:rsid w:val="000060B3"/>
    <w:rsid w:val="00015F24"/>
    <w:rsid w:val="0004364B"/>
    <w:rsid w:val="00061B1F"/>
    <w:rsid w:val="00062D88"/>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1F6F"/>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1AF3"/>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4E1D"/>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2862"/>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4795"/>
    <w:rsid w:val="00815465"/>
    <w:rsid w:val="00817E9A"/>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22DA5"/>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3BB5"/>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C4924"/>
    <w:rsid w:val="00AD055E"/>
    <w:rsid w:val="00AD47A7"/>
    <w:rsid w:val="00AF0CBF"/>
    <w:rsid w:val="00AF257F"/>
    <w:rsid w:val="00AF33CF"/>
    <w:rsid w:val="00AF4D50"/>
    <w:rsid w:val="00AF6179"/>
    <w:rsid w:val="00B1295A"/>
    <w:rsid w:val="00B20A45"/>
    <w:rsid w:val="00B22C5C"/>
    <w:rsid w:val="00B24F30"/>
    <w:rsid w:val="00B31ABF"/>
    <w:rsid w:val="00B33BE3"/>
    <w:rsid w:val="00B356EC"/>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056B"/>
    <w:rsid w:val="00CF0C49"/>
    <w:rsid w:val="00CF36BE"/>
    <w:rsid w:val="00CF6000"/>
    <w:rsid w:val="00D003F3"/>
    <w:rsid w:val="00D0364F"/>
    <w:rsid w:val="00D06834"/>
    <w:rsid w:val="00D118B6"/>
    <w:rsid w:val="00D308ED"/>
    <w:rsid w:val="00D36D86"/>
    <w:rsid w:val="00D428AA"/>
    <w:rsid w:val="00D50A34"/>
    <w:rsid w:val="00D53EFA"/>
    <w:rsid w:val="00D94A7C"/>
    <w:rsid w:val="00D95896"/>
    <w:rsid w:val="00DA7A42"/>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23D"/>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1BAF"/>
    <w:rsid w:val="00F465A7"/>
    <w:rsid w:val="00F50B7C"/>
    <w:rsid w:val="00F550E6"/>
    <w:rsid w:val="00F62C86"/>
    <w:rsid w:val="00F74345"/>
    <w:rsid w:val="00F80A0A"/>
    <w:rsid w:val="00F82B19"/>
    <w:rsid w:val="00F9212D"/>
    <w:rsid w:val="00F965DA"/>
    <w:rsid w:val="00FA406A"/>
    <w:rsid w:val="00FB503A"/>
    <w:rsid w:val="00FB516C"/>
    <w:rsid w:val="00FD0236"/>
    <w:rsid w:val="00FD18F4"/>
    <w:rsid w:val="00FD54DB"/>
    <w:rsid w:val="00FD619F"/>
    <w:rsid w:val="010E282D"/>
    <w:rsid w:val="01290F7E"/>
    <w:rsid w:val="012F2BCE"/>
    <w:rsid w:val="013C3EE0"/>
    <w:rsid w:val="0143304E"/>
    <w:rsid w:val="015C24E4"/>
    <w:rsid w:val="015D1E09"/>
    <w:rsid w:val="01826A17"/>
    <w:rsid w:val="01A5507F"/>
    <w:rsid w:val="01D76954"/>
    <w:rsid w:val="01FD42EF"/>
    <w:rsid w:val="021310DD"/>
    <w:rsid w:val="024504DC"/>
    <w:rsid w:val="02495331"/>
    <w:rsid w:val="024C58EB"/>
    <w:rsid w:val="02662932"/>
    <w:rsid w:val="026954E1"/>
    <w:rsid w:val="02697903"/>
    <w:rsid w:val="028F1F9B"/>
    <w:rsid w:val="02A827E4"/>
    <w:rsid w:val="02C90E2C"/>
    <w:rsid w:val="02E133A0"/>
    <w:rsid w:val="02E13FA3"/>
    <w:rsid w:val="02F96569"/>
    <w:rsid w:val="03093B72"/>
    <w:rsid w:val="031225E8"/>
    <w:rsid w:val="03B45AF7"/>
    <w:rsid w:val="03C1058A"/>
    <w:rsid w:val="03C3052E"/>
    <w:rsid w:val="03D31F2C"/>
    <w:rsid w:val="03D659E0"/>
    <w:rsid w:val="03DE67E9"/>
    <w:rsid w:val="03EA7B21"/>
    <w:rsid w:val="04100812"/>
    <w:rsid w:val="042457FA"/>
    <w:rsid w:val="042B6695"/>
    <w:rsid w:val="043D4E77"/>
    <w:rsid w:val="0458524B"/>
    <w:rsid w:val="04645A2A"/>
    <w:rsid w:val="04684689"/>
    <w:rsid w:val="046B0E24"/>
    <w:rsid w:val="0471784D"/>
    <w:rsid w:val="048A42E4"/>
    <w:rsid w:val="04A566F5"/>
    <w:rsid w:val="04A616D1"/>
    <w:rsid w:val="04FF3EDA"/>
    <w:rsid w:val="051152CB"/>
    <w:rsid w:val="052D4876"/>
    <w:rsid w:val="053100FA"/>
    <w:rsid w:val="05346253"/>
    <w:rsid w:val="05381717"/>
    <w:rsid w:val="05832D5D"/>
    <w:rsid w:val="05A21C1D"/>
    <w:rsid w:val="05BC1F51"/>
    <w:rsid w:val="05F83EAE"/>
    <w:rsid w:val="0626774E"/>
    <w:rsid w:val="06290260"/>
    <w:rsid w:val="063D6CE4"/>
    <w:rsid w:val="063E747F"/>
    <w:rsid w:val="063E7D85"/>
    <w:rsid w:val="064E336B"/>
    <w:rsid w:val="06A25139"/>
    <w:rsid w:val="06B13B75"/>
    <w:rsid w:val="06B815B4"/>
    <w:rsid w:val="06FE1CD1"/>
    <w:rsid w:val="07030262"/>
    <w:rsid w:val="07246C5B"/>
    <w:rsid w:val="07287718"/>
    <w:rsid w:val="07293586"/>
    <w:rsid w:val="07295285"/>
    <w:rsid w:val="073B6226"/>
    <w:rsid w:val="074C5CD1"/>
    <w:rsid w:val="075A24D5"/>
    <w:rsid w:val="076052AE"/>
    <w:rsid w:val="07636392"/>
    <w:rsid w:val="07770C56"/>
    <w:rsid w:val="077A03A9"/>
    <w:rsid w:val="07CE3EF1"/>
    <w:rsid w:val="07E26EB5"/>
    <w:rsid w:val="08286217"/>
    <w:rsid w:val="08406CE4"/>
    <w:rsid w:val="088975F8"/>
    <w:rsid w:val="08952A3E"/>
    <w:rsid w:val="08BF668D"/>
    <w:rsid w:val="08C53B8B"/>
    <w:rsid w:val="08DF02AB"/>
    <w:rsid w:val="08EF455C"/>
    <w:rsid w:val="08FC5245"/>
    <w:rsid w:val="092217DD"/>
    <w:rsid w:val="093A7294"/>
    <w:rsid w:val="093B46D7"/>
    <w:rsid w:val="097E3F67"/>
    <w:rsid w:val="0999523A"/>
    <w:rsid w:val="099B7362"/>
    <w:rsid w:val="09A62AE3"/>
    <w:rsid w:val="09AE4E7D"/>
    <w:rsid w:val="09D7718C"/>
    <w:rsid w:val="09E41D8F"/>
    <w:rsid w:val="0A032F95"/>
    <w:rsid w:val="0A0452A0"/>
    <w:rsid w:val="0A263993"/>
    <w:rsid w:val="0A2D3AC2"/>
    <w:rsid w:val="0A4B4B56"/>
    <w:rsid w:val="0A4E5F88"/>
    <w:rsid w:val="0A766000"/>
    <w:rsid w:val="0A7C54CF"/>
    <w:rsid w:val="0AA755DF"/>
    <w:rsid w:val="0AB063A2"/>
    <w:rsid w:val="0AB1211B"/>
    <w:rsid w:val="0AB33B33"/>
    <w:rsid w:val="0AB71F6C"/>
    <w:rsid w:val="0AFF2E86"/>
    <w:rsid w:val="0B016F76"/>
    <w:rsid w:val="0B120D44"/>
    <w:rsid w:val="0B373B8A"/>
    <w:rsid w:val="0B485107"/>
    <w:rsid w:val="0B807305"/>
    <w:rsid w:val="0BCD6AE0"/>
    <w:rsid w:val="0BD27BF6"/>
    <w:rsid w:val="0BD33036"/>
    <w:rsid w:val="0BDC4C37"/>
    <w:rsid w:val="0C0F534B"/>
    <w:rsid w:val="0C1C64A4"/>
    <w:rsid w:val="0C28767C"/>
    <w:rsid w:val="0C321AAD"/>
    <w:rsid w:val="0C3B3C7D"/>
    <w:rsid w:val="0C403416"/>
    <w:rsid w:val="0C611030"/>
    <w:rsid w:val="0C6805B7"/>
    <w:rsid w:val="0C7E5C63"/>
    <w:rsid w:val="0C995D04"/>
    <w:rsid w:val="0CAB2EAE"/>
    <w:rsid w:val="0CEE4692"/>
    <w:rsid w:val="0D615A36"/>
    <w:rsid w:val="0D621C7D"/>
    <w:rsid w:val="0D87739C"/>
    <w:rsid w:val="0DE2585D"/>
    <w:rsid w:val="0E1409F6"/>
    <w:rsid w:val="0E292F33"/>
    <w:rsid w:val="0E437AF6"/>
    <w:rsid w:val="0E4A60A8"/>
    <w:rsid w:val="0E66770C"/>
    <w:rsid w:val="0E73034D"/>
    <w:rsid w:val="0E865617"/>
    <w:rsid w:val="0EBC6B76"/>
    <w:rsid w:val="0ED711EA"/>
    <w:rsid w:val="0EDC33A7"/>
    <w:rsid w:val="0EF03DA3"/>
    <w:rsid w:val="0EF845D3"/>
    <w:rsid w:val="0F01750C"/>
    <w:rsid w:val="0F13775A"/>
    <w:rsid w:val="0F406C7B"/>
    <w:rsid w:val="0F5F45FE"/>
    <w:rsid w:val="0F6962EB"/>
    <w:rsid w:val="0F77518B"/>
    <w:rsid w:val="0F985B8A"/>
    <w:rsid w:val="0F9A112B"/>
    <w:rsid w:val="0FA658B5"/>
    <w:rsid w:val="0FC37863"/>
    <w:rsid w:val="0FDA631B"/>
    <w:rsid w:val="0FE30A88"/>
    <w:rsid w:val="0FF02D9D"/>
    <w:rsid w:val="100D0C7D"/>
    <w:rsid w:val="100F55B2"/>
    <w:rsid w:val="10125409"/>
    <w:rsid w:val="102D2656"/>
    <w:rsid w:val="10342716"/>
    <w:rsid w:val="103F65FA"/>
    <w:rsid w:val="104135F9"/>
    <w:rsid w:val="105F7620"/>
    <w:rsid w:val="106D2F64"/>
    <w:rsid w:val="107A48B4"/>
    <w:rsid w:val="108C1EAE"/>
    <w:rsid w:val="10A3136B"/>
    <w:rsid w:val="10B63710"/>
    <w:rsid w:val="10B668B4"/>
    <w:rsid w:val="10BC5350"/>
    <w:rsid w:val="10D51DC8"/>
    <w:rsid w:val="10F10820"/>
    <w:rsid w:val="111C2F7A"/>
    <w:rsid w:val="115454EC"/>
    <w:rsid w:val="11665CA1"/>
    <w:rsid w:val="119106B1"/>
    <w:rsid w:val="11D37059"/>
    <w:rsid w:val="12145BB7"/>
    <w:rsid w:val="12582B82"/>
    <w:rsid w:val="12690C99"/>
    <w:rsid w:val="126A686B"/>
    <w:rsid w:val="128B38F7"/>
    <w:rsid w:val="12941337"/>
    <w:rsid w:val="12AA5411"/>
    <w:rsid w:val="12E54299"/>
    <w:rsid w:val="13044ACE"/>
    <w:rsid w:val="13723DD9"/>
    <w:rsid w:val="13942FBD"/>
    <w:rsid w:val="13951726"/>
    <w:rsid w:val="139E2E9A"/>
    <w:rsid w:val="13B22958"/>
    <w:rsid w:val="13B917ED"/>
    <w:rsid w:val="13BF7B47"/>
    <w:rsid w:val="13C61FA0"/>
    <w:rsid w:val="13F675E8"/>
    <w:rsid w:val="14396509"/>
    <w:rsid w:val="145E6C55"/>
    <w:rsid w:val="14654EC6"/>
    <w:rsid w:val="148E3F39"/>
    <w:rsid w:val="14B13EB5"/>
    <w:rsid w:val="14CD3440"/>
    <w:rsid w:val="14DD2C3C"/>
    <w:rsid w:val="14E344DD"/>
    <w:rsid w:val="14EA0703"/>
    <w:rsid w:val="14EB54BF"/>
    <w:rsid w:val="14F03B81"/>
    <w:rsid w:val="14F14BB4"/>
    <w:rsid w:val="14F52E34"/>
    <w:rsid w:val="151D2886"/>
    <w:rsid w:val="152301B3"/>
    <w:rsid w:val="152F47A0"/>
    <w:rsid w:val="1530127D"/>
    <w:rsid w:val="153A08D8"/>
    <w:rsid w:val="1544030E"/>
    <w:rsid w:val="15556386"/>
    <w:rsid w:val="156224F4"/>
    <w:rsid w:val="15733171"/>
    <w:rsid w:val="158F4AE5"/>
    <w:rsid w:val="16087E1D"/>
    <w:rsid w:val="16106088"/>
    <w:rsid w:val="1618554D"/>
    <w:rsid w:val="161F2542"/>
    <w:rsid w:val="162F484F"/>
    <w:rsid w:val="16442095"/>
    <w:rsid w:val="167209B0"/>
    <w:rsid w:val="16780594"/>
    <w:rsid w:val="16782FC5"/>
    <w:rsid w:val="16795EA2"/>
    <w:rsid w:val="16C53B97"/>
    <w:rsid w:val="16EA752C"/>
    <w:rsid w:val="172F3BED"/>
    <w:rsid w:val="1730153F"/>
    <w:rsid w:val="17373D95"/>
    <w:rsid w:val="17626F2A"/>
    <w:rsid w:val="176B7B12"/>
    <w:rsid w:val="17701D14"/>
    <w:rsid w:val="17735226"/>
    <w:rsid w:val="17A53503"/>
    <w:rsid w:val="17B60666"/>
    <w:rsid w:val="17D57A03"/>
    <w:rsid w:val="185536F8"/>
    <w:rsid w:val="18585984"/>
    <w:rsid w:val="1861478C"/>
    <w:rsid w:val="18621B8D"/>
    <w:rsid w:val="188E7321"/>
    <w:rsid w:val="189F624C"/>
    <w:rsid w:val="18BB060B"/>
    <w:rsid w:val="18D86AC4"/>
    <w:rsid w:val="18E17362"/>
    <w:rsid w:val="18F644D4"/>
    <w:rsid w:val="19080183"/>
    <w:rsid w:val="19184990"/>
    <w:rsid w:val="193E05E4"/>
    <w:rsid w:val="19401A14"/>
    <w:rsid w:val="19427951"/>
    <w:rsid w:val="194556FE"/>
    <w:rsid w:val="19875E05"/>
    <w:rsid w:val="198B4A9E"/>
    <w:rsid w:val="199B523C"/>
    <w:rsid w:val="19C06BAC"/>
    <w:rsid w:val="19DE69E9"/>
    <w:rsid w:val="19E94311"/>
    <w:rsid w:val="19E94C67"/>
    <w:rsid w:val="1A1C66C0"/>
    <w:rsid w:val="1A2202E0"/>
    <w:rsid w:val="1A330877"/>
    <w:rsid w:val="1A42393B"/>
    <w:rsid w:val="1A4A5904"/>
    <w:rsid w:val="1A5F042B"/>
    <w:rsid w:val="1A624F25"/>
    <w:rsid w:val="1A656377"/>
    <w:rsid w:val="1A7E034D"/>
    <w:rsid w:val="1A986D4C"/>
    <w:rsid w:val="1AAD45DE"/>
    <w:rsid w:val="1AE43424"/>
    <w:rsid w:val="1AEF6A73"/>
    <w:rsid w:val="1AF53B83"/>
    <w:rsid w:val="1B046F80"/>
    <w:rsid w:val="1B0857DC"/>
    <w:rsid w:val="1B2C3FF7"/>
    <w:rsid w:val="1B3267B5"/>
    <w:rsid w:val="1B40161D"/>
    <w:rsid w:val="1B441859"/>
    <w:rsid w:val="1B6606B1"/>
    <w:rsid w:val="1B690D73"/>
    <w:rsid w:val="1B7B1C3C"/>
    <w:rsid w:val="1BC47CCB"/>
    <w:rsid w:val="1BDA75F9"/>
    <w:rsid w:val="1BE72E68"/>
    <w:rsid w:val="1BEC0880"/>
    <w:rsid w:val="1BEF5F30"/>
    <w:rsid w:val="1C027920"/>
    <w:rsid w:val="1C4632E2"/>
    <w:rsid w:val="1C566DC7"/>
    <w:rsid w:val="1C5E7925"/>
    <w:rsid w:val="1C8D6979"/>
    <w:rsid w:val="1C9A0BEA"/>
    <w:rsid w:val="1CA375F1"/>
    <w:rsid w:val="1CD82B58"/>
    <w:rsid w:val="1CD946A4"/>
    <w:rsid w:val="1CFD070F"/>
    <w:rsid w:val="1D037397"/>
    <w:rsid w:val="1D0B1216"/>
    <w:rsid w:val="1D0D78B0"/>
    <w:rsid w:val="1D21334F"/>
    <w:rsid w:val="1D4046FD"/>
    <w:rsid w:val="1D457206"/>
    <w:rsid w:val="1D545355"/>
    <w:rsid w:val="1D5F6196"/>
    <w:rsid w:val="1D6132A5"/>
    <w:rsid w:val="1D8E56D5"/>
    <w:rsid w:val="1D9820F3"/>
    <w:rsid w:val="1DC641CC"/>
    <w:rsid w:val="1DCD7D29"/>
    <w:rsid w:val="1DE06A54"/>
    <w:rsid w:val="1DEC729A"/>
    <w:rsid w:val="1DF123C2"/>
    <w:rsid w:val="1E05035C"/>
    <w:rsid w:val="1E06692E"/>
    <w:rsid w:val="1E1D4DC9"/>
    <w:rsid w:val="1E396257"/>
    <w:rsid w:val="1E42327C"/>
    <w:rsid w:val="1E7A43DA"/>
    <w:rsid w:val="1E867ABE"/>
    <w:rsid w:val="1E905D9E"/>
    <w:rsid w:val="1EBF33C3"/>
    <w:rsid w:val="1EEC32CA"/>
    <w:rsid w:val="1EF22E97"/>
    <w:rsid w:val="1EFA47BB"/>
    <w:rsid w:val="1F2D1B19"/>
    <w:rsid w:val="1F2F76D0"/>
    <w:rsid w:val="1F631D71"/>
    <w:rsid w:val="1FA701E0"/>
    <w:rsid w:val="1FA73C89"/>
    <w:rsid w:val="1FAB4566"/>
    <w:rsid w:val="1FE710E3"/>
    <w:rsid w:val="1FE7539E"/>
    <w:rsid w:val="200E6B42"/>
    <w:rsid w:val="201C1BF4"/>
    <w:rsid w:val="2020101D"/>
    <w:rsid w:val="20307CD4"/>
    <w:rsid w:val="204646AF"/>
    <w:rsid w:val="205E4ED2"/>
    <w:rsid w:val="20671BE0"/>
    <w:rsid w:val="207329B3"/>
    <w:rsid w:val="20963CB8"/>
    <w:rsid w:val="20A81A1B"/>
    <w:rsid w:val="20AE4CDA"/>
    <w:rsid w:val="20B07FB6"/>
    <w:rsid w:val="20B646FB"/>
    <w:rsid w:val="20B85A1A"/>
    <w:rsid w:val="20D10A26"/>
    <w:rsid w:val="211C6494"/>
    <w:rsid w:val="213B74B1"/>
    <w:rsid w:val="215869F4"/>
    <w:rsid w:val="215A2310"/>
    <w:rsid w:val="21696E53"/>
    <w:rsid w:val="21861F5B"/>
    <w:rsid w:val="21B7196D"/>
    <w:rsid w:val="21C262FE"/>
    <w:rsid w:val="21DA4292"/>
    <w:rsid w:val="21DC1CB5"/>
    <w:rsid w:val="21DC7625"/>
    <w:rsid w:val="21DE318A"/>
    <w:rsid w:val="21DE5ADD"/>
    <w:rsid w:val="21EF5B80"/>
    <w:rsid w:val="22034BB2"/>
    <w:rsid w:val="220A16FA"/>
    <w:rsid w:val="222334A6"/>
    <w:rsid w:val="222A1CBE"/>
    <w:rsid w:val="22576990"/>
    <w:rsid w:val="229073E5"/>
    <w:rsid w:val="22A10E8E"/>
    <w:rsid w:val="22AB486C"/>
    <w:rsid w:val="22F47480"/>
    <w:rsid w:val="2333430B"/>
    <w:rsid w:val="23445482"/>
    <w:rsid w:val="234E547A"/>
    <w:rsid w:val="23555288"/>
    <w:rsid w:val="235B15AA"/>
    <w:rsid w:val="23871539"/>
    <w:rsid w:val="239C21D7"/>
    <w:rsid w:val="23D81256"/>
    <w:rsid w:val="23DE1C48"/>
    <w:rsid w:val="240210CD"/>
    <w:rsid w:val="240C31EB"/>
    <w:rsid w:val="240D1D18"/>
    <w:rsid w:val="244912F3"/>
    <w:rsid w:val="24863878"/>
    <w:rsid w:val="248640D3"/>
    <w:rsid w:val="249A6912"/>
    <w:rsid w:val="249B49DE"/>
    <w:rsid w:val="24AD4D8B"/>
    <w:rsid w:val="24B53382"/>
    <w:rsid w:val="24BF09F7"/>
    <w:rsid w:val="24C06D8A"/>
    <w:rsid w:val="24C97D64"/>
    <w:rsid w:val="24F15196"/>
    <w:rsid w:val="25091C0A"/>
    <w:rsid w:val="252D53FE"/>
    <w:rsid w:val="255D7D6E"/>
    <w:rsid w:val="25764EA1"/>
    <w:rsid w:val="25C862AE"/>
    <w:rsid w:val="25C96113"/>
    <w:rsid w:val="25EC2D81"/>
    <w:rsid w:val="25F05208"/>
    <w:rsid w:val="25F34F3E"/>
    <w:rsid w:val="25F54EBE"/>
    <w:rsid w:val="260A5749"/>
    <w:rsid w:val="261E645E"/>
    <w:rsid w:val="26283CA1"/>
    <w:rsid w:val="262E4C80"/>
    <w:rsid w:val="26316819"/>
    <w:rsid w:val="263904EC"/>
    <w:rsid w:val="26597B80"/>
    <w:rsid w:val="266B754C"/>
    <w:rsid w:val="26735D96"/>
    <w:rsid w:val="26740622"/>
    <w:rsid w:val="268C220F"/>
    <w:rsid w:val="26DB285D"/>
    <w:rsid w:val="26F01DA0"/>
    <w:rsid w:val="27093701"/>
    <w:rsid w:val="27155308"/>
    <w:rsid w:val="27215588"/>
    <w:rsid w:val="27297642"/>
    <w:rsid w:val="277057A2"/>
    <w:rsid w:val="27795441"/>
    <w:rsid w:val="27806CA5"/>
    <w:rsid w:val="278C5610"/>
    <w:rsid w:val="279D1605"/>
    <w:rsid w:val="27BB1BE5"/>
    <w:rsid w:val="27E632BF"/>
    <w:rsid w:val="27EE7149"/>
    <w:rsid w:val="28037DA1"/>
    <w:rsid w:val="28190C8C"/>
    <w:rsid w:val="2829367C"/>
    <w:rsid w:val="2839170E"/>
    <w:rsid w:val="285C61FE"/>
    <w:rsid w:val="28662E60"/>
    <w:rsid w:val="28710FAC"/>
    <w:rsid w:val="287B3A41"/>
    <w:rsid w:val="2889601E"/>
    <w:rsid w:val="288E2C75"/>
    <w:rsid w:val="28A10C81"/>
    <w:rsid w:val="28C1610D"/>
    <w:rsid w:val="28C60EBC"/>
    <w:rsid w:val="28CA68F7"/>
    <w:rsid w:val="29155DEA"/>
    <w:rsid w:val="29206EB8"/>
    <w:rsid w:val="29295B76"/>
    <w:rsid w:val="292F2A2A"/>
    <w:rsid w:val="29595666"/>
    <w:rsid w:val="29874881"/>
    <w:rsid w:val="29D97874"/>
    <w:rsid w:val="29E325E0"/>
    <w:rsid w:val="2A02578E"/>
    <w:rsid w:val="2A213202"/>
    <w:rsid w:val="2A372E29"/>
    <w:rsid w:val="2A430D59"/>
    <w:rsid w:val="2A452503"/>
    <w:rsid w:val="2A493F43"/>
    <w:rsid w:val="2A635327"/>
    <w:rsid w:val="2A681057"/>
    <w:rsid w:val="2A687324"/>
    <w:rsid w:val="2A77260A"/>
    <w:rsid w:val="2AE8528D"/>
    <w:rsid w:val="2AF06EB1"/>
    <w:rsid w:val="2AFF05FC"/>
    <w:rsid w:val="2B150678"/>
    <w:rsid w:val="2B2B1652"/>
    <w:rsid w:val="2B2F45C1"/>
    <w:rsid w:val="2B3F7830"/>
    <w:rsid w:val="2B6C62CF"/>
    <w:rsid w:val="2B87489E"/>
    <w:rsid w:val="2B8E1990"/>
    <w:rsid w:val="2B965634"/>
    <w:rsid w:val="2BA10E59"/>
    <w:rsid w:val="2BA936A8"/>
    <w:rsid w:val="2BB708B3"/>
    <w:rsid w:val="2BCB38C2"/>
    <w:rsid w:val="2BCC7020"/>
    <w:rsid w:val="2BD011B6"/>
    <w:rsid w:val="2C0901E2"/>
    <w:rsid w:val="2C0C573C"/>
    <w:rsid w:val="2C167BD8"/>
    <w:rsid w:val="2C315A5A"/>
    <w:rsid w:val="2C4B1C25"/>
    <w:rsid w:val="2CBA4E13"/>
    <w:rsid w:val="2D071354"/>
    <w:rsid w:val="2D0E5D03"/>
    <w:rsid w:val="2D3704F4"/>
    <w:rsid w:val="2D3B18D9"/>
    <w:rsid w:val="2D3C366E"/>
    <w:rsid w:val="2D8931CE"/>
    <w:rsid w:val="2D8A262B"/>
    <w:rsid w:val="2D8A60D8"/>
    <w:rsid w:val="2D9E56F5"/>
    <w:rsid w:val="2DA059AB"/>
    <w:rsid w:val="2DA63097"/>
    <w:rsid w:val="2DB938BE"/>
    <w:rsid w:val="2DC80482"/>
    <w:rsid w:val="2DD00106"/>
    <w:rsid w:val="2DDA68AA"/>
    <w:rsid w:val="2DE177E6"/>
    <w:rsid w:val="2DF06446"/>
    <w:rsid w:val="2E1D6191"/>
    <w:rsid w:val="2E5E4BD8"/>
    <w:rsid w:val="2E641E62"/>
    <w:rsid w:val="2E667F96"/>
    <w:rsid w:val="2E8226AB"/>
    <w:rsid w:val="2EB55486"/>
    <w:rsid w:val="2EBF35AB"/>
    <w:rsid w:val="2EC1468C"/>
    <w:rsid w:val="2EED20CC"/>
    <w:rsid w:val="2EF94A17"/>
    <w:rsid w:val="2F183ED1"/>
    <w:rsid w:val="2F4A686A"/>
    <w:rsid w:val="2F536021"/>
    <w:rsid w:val="2F764C2A"/>
    <w:rsid w:val="2FB3260B"/>
    <w:rsid w:val="2FC43093"/>
    <w:rsid w:val="2FD065E6"/>
    <w:rsid w:val="2FD96870"/>
    <w:rsid w:val="2FE622EC"/>
    <w:rsid w:val="300041BD"/>
    <w:rsid w:val="30127E00"/>
    <w:rsid w:val="304F08EC"/>
    <w:rsid w:val="30580BC9"/>
    <w:rsid w:val="306D0356"/>
    <w:rsid w:val="308E41E1"/>
    <w:rsid w:val="30933F96"/>
    <w:rsid w:val="309B15B7"/>
    <w:rsid w:val="30A80D53"/>
    <w:rsid w:val="30AB09B1"/>
    <w:rsid w:val="30B237C6"/>
    <w:rsid w:val="30CB5C83"/>
    <w:rsid w:val="30D4399B"/>
    <w:rsid w:val="30E02529"/>
    <w:rsid w:val="30E62F81"/>
    <w:rsid w:val="30E82383"/>
    <w:rsid w:val="30FE0918"/>
    <w:rsid w:val="311E2ED7"/>
    <w:rsid w:val="314B586F"/>
    <w:rsid w:val="31531589"/>
    <w:rsid w:val="315317D6"/>
    <w:rsid w:val="315619EE"/>
    <w:rsid w:val="315C449C"/>
    <w:rsid w:val="315F59BF"/>
    <w:rsid w:val="31853836"/>
    <w:rsid w:val="31AF2660"/>
    <w:rsid w:val="31B82709"/>
    <w:rsid w:val="31D05482"/>
    <w:rsid w:val="31E20394"/>
    <w:rsid w:val="31E82B0E"/>
    <w:rsid w:val="32400B34"/>
    <w:rsid w:val="32555118"/>
    <w:rsid w:val="326666E5"/>
    <w:rsid w:val="326F3155"/>
    <w:rsid w:val="32792E2E"/>
    <w:rsid w:val="329E6876"/>
    <w:rsid w:val="32BE671E"/>
    <w:rsid w:val="32EE2D23"/>
    <w:rsid w:val="32F47928"/>
    <w:rsid w:val="330B1B18"/>
    <w:rsid w:val="333015F2"/>
    <w:rsid w:val="334B6320"/>
    <w:rsid w:val="336C10B9"/>
    <w:rsid w:val="3370723E"/>
    <w:rsid w:val="33811DDB"/>
    <w:rsid w:val="338B4409"/>
    <w:rsid w:val="339B395D"/>
    <w:rsid w:val="33CC7B26"/>
    <w:rsid w:val="33D934D4"/>
    <w:rsid w:val="33DA5CD0"/>
    <w:rsid w:val="33F141E5"/>
    <w:rsid w:val="33FE2F6A"/>
    <w:rsid w:val="340B583D"/>
    <w:rsid w:val="340E07E5"/>
    <w:rsid w:val="34235BF7"/>
    <w:rsid w:val="34272982"/>
    <w:rsid w:val="34380DF7"/>
    <w:rsid w:val="3455091B"/>
    <w:rsid w:val="346076D9"/>
    <w:rsid w:val="34627E5E"/>
    <w:rsid w:val="346317D1"/>
    <w:rsid w:val="34926A67"/>
    <w:rsid w:val="34BD0FDC"/>
    <w:rsid w:val="34BD1BF4"/>
    <w:rsid w:val="34C23C48"/>
    <w:rsid w:val="34FA6E97"/>
    <w:rsid w:val="34FB51FE"/>
    <w:rsid w:val="35021C1E"/>
    <w:rsid w:val="35260E8C"/>
    <w:rsid w:val="35453974"/>
    <w:rsid w:val="35826304"/>
    <w:rsid w:val="358C5FA8"/>
    <w:rsid w:val="35B13B56"/>
    <w:rsid w:val="35C15DF1"/>
    <w:rsid w:val="35D72186"/>
    <w:rsid w:val="35E535BB"/>
    <w:rsid w:val="35FE448A"/>
    <w:rsid w:val="360427B6"/>
    <w:rsid w:val="36074A7F"/>
    <w:rsid w:val="36097229"/>
    <w:rsid w:val="36122D62"/>
    <w:rsid w:val="362E2680"/>
    <w:rsid w:val="364C3093"/>
    <w:rsid w:val="36596225"/>
    <w:rsid w:val="366704A6"/>
    <w:rsid w:val="366A591B"/>
    <w:rsid w:val="36716265"/>
    <w:rsid w:val="3680640D"/>
    <w:rsid w:val="36923549"/>
    <w:rsid w:val="369F2B94"/>
    <w:rsid w:val="36B75FBF"/>
    <w:rsid w:val="36B97010"/>
    <w:rsid w:val="36BB6F25"/>
    <w:rsid w:val="36BD0C45"/>
    <w:rsid w:val="36C1275C"/>
    <w:rsid w:val="36C452CD"/>
    <w:rsid w:val="36C54789"/>
    <w:rsid w:val="36DC1A44"/>
    <w:rsid w:val="36E8505C"/>
    <w:rsid w:val="36E8532A"/>
    <w:rsid w:val="371B7C79"/>
    <w:rsid w:val="372C070C"/>
    <w:rsid w:val="373C61B6"/>
    <w:rsid w:val="377A42FB"/>
    <w:rsid w:val="378C394C"/>
    <w:rsid w:val="37901985"/>
    <w:rsid w:val="37A77C1E"/>
    <w:rsid w:val="37E00298"/>
    <w:rsid w:val="37E40DEE"/>
    <w:rsid w:val="37FE013A"/>
    <w:rsid w:val="38026503"/>
    <w:rsid w:val="38456A2B"/>
    <w:rsid w:val="385059E9"/>
    <w:rsid w:val="386B3C9C"/>
    <w:rsid w:val="38AA5AD3"/>
    <w:rsid w:val="38B302F9"/>
    <w:rsid w:val="38C84008"/>
    <w:rsid w:val="38F12CD3"/>
    <w:rsid w:val="38F94775"/>
    <w:rsid w:val="38FA3F39"/>
    <w:rsid w:val="39070FD4"/>
    <w:rsid w:val="39231B0D"/>
    <w:rsid w:val="392971ED"/>
    <w:rsid w:val="392C13B8"/>
    <w:rsid w:val="39325651"/>
    <w:rsid w:val="39372F3B"/>
    <w:rsid w:val="397A26B8"/>
    <w:rsid w:val="3980612A"/>
    <w:rsid w:val="398F4CC8"/>
    <w:rsid w:val="39AF0542"/>
    <w:rsid w:val="39CA781C"/>
    <w:rsid w:val="39D20A3E"/>
    <w:rsid w:val="39D27CE5"/>
    <w:rsid w:val="39D752A9"/>
    <w:rsid w:val="39E50268"/>
    <w:rsid w:val="39F43B3F"/>
    <w:rsid w:val="39F448CD"/>
    <w:rsid w:val="39F57062"/>
    <w:rsid w:val="3A102E61"/>
    <w:rsid w:val="3A144E00"/>
    <w:rsid w:val="3A2403C2"/>
    <w:rsid w:val="3A355612"/>
    <w:rsid w:val="3A455684"/>
    <w:rsid w:val="3A471605"/>
    <w:rsid w:val="3A562BEE"/>
    <w:rsid w:val="3A85457C"/>
    <w:rsid w:val="3A872856"/>
    <w:rsid w:val="3AFB6916"/>
    <w:rsid w:val="3AFD268F"/>
    <w:rsid w:val="3B0D106E"/>
    <w:rsid w:val="3B125945"/>
    <w:rsid w:val="3B2763BC"/>
    <w:rsid w:val="3B375B06"/>
    <w:rsid w:val="3B3763D1"/>
    <w:rsid w:val="3B6A4832"/>
    <w:rsid w:val="3B6B52D5"/>
    <w:rsid w:val="3B973A96"/>
    <w:rsid w:val="3BAE4FCF"/>
    <w:rsid w:val="3BDE0CCA"/>
    <w:rsid w:val="3BE92B6C"/>
    <w:rsid w:val="3C2F6E1E"/>
    <w:rsid w:val="3C465AC2"/>
    <w:rsid w:val="3C4B267E"/>
    <w:rsid w:val="3C4F64BA"/>
    <w:rsid w:val="3C500CC0"/>
    <w:rsid w:val="3C6D114E"/>
    <w:rsid w:val="3CDA245A"/>
    <w:rsid w:val="3D09665B"/>
    <w:rsid w:val="3D1E06B7"/>
    <w:rsid w:val="3D2D16A6"/>
    <w:rsid w:val="3D4C60A0"/>
    <w:rsid w:val="3D503063"/>
    <w:rsid w:val="3D6267D9"/>
    <w:rsid w:val="3D81198E"/>
    <w:rsid w:val="3D8336E7"/>
    <w:rsid w:val="3DA8376A"/>
    <w:rsid w:val="3DCF15FB"/>
    <w:rsid w:val="3E021D6A"/>
    <w:rsid w:val="3E4C209B"/>
    <w:rsid w:val="3E68075C"/>
    <w:rsid w:val="3E9712E1"/>
    <w:rsid w:val="3E973828"/>
    <w:rsid w:val="3EAB22D1"/>
    <w:rsid w:val="3EB900AE"/>
    <w:rsid w:val="3EBD6CF4"/>
    <w:rsid w:val="3EDA0523"/>
    <w:rsid w:val="3EE43BF5"/>
    <w:rsid w:val="3EFB4009"/>
    <w:rsid w:val="3F0457FF"/>
    <w:rsid w:val="3F270E18"/>
    <w:rsid w:val="3F320513"/>
    <w:rsid w:val="3F3E7867"/>
    <w:rsid w:val="3F4D19CF"/>
    <w:rsid w:val="3F52287D"/>
    <w:rsid w:val="3F553CA7"/>
    <w:rsid w:val="3F8D5BDC"/>
    <w:rsid w:val="3FB36639"/>
    <w:rsid w:val="3FBB30AB"/>
    <w:rsid w:val="3FC63AA8"/>
    <w:rsid w:val="3FF76118"/>
    <w:rsid w:val="3FF8217C"/>
    <w:rsid w:val="3FFF5C73"/>
    <w:rsid w:val="40314F04"/>
    <w:rsid w:val="40364A27"/>
    <w:rsid w:val="407A6407"/>
    <w:rsid w:val="40A67324"/>
    <w:rsid w:val="40F1696F"/>
    <w:rsid w:val="40F86189"/>
    <w:rsid w:val="411F4F79"/>
    <w:rsid w:val="412B49C8"/>
    <w:rsid w:val="41393870"/>
    <w:rsid w:val="415B1EBD"/>
    <w:rsid w:val="417062E3"/>
    <w:rsid w:val="41845925"/>
    <w:rsid w:val="41945B00"/>
    <w:rsid w:val="419C4BD2"/>
    <w:rsid w:val="41B84F3B"/>
    <w:rsid w:val="41BC4A42"/>
    <w:rsid w:val="41BF366A"/>
    <w:rsid w:val="41BF5A58"/>
    <w:rsid w:val="41CC6917"/>
    <w:rsid w:val="41D06876"/>
    <w:rsid w:val="4200449D"/>
    <w:rsid w:val="423A3BCC"/>
    <w:rsid w:val="424131CE"/>
    <w:rsid w:val="424E57D2"/>
    <w:rsid w:val="42542D56"/>
    <w:rsid w:val="42783849"/>
    <w:rsid w:val="427E684D"/>
    <w:rsid w:val="428537C5"/>
    <w:rsid w:val="42A65E2D"/>
    <w:rsid w:val="42B26C49"/>
    <w:rsid w:val="42BF300E"/>
    <w:rsid w:val="42D64ACA"/>
    <w:rsid w:val="42EF1F98"/>
    <w:rsid w:val="43246AFC"/>
    <w:rsid w:val="4336204F"/>
    <w:rsid w:val="433A6FE6"/>
    <w:rsid w:val="43480868"/>
    <w:rsid w:val="4350713C"/>
    <w:rsid w:val="4359067E"/>
    <w:rsid w:val="435E747C"/>
    <w:rsid w:val="436653E0"/>
    <w:rsid w:val="43C403B8"/>
    <w:rsid w:val="43C4431A"/>
    <w:rsid w:val="43CE722C"/>
    <w:rsid w:val="43D0018B"/>
    <w:rsid w:val="43D37ED0"/>
    <w:rsid w:val="43D677E2"/>
    <w:rsid w:val="43E21DE1"/>
    <w:rsid w:val="440365E2"/>
    <w:rsid w:val="441A7E0D"/>
    <w:rsid w:val="44224D6E"/>
    <w:rsid w:val="44564BBE"/>
    <w:rsid w:val="44615FCE"/>
    <w:rsid w:val="44815866"/>
    <w:rsid w:val="4492209A"/>
    <w:rsid w:val="44A818BD"/>
    <w:rsid w:val="44A84EAE"/>
    <w:rsid w:val="44B81FBC"/>
    <w:rsid w:val="44B951CC"/>
    <w:rsid w:val="44BA6822"/>
    <w:rsid w:val="44CD14E0"/>
    <w:rsid w:val="44F20B0B"/>
    <w:rsid w:val="45060BEE"/>
    <w:rsid w:val="4512194F"/>
    <w:rsid w:val="452E5F4C"/>
    <w:rsid w:val="45612018"/>
    <w:rsid w:val="458946E9"/>
    <w:rsid w:val="45A47C0E"/>
    <w:rsid w:val="45B55BBC"/>
    <w:rsid w:val="45DB5E74"/>
    <w:rsid w:val="460A7715"/>
    <w:rsid w:val="461A1F7C"/>
    <w:rsid w:val="46457516"/>
    <w:rsid w:val="46577FD6"/>
    <w:rsid w:val="465F0AEE"/>
    <w:rsid w:val="46BC74B1"/>
    <w:rsid w:val="46BE126E"/>
    <w:rsid w:val="46C121E9"/>
    <w:rsid w:val="46D52711"/>
    <w:rsid w:val="46D955A7"/>
    <w:rsid w:val="46E93E6B"/>
    <w:rsid w:val="47133957"/>
    <w:rsid w:val="47260F08"/>
    <w:rsid w:val="472F61A5"/>
    <w:rsid w:val="4730487F"/>
    <w:rsid w:val="473946B4"/>
    <w:rsid w:val="475300E9"/>
    <w:rsid w:val="475E5CD0"/>
    <w:rsid w:val="477B76C2"/>
    <w:rsid w:val="47A07E0C"/>
    <w:rsid w:val="47AE2EAA"/>
    <w:rsid w:val="47C30B49"/>
    <w:rsid w:val="47D227AD"/>
    <w:rsid w:val="47D71C0C"/>
    <w:rsid w:val="47DA5C76"/>
    <w:rsid w:val="47FB44C2"/>
    <w:rsid w:val="480D4DF5"/>
    <w:rsid w:val="483E6A94"/>
    <w:rsid w:val="4870272E"/>
    <w:rsid w:val="48BF3AE0"/>
    <w:rsid w:val="48D44F3A"/>
    <w:rsid w:val="48EB206E"/>
    <w:rsid w:val="49352E94"/>
    <w:rsid w:val="495B0E0B"/>
    <w:rsid w:val="49677FDF"/>
    <w:rsid w:val="49914BB6"/>
    <w:rsid w:val="49DC7715"/>
    <w:rsid w:val="49E60786"/>
    <w:rsid w:val="4A023139"/>
    <w:rsid w:val="4A5C7DC7"/>
    <w:rsid w:val="4A5E429C"/>
    <w:rsid w:val="4A7A4BEA"/>
    <w:rsid w:val="4A7B576F"/>
    <w:rsid w:val="4A9459A1"/>
    <w:rsid w:val="4A9C310A"/>
    <w:rsid w:val="4AC61C84"/>
    <w:rsid w:val="4AF561A9"/>
    <w:rsid w:val="4B241572"/>
    <w:rsid w:val="4B2C0426"/>
    <w:rsid w:val="4B2F0591"/>
    <w:rsid w:val="4B634177"/>
    <w:rsid w:val="4B88737F"/>
    <w:rsid w:val="4B8D0681"/>
    <w:rsid w:val="4B8E5522"/>
    <w:rsid w:val="4BD42B45"/>
    <w:rsid w:val="4BE303F3"/>
    <w:rsid w:val="4C2B4294"/>
    <w:rsid w:val="4C4013E9"/>
    <w:rsid w:val="4C44161F"/>
    <w:rsid w:val="4C4A0649"/>
    <w:rsid w:val="4C564BEA"/>
    <w:rsid w:val="4C7D7F42"/>
    <w:rsid w:val="4C7E5ECA"/>
    <w:rsid w:val="4C7F114E"/>
    <w:rsid w:val="4C876AA5"/>
    <w:rsid w:val="4CC34D87"/>
    <w:rsid w:val="4CD86AB8"/>
    <w:rsid w:val="4CF300E1"/>
    <w:rsid w:val="4CF90092"/>
    <w:rsid w:val="4D0045BB"/>
    <w:rsid w:val="4D0E00FB"/>
    <w:rsid w:val="4D176606"/>
    <w:rsid w:val="4D2A360C"/>
    <w:rsid w:val="4D532CB5"/>
    <w:rsid w:val="4D563DCD"/>
    <w:rsid w:val="4D575257"/>
    <w:rsid w:val="4D8C324F"/>
    <w:rsid w:val="4D90451E"/>
    <w:rsid w:val="4D9B2D39"/>
    <w:rsid w:val="4DA77C23"/>
    <w:rsid w:val="4DAE7818"/>
    <w:rsid w:val="4DC16DD5"/>
    <w:rsid w:val="4DEC4FB0"/>
    <w:rsid w:val="4DF20138"/>
    <w:rsid w:val="4DF82FB8"/>
    <w:rsid w:val="4E04214B"/>
    <w:rsid w:val="4E075D8A"/>
    <w:rsid w:val="4E147857"/>
    <w:rsid w:val="4E21623C"/>
    <w:rsid w:val="4E412773"/>
    <w:rsid w:val="4E441669"/>
    <w:rsid w:val="4E5E2186"/>
    <w:rsid w:val="4E9A256A"/>
    <w:rsid w:val="4EA35E13"/>
    <w:rsid w:val="4EA876EC"/>
    <w:rsid w:val="4EB233C7"/>
    <w:rsid w:val="4EB60628"/>
    <w:rsid w:val="4EC00FAD"/>
    <w:rsid w:val="4EE01078"/>
    <w:rsid w:val="4EED61D2"/>
    <w:rsid w:val="4EF02E36"/>
    <w:rsid w:val="4F1D6170"/>
    <w:rsid w:val="4F2907A0"/>
    <w:rsid w:val="4F2E0C11"/>
    <w:rsid w:val="4F2E6B2E"/>
    <w:rsid w:val="4F42734B"/>
    <w:rsid w:val="4F442128"/>
    <w:rsid w:val="4F455F5A"/>
    <w:rsid w:val="4F4C3DA3"/>
    <w:rsid w:val="4F6A2397"/>
    <w:rsid w:val="4F705936"/>
    <w:rsid w:val="4F8613D9"/>
    <w:rsid w:val="4F94689B"/>
    <w:rsid w:val="4F9843DC"/>
    <w:rsid w:val="4FAE4C69"/>
    <w:rsid w:val="4FB73FB1"/>
    <w:rsid w:val="4FC62A8C"/>
    <w:rsid w:val="4FE20F0D"/>
    <w:rsid w:val="4FE51552"/>
    <w:rsid w:val="4FF17664"/>
    <w:rsid w:val="4FF30104"/>
    <w:rsid w:val="500B2D00"/>
    <w:rsid w:val="50153B7F"/>
    <w:rsid w:val="502868C2"/>
    <w:rsid w:val="50412BB1"/>
    <w:rsid w:val="50412BC6"/>
    <w:rsid w:val="50504C4B"/>
    <w:rsid w:val="5082740D"/>
    <w:rsid w:val="50971DAD"/>
    <w:rsid w:val="509811E7"/>
    <w:rsid w:val="509C6E7C"/>
    <w:rsid w:val="509E01CB"/>
    <w:rsid w:val="50D04F98"/>
    <w:rsid w:val="51165E00"/>
    <w:rsid w:val="511D5859"/>
    <w:rsid w:val="51366C1E"/>
    <w:rsid w:val="5162104E"/>
    <w:rsid w:val="51B30251"/>
    <w:rsid w:val="51BB0710"/>
    <w:rsid w:val="51D0746C"/>
    <w:rsid w:val="51D71203"/>
    <w:rsid w:val="51E83273"/>
    <w:rsid w:val="52397FF8"/>
    <w:rsid w:val="523C7263"/>
    <w:rsid w:val="52B306CA"/>
    <w:rsid w:val="52BC2BE1"/>
    <w:rsid w:val="52C00A54"/>
    <w:rsid w:val="53825C56"/>
    <w:rsid w:val="53A039CC"/>
    <w:rsid w:val="53A1505A"/>
    <w:rsid w:val="53C93484"/>
    <w:rsid w:val="53E63289"/>
    <w:rsid w:val="54063E08"/>
    <w:rsid w:val="540B1521"/>
    <w:rsid w:val="542E3A7E"/>
    <w:rsid w:val="543437E8"/>
    <w:rsid w:val="54377E22"/>
    <w:rsid w:val="54466602"/>
    <w:rsid w:val="54543E77"/>
    <w:rsid w:val="545C6489"/>
    <w:rsid w:val="545D3EB5"/>
    <w:rsid w:val="54626A2A"/>
    <w:rsid w:val="5484240C"/>
    <w:rsid w:val="54AB6CD1"/>
    <w:rsid w:val="54AC754C"/>
    <w:rsid w:val="54B211D4"/>
    <w:rsid w:val="54E57D83"/>
    <w:rsid w:val="54EB365E"/>
    <w:rsid w:val="54F73313"/>
    <w:rsid w:val="54F80955"/>
    <w:rsid w:val="55294C21"/>
    <w:rsid w:val="555170A7"/>
    <w:rsid w:val="5587536D"/>
    <w:rsid w:val="55895AFA"/>
    <w:rsid w:val="559B174B"/>
    <w:rsid w:val="55CE0CF4"/>
    <w:rsid w:val="55E62390"/>
    <w:rsid w:val="55E62C22"/>
    <w:rsid w:val="55F55DC5"/>
    <w:rsid w:val="564B551F"/>
    <w:rsid w:val="5670520B"/>
    <w:rsid w:val="567E07E7"/>
    <w:rsid w:val="56A906E9"/>
    <w:rsid w:val="56B03E41"/>
    <w:rsid w:val="56B22A9C"/>
    <w:rsid w:val="56B45E9F"/>
    <w:rsid w:val="56CA61AA"/>
    <w:rsid w:val="56D17C3F"/>
    <w:rsid w:val="56EA488F"/>
    <w:rsid w:val="56FD401A"/>
    <w:rsid w:val="57076BB7"/>
    <w:rsid w:val="571C5DB6"/>
    <w:rsid w:val="578760B9"/>
    <w:rsid w:val="57A727A9"/>
    <w:rsid w:val="57B72A76"/>
    <w:rsid w:val="57C100D8"/>
    <w:rsid w:val="57C3426C"/>
    <w:rsid w:val="57C52EA9"/>
    <w:rsid w:val="57CB5604"/>
    <w:rsid w:val="57CE1F93"/>
    <w:rsid w:val="57DB7C26"/>
    <w:rsid w:val="580801E8"/>
    <w:rsid w:val="580C4523"/>
    <w:rsid w:val="580D49C9"/>
    <w:rsid w:val="58160210"/>
    <w:rsid w:val="581D5CC6"/>
    <w:rsid w:val="58294A5B"/>
    <w:rsid w:val="5830113C"/>
    <w:rsid w:val="58507E4A"/>
    <w:rsid w:val="58607961"/>
    <w:rsid w:val="586B6F75"/>
    <w:rsid w:val="58755A9D"/>
    <w:rsid w:val="5886503A"/>
    <w:rsid w:val="588743D1"/>
    <w:rsid w:val="5887701A"/>
    <w:rsid w:val="58953AAF"/>
    <w:rsid w:val="589601AE"/>
    <w:rsid w:val="589A10C5"/>
    <w:rsid w:val="58CE2290"/>
    <w:rsid w:val="58E63645"/>
    <w:rsid w:val="592943F0"/>
    <w:rsid w:val="594D1BFB"/>
    <w:rsid w:val="59842069"/>
    <w:rsid w:val="59C0439F"/>
    <w:rsid w:val="59C268CB"/>
    <w:rsid w:val="59D76CB1"/>
    <w:rsid w:val="5A2A4EE1"/>
    <w:rsid w:val="5A301B84"/>
    <w:rsid w:val="5A377465"/>
    <w:rsid w:val="5A5F1760"/>
    <w:rsid w:val="5A7C1425"/>
    <w:rsid w:val="5AA77DB5"/>
    <w:rsid w:val="5ABE2233"/>
    <w:rsid w:val="5AC222A7"/>
    <w:rsid w:val="5ACA1478"/>
    <w:rsid w:val="5ADD01B9"/>
    <w:rsid w:val="5B6756B6"/>
    <w:rsid w:val="5B6A2FD1"/>
    <w:rsid w:val="5B8A3673"/>
    <w:rsid w:val="5B920779"/>
    <w:rsid w:val="5BA50AAE"/>
    <w:rsid w:val="5BAC3BCB"/>
    <w:rsid w:val="5BB32AD9"/>
    <w:rsid w:val="5BDF5D95"/>
    <w:rsid w:val="5BFE7528"/>
    <w:rsid w:val="5C1014A6"/>
    <w:rsid w:val="5C124D16"/>
    <w:rsid w:val="5C142AC5"/>
    <w:rsid w:val="5C2B016C"/>
    <w:rsid w:val="5C3575C0"/>
    <w:rsid w:val="5C7D05CF"/>
    <w:rsid w:val="5C8452BA"/>
    <w:rsid w:val="5C8512CA"/>
    <w:rsid w:val="5CCE3E69"/>
    <w:rsid w:val="5D0905C7"/>
    <w:rsid w:val="5D621E8A"/>
    <w:rsid w:val="5D6D7CC9"/>
    <w:rsid w:val="5D6E05E3"/>
    <w:rsid w:val="5D864AA3"/>
    <w:rsid w:val="5D897632"/>
    <w:rsid w:val="5DB35A81"/>
    <w:rsid w:val="5DC21862"/>
    <w:rsid w:val="5DE427DD"/>
    <w:rsid w:val="5DE96366"/>
    <w:rsid w:val="5E2467F1"/>
    <w:rsid w:val="5E316028"/>
    <w:rsid w:val="5E33609A"/>
    <w:rsid w:val="5E507F5B"/>
    <w:rsid w:val="5E820631"/>
    <w:rsid w:val="5ED76DD9"/>
    <w:rsid w:val="5ED879CC"/>
    <w:rsid w:val="5F1A2B43"/>
    <w:rsid w:val="5F2B57AF"/>
    <w:rsid w:val="5F316193"/>
    <w:rsid w:val="5F337B7D"/>
    <w:rsid w:val="5F375835"/>
    <w:rsid w:val="5F6E3FE3"/>
    <w:rsid w:val="5F781A31"/>
    <w:rsid w:val="5F8D192A"/>
    <w:rsid w:val="5F964CD8"/>
    <w:rsid w:val="5FA06BF6"/>
    <w:rsid w:val="5FA41E86"/>
    <w:rsid w:val="5FAE4A4C"/>
    <w:rsid w:val="5FB641C3"/>
    <w:rsid w:val="5FB837BB"/>
    <w:rsid w:val="5FFD54A0"/>
    <w:rsid w:val="60235F31"/>
    <w:rsid w:val="605C4497"/>
    <w:rsid w:val="606840E1"/>
    <w:rsid w:val="60792959"/>
    <w:rsid w:val="60B04706"/>
    <w:rsid w:val="60B151FE"/>
    <w:rsid w:val="60B5589E"/>
    <w:rsid w:val="60B75C23"/>
    <w:rsid w:val="60C57631"/>
    <w:rsid w:val="60CB269E"/>
    <w:rsid w:val="60CC3E17"/>
    <w:rsid w:val="60CC405A"/>
    <w:rsid w:val="611867DD"/>
    <w:rsid w:val="612968DD"/>
    <w:rsid w:val="617E2811"/>
    <w:rsid w:val="61925778"/>
    <w:rsid w:val="61B159B5"/>
    <w:rsid w:val="61D334AE"/>
    <w:rsid w:val="61E215D8"/>
    <w:rsid w:val="61F96E5C"/>
    <w:rsid w:val="620D303A"/>
    <w:rsid w:val="62156105"/>
    <w:rsid w:val="621B3775"/>
    <w:rsid w:val="62364782"/>
    <w:rsid w:val="62400DDA"/>
    <w:rsid w:val="6260147F"/>
    <w:rsid w:val="628F77C1"/>
    <w:rsid w:val="629D540E"/>
    <w:rsid w:val="62BE492C"/>
    <w:rsid w:val="62CA68B3"/>
    <w:rsid w:val="62F505B2"/>
    <w:rsid w:val="62FF2E1F"/>
    <w:rsid w:val="63082288"/>
    <w:rsid w:val="634D2AAE"/>
    <w:rsid w:val="637063C8"/>
    <w:rsid w:val="638C2694"/>
    <w:rsid w:val="6394356A"/>
    <w:rsid w:val="63B41B25"/>
    <w:rsid w:val="63C61B2C"/>
    <w:rsid w:val="63D40BE9"/>
    <w:rsid w:val="63D728C3"/>
    <w:rsid w:val="63FC7C28"/>
    <w:rsid w:val="64102431"/>
    <w:rsid w:val="64187CF4"/>
    <w:rsid w:val="641F0320"/>
    <w:rsid w:val="64412924"/>
    <w:rsid w:val="64634A61"/>
    <w:rsid w:val="6480574B"/>
    <w:rsid w:val="64A5243A"/>
    <w:rsid w:val="64D2511C"/>
    <w:rsid w:val="64F531DE"/>
    <w:rsid w:val="64F65633"/>
    <w:rsid w:val="65013B1E"/>
    <w:rsid w:val="650F3710"/>
    <w:rsid w:val="652B155E"/>
    <w:rsid w:val="652C25BD"/>
    <w:rsid w:val="65373578"/>
    <w:rsid w:val="6555058E"/>
    <w:rsid w:val="655D522B"/>
    <w:rsid w:val="657C62EB"/>
    <w:rsid w:val="65813DF1"/>
    <w:rsid w:val="65BB267B"/>
    <w:rsid w:val="65CA272C"/>
    <w:rsid w:val="66045387"/>
    <w:rsid w:val="66117F24"/>
    <w:rsid w:val="662B15AE"/>
    <w:rsid w:val="665A7ACD"/>
    <w:rsid w:val="665F6047"/>
    <w:rsid w:val="66612841"/>
    <w:rsid w:val="666A561B"/>
    <w:rsid w:val="66871921"/>
    <w:rsid w:val="66A54B73"/>
    <w:rsid w:val="66A870A3"/>
    <w:rsid w:val="66B250A2"/>
    <w:rsid w:val="66CA0E9F"/>
    <w:rsid w:val="66E726F1"/>
    <w:rsid w:val="66E73C10"/>
    <w:rsid w:val="66ED0F5A"/>
    <w:rsid w:val="6707201B"/>
    <w:rsid w:val="671F124A"/>
    <w:rsid w:val="67252AD0"/>
    <w:rsid w:val="6736371C"/>
    <w:rsid w:val="673A0E55"/>
    <w:rsid w:val="674D0360"/>
    <w:rsid w:val="67594808"/>
    <w:rsid w:val="676A0013"/>
    <w:rsid w:val="677A33C6"/>
    <w:rsid w:val="677C4A40"/>
    <w:rsid w:val="679505E8"/>
    <w:rsid w:val="67984046"/>
    <w:rsid w:val="679E00CC"/>
    <w:rsid w:val="67BC1EBE"/>
    <w:rsid w:val="67FD6F7B"/>
    <w:rsid w:val="681F6961"/>
    <w:rsid w:val="68610A2F"/>
    <w:rsid w:val="686A5161"/>
    <w:rsid w:val="68805514"/>
    <w:rsid w:val="689B6EBF"/>
    <w:rsid w:val="68C12989"/>
    <w:rsid w:val="68F71C1C"/>
    <w:rsid w:val="69316E2F"/>
    <w:rsid w:val="694E2071"/>
    <w:rsid w:val="69513A22"/>
    <w:rsid w:val="69766163"/>
    <w:rsid w:val="697A3B33"/>
    <w:rsid w:val="699C24C2"/>
    <w:rsid w:val="699E77CC"/>
    <w:rsid w:val="69A61A53"/>
    <w:rsid w:val="69AA611C"/>
    <w:rsid w:val="69D21F22"/>
    <w:rsid w:val="69D44760"/>
    <w:rsid w:val="69D831B4"/>
    <w:rsid w:val="6A000431"/>
    <w:rsid w:val="6A09071E"/>
    <w:rsid w:val="6A106E27"/>
    <w:rsid w:val="6A334ED5"/>
    <w:rsid w:val="6A340C62"/>
    <w:rsid w:val="6A507835"/>
    <w:rsid w:val="6A520EC7"/>
    <w:rsid w:val="6A716433"/>
    <w:rsid w:val="6A7318D2"/>
    <w:rsid w:val="6A830498"/>
    <w:rsid w:val="6A885221"/>
    <w:rsid w:val="6AAC2D80"/>
    <w:rsid w:val="6AD831E2"/>
    <w:rsid w:val="6AF87E20"/>
    <w:rsid w:val="6B1349A9"/>
    <w:rsid w:val="6B190CCB"/>
    <w:rsid w:val="6B19231D"/>
    <w:rsid w:val="6B1940CB"/>
    <w:rsid w:val="6B1B172D"/>
    <w:rsid w:val="6B1B36F7"/>
    <w:rsid w:val="6B211664"/>
    <w:rsid w:val="6B2C5D10"/>
    <w:rsid w:val="6B322639"/>
    <w:rsid w:val="6B3A2E3E"/>
    <w:rsid w:val="6B3D3568"/>
    <w:rsid w:val="6B447911"/>
    <w:rsid w:val="6B575D35"/>
    <w:rsid w:val="6B9A18AC"/>
    <w:rsid w:val="6BB73744"/>
    <w:rsid w:val="6BCF16EA"/>
    <w:rsid w:val="6BD910A1"/>
    <w:rsid w:val="6BF1198A"/>
    <w:rsid w:val="6C636C38"/>
    <w:rsid w:val="6C873EED"/>
    <w:rsid w:val="6CA42DA0"/>
    <w:rsid w:val="6CA80264"/>
    <w:rsid w:val="6CCF6157"/>
    <w:rsid w:val="6CD92752"/>
    <w:rsid w:val="6CF03552"/>
    <w:rsid w:val="6CF76B7D"/>
    <w:rsid w:val="6D5A13CF"/>
    <w:rsid w:val="6D714693"/>
    <w:rsid w:val="6D7236C4"/>
    <w:rsid w:val="6D75048C"/>
    <w:rsid w:val="6D7C0345"/>
    <w:rsid w:val="6D8360D1"/>
    <w:rsid w:val="6DB34098"/>
    <w:rsid w:val="6DB545B6"/>
    <w:rsid w:val="6DE02FB4"/>
    <w:rsid w:val="6DE44514"/>
    <w:rsid w:val="6E015DF0"/>
    <w:rsid w:val="6E0635A2"/>
    <w:rsid w:val="6E514CED"/>
    <w:rsid w:val="6E54004E"/>
    <w:rsid w:val="6E722F24"/>
    <w:rsid w:val="6E9A5725"/>
    <w:rsid w:val="6EB563D5"/>
    <w:rsid w:val="6EC8149F"/>
    <w:rsid w:val="6ED143E7"/>
    <w:rsid w:val="6ED92677"/>
    <w:rsid w:val="6EDF10D9"/>
    <w:rsid w:val="6EDF2742"/>
    <w:rsid w:val="6EF51E6A"/>
    <w:rsid w:val="6F031302"/>
    <w:rsid w:val="6F04276C"/>
    <w:rsid w:val="6F0D7199"/>
    <w:rsid w:val="6F225983"/>
    <w:rsid w:val="6F2679E3"/>
    <w:rsid w:val="6F38357B"/>
    <w:rsid w:val="6F3F1919"/>
    <w:rsid w:val="6F5161E8"/>
    <w:rsid w:val="6F5C7537"/>
    <w:rsid w:val="6F6667CD"/>
    <w:rsid w:val="6F8D0FE5"/>
    <w:rsid w:val="6F8D27D4"/>
    <w:rsid w:val="6FCF203B"/>
    <w:rsid w:val="6FF8543C"/>
    <w:rsid w:val="6FFC5590"/>
    <w:rsid w:val="701A2DBF"/>
    <w:rsid w:val="70453F88"/>
    <w:rsid w:val="706D1DD0"/>
    <w:rsid w:val="707856AE"/>
    <w:rsid w:val="70856B87"/>
    <w:rsid w:val="709C1A26"/>
    <w:rsid w:val="70D527EE"/>
    <w:rsid w:val="70E47042"/>
    <w:rsid w:val="71120B9E"/>
    <w:rsid w:val="713E1BB9"/>
    <w:rsid w:val="714A4E96"/>
    <w:rsid w:val="714D0DEE"/>
    <w:rsid w:val="7152603A"/>
    <w:rsid w:val="715B5300"/>
    <w:rsid w:val="7160674B"/>
    <w:rsid w:val="71803F15"/>
    <w:rsid w:val="718B7FBD"/>
    <w:rsid w:val="71943523"/>
    <w:rsid w:val="719F0E68"/>
    <w:rsid w:val="71B22FDE"/>
    <w:rsid w:val="71B87EA3"/>
    <w:rsid w:val="71D27F8A"/>
    <w:rsid w:val="7204578E"/>
    <w:rsid w:val="721F0D4B"/>
    <w:rsid w:val="722C2936"/>
    <w:rsid w:val="723E4B15"/>
    <w:rsid w:val="72553024"/>
    <w:rsid w:val="72566E3A"/>
    <w:rsid w:val="725979C6"/>
    <w:rsid w:val="72752CA5"/>
    <w:rsid w:val="72770396"/>
    <w:rsid w:val="7289422C"/>
    <w:rsid w:val="72B908CC"/>
    <w:rsid w:val="72D5519C"/>
    <w:rsid w:val="72DD1B11"/>
    <w:rsid w:val="72E97241"/>
    <w:rsid w:val="72F60B77"/>
    <w:rsid w:val="72FB40C6"/>
    <w:rsid w:val="72FB5901"/>
    <w:rsid w:val="73104DF7"/>
    <w:rsid w:val="73122968"/>
    <w:rsid w:val="7313195C"/>
    <w:rsid w:val="731F5D5E"/>
    <w:rsid w:val="73261A7B"/>
    <w:rsid w:val="732E6B82"/>
    <w:rsid w:val="735C42E6"/>
    <w:rsid w:val="737F3653"/>
    <w:rsid w:val="73820D97"/>
    <w:rsid w:val="738465C1"/>
    <w:rsid w:val="738B1AF9"/>
    <w:rsid w:val="73BA23D1"/>
    <w:rsid w:val="73C35982"/>
    <w:rsid w:val="73C51AD5"/>
    <w:rsid w:val="73C663EF"/>
    <w:rsid w:val="741E793C"/>
    <w:rsid w:val="741F12A9"/>
    <w:rsid w:val="74303A4D"/>
    <w:rsid w:val="74341F76"/>
    <w:rsid w:val="745E3944"/>
    <w:rsid w:val="747542CE"/>
    <w:rsid w:val="7483371C"/>
    <w:rsid w:val="749A45ED"/>
    <w:rsid w:val="74B4004C"/>
    <w:rsid w:val="74DD25FB"/>
    <w:rsid w:val="74F236DC"/>
    <w:rsid w:val="751C09C1"/>
    <w:rsid w:val="756D1FC7"/>
    <w:rsid w:val="759E179B"/>
    <w:rsid w:val="759F5E8E"/>
    <w:rsid w:val="75B346EE"/>
    <w:rsid w:val="75BD0C4E"/>
    <w:rsid w:val="75C71B98"/>
    <w:rsid w:val="75DC122C"/>
    <w:rsid w:val="75E66245"/>
    <w:rsid w:val="75FA0301"/>
    <w:rsid w:val="76165FD1"/>
    <w:rsid w:val="76247D85"/>
    <w:rsid w:val="7635099D"/>
    <w:rsid w:val="764B6C68"/>
    <w:rsid w:val="76691C04"/>
    <w:rsid w:val="766920FE"/>
    <w:rsid w:val="76926017"/>
    <w:rsid w:val="76927F98"/>
    <w:rsid w:val="76961EA4"/>
    <w:rsid w:val="76B92F53"/>
    <w:rsid w:val="76D87ACB"/>
    <w:rsid w:val="76E7615D"/>
    <w:rsid w:val="76F64AD2"/>
    <w:rsid w:val="76FB22D3"/>
    <w:rsid w:val="76FB480B"/>
    <w:rsid w:val="76FE21DD"/>
    <w:rsid w:val="77156C7D"/>
    <w:rsid w:val="77345A6B"/>
    <w:rsid w:val="773C46EE"/>
    <w:rsid w:val="77474423"/>
    <w:rsid w:val="77494E2F"/>
    <w:rsid w:val="77690189"/>
    <w:rsid w:val="776B2153"/>
    <w:rsid w:val="77751056"/>
    <w:rsid w:val="77762421"/>
    <w:rsid w:val="777E040B"/>
    <w:rsid w:val="77845225"/>
    <w:rsid w:val="77B56B1F"/>
    <w:rsid w:val="77C76A64"/>
    <w:rsid w:val="77EB0C48"/>
    <w:rsid w:val="77EB3F5A"/>
    <w:rsid w:val="780810FA"/>
    <w:rsid w:val="780F09F4"/>
    <w:rsid w:val="781F24FD"/>
    <w:rsid w:val="7832573E"/>
    <w:rsid w:val="78474280"/>
    <w:rsid w:val="78A6654F"/>
    <w:rsid w:val="78A90480"/>
    <w:rsid w:val="78B03770"/>
    <w:rsid w:val="78B11DE7"/>
    <w:rsid w:val="78B95D6F"/>
    <w:rsid w:val="78BE250F"/>
    <w:rsid w:val="78EC72C3"/>
    <w:rsid w:val="78F95897"/>
    <w:rsid w:val="79126A19"/>
    <w:rsid w:val="79156E10"/>
    <w:rsid w:val="793A1290"/>
    <w:rsid w:val="795433BC"/>
    <w:rsid w:val="796511D6"/>
    <w:rsid w:val="796F56DA"/>
    <w:rsid w:val="799E5A35"/>
    <w:rsid w:val="79B853F7"/>
    <w:rsid w:val="79DE4E5E"/>
    <w:rsid w:val="79FE1126"/>
    <w:rsid w:val="7A0C34FA"/>
    <w:rsid w:val="7A2138EE"/>
    <w:rsid w:val="7A2B7977"/>
    <w:rsid w:val="7A2E7DEF"/>
    <w:rsid w:val="7A364017"/>
    <w:rsid w:val="7A472D47"/>
    <w:rsid w:val="7A4B46FF"/>
    <w:rsid w:val="7A5C3FD5"/>
    <w:rsid w:val="7A707052"/>
    <w:rsid w:val="7A8265E1"/>
    <w:rsid w:val="7A8907D4"/>
    <w:rsid w:val="7A894231"/>
    <w:rsid w:val="7A9A5138"/>
    <w:rsid w:val="7ABC4A73"/>
    <w:rsid w:val="7AC24292"/>
    <w:rsid w:val="7B092401"/>
    <w:rsid w:val="7B324FCD"/>
    <w:rsid w:val="7B686D42"/>
    <w:rsid w:val="7B841746"/>
    <w:rsid w:val="7BDB58D9"/>
    <w:rsid w:val="7BE06FC1"/>
    <w:rsid w:val="7BE77E33"/>
    <w:rsid w:val="7BF16E84"/>
    <w:rsid w:val="7C365DE1"/>
    <w:rsid w:val="7C3B673E"/>
    <w:rsid w:val="7C401BE6"/>
    <w:rsid w:val="7C5B0896"/>
    <w:rsid w:val="7C6C5AC7"/>
    <w:rsid w:val="7CB974BC"/>
    <w:rsid w:val="7CC6544B"/>
    <w:rsid w:val="7D0239FF"/>
    <w:rsid w:val="7D11554A"/>
    <w:rsid w:val="7D147C5F"/>
    <w:rsid w:val="7D17018C"/>
    <w:rsid w:val="7D201658"/>
    <w:rsid w:val="7D291BFA"/>
    <w:rsid w:val="7D2B31E4"/>
    <w:rsid w:val="7D5E40CD"/>
    <w:rsid w:val="7D670168"/>
    <w:rsid w:val="7D770A28"/>
    <w:rsid w:val="7D7D673C"/>
    <w:rsid w:val="7D853842"/>
    <w:rsid w:val="7D9D6FA5"/>
    <w:rsid w:val="7DAE16D1"/>
    <w:rsid w:val="7DCD56F2"/>
    <w:rsid w:val="7DEC183C"/>
    <w:rsid w:val="7DF26EEA"/>
    <w:rsid w:val="7DF91B29"/>
    <w:rsid w:val="7E0C0193"/>
    <w:rsid w:val="7E252FA5"/>
    <w:rsid w:val="7E2E3EDA"/>
    <w:rsid w:val="7E9F4DA1"/>
    <w:rsid w:val="7EA244C7"/>
    <w:rsid w:val="7EC521A7"/>
    <w:rsid w:val="7ED3474D"/>
    <w:rsid w:val="7EF17FBE"/>
    <w:rsid w:val="7F001CE7"/>
    <w:rsid w:val="7F3C1CC8"/>
    <w:rsid w:val="7F693200"/>
    <w:rsid w:val="7F6E016D"/>
    <w:rsid w:val="7F8076EA"/>
    <w:rsid w:val="7F9452D1"/>
    <w:rsid w:val="7F9F0B14"/>
    <w:rsid w:val="7FB41E9D"/>
    <w:rsid w:val="7FE47E50"/>
    <w:rsid w:val="7FE5531B"/>
    <w:rsid w:val="7FE945D4"/>
    <w:rsid w:val="7FEB208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nhideWhenUsed="0" w:uiPriority="1" w:semiHidden="0" w:name="heading 4" w:locked="1"/>
    <w:lsdException w:qFormat="1" w:uiPriority="0" w:semiHidden="0" w:name="heading 5" w:locked="1"/>
    <w:lsdException w:qFormat="1" w:uiPriority="0" w:semiHidden="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iPriority="0" w:semiHidden="0" w:name="toc 1" w:locked="1"/>
    <w:lsdException w:qFormat="1" w:unhideWhenUsed="0"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qFormat="1" w:unhideWhenUsed="0" w:uiPriority="39"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nhideWhenUsed="0" w:uiPriority="35" w:semiHidden="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qFormat="1" w:unhideWhenUsed="0" w:uiPriority="0" w:semiHidden="0" w:name="List 3" w:locked="1"/>
    <w:lsdException w:unhideWhenUsed="0" w:uiPriority="0" w:semiHidden="0" w:name="List 4" w:locked="1"/>
    <w:lsdException w:unhideWhenUsed="0" w:uiPriority="0" w:semiHidden="0" w:name="List 5" w:locked="1"/>
    <w:lsdException w:qFormat="1"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qFormat="1" w:unhideWhenUsed="0" w:uiPriority="0" w:semiHidden="0" w:name="Salutation" w:locked="1"/>
    <w:lsdException w:qFormat="1" w:unhideWhenUsed="0" w:uiPriority="0" w:semiHidden="0" w:name="Date"/>
    <w:lsdException w:qFormat="1" w:uiPriority="99" w:semiHidden="0" w:name="Body Text First Indent" w:locked="1"/>
    <w:lsdException w:unhideWhenUsed="0" w:uiPriority="0" w:semiHidden="0" w:name="Body Text First Indent 2" w:locked="1"/>
    <w:lsdException w:unhideWhenUsed="0" w:uiPriority="0" w:semiHidden="0" w:name="Note Heading" w:locked="1"/>
    <w:lsdException w:qFormat="1" w:uiPriority="0" w:semiHidden="0" w:name="Body Text 2" w:locked="1"/>
    <w:lsdException w:unhideWhenUsed="0" w:uiPriority="0" w:semiHidden="0" w:name="Body Text 3" w:locked="1"/>
    <w:lsdException w:qFormat="1" w:unhideWhenUsed="0" w:uiPriority="0" w:semiHidden="0" w:name="Body Text Indent 2" w:locked="1"/>
    <w:lsdException w:qFormat="1" w:unhideWhenUsed="0" w:uiPriority="99" w:semiHidden="0" w:name="Body Text Indent 3" w:locked="1"/>
    <w:lsdException w:qFormat="1"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20" w:semiHidden="0" w:name="Emphasis" w:locked="1"/>
    <w:lsdException w:unhideWhenUsed="0" w:uiPriority="0" w:semiHidden="0" w:name="Document Map" w:locked="1"/>
    <w:lsdException w:qFormat="1" w:unhideWhenUsed="0" w:uiPriority="0" w:semiHidden="0" w:name="Plain Text" w:locked="1"/>
    <w:lsdException w:qFormat="1" w:uiPriority="99"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qFormat="1"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7">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8">
    <w:name w:val="heading 2"/>
    <w:basedOn w:val="1"/>
    <w:next w:val="1"/>
    <w:link w:val="62"/>
    <w:qFormat/>
    <w:locked/>
    <w:uiPriority w:val="0"/>
    <w:pPr>
      <w:keepNext/>
      <w:keepLines/>
      <w:spacing w:before="260" w:after="260" w:line="416" w:lineRule="auto"/>
      <w:outlineLvl w:val="1"/>
    </w:pPr>
    <w:rPr>
      <w:rFonts w:ascii="等线 Light" w:hAnsi="等线 Light" w:eastAsia="等线 Light" w:cs="Times New Roman"/>
      <w:b/>
      <w:bCs/>
      <w:sz w:val="32"/>
      <w:szCs w:val="32"/>
    </w:rPr>
  </w:style>
  <w:style w:type="paragraph" w:styleId="9">
    <w:name w:val="heading 3"/>
    <w:basedOn w:val="1"/>
    <w:next w:val="1"/>
    <w:qFormat/>
    <w:locked/>
    <w:uiPriority w:val="0"/>
    <w:pPr>
      <w:keepNext/>
      <w:keepLines/>
      <w:spacing w:before="260" w:after="260" w:line="416" w:lineRule="auto"/>
      <w:outlineLvl w:val="2"/>
    </w:pPr>
    <w:rPr>
      <w:b/>
      <w:bCs/>
      <w:sz w:val="32"/>
      <w:szCs w:val="32"/>
    </w:rPr>
  </w:style>
  <w:style w:type="paragraph" w:styleId="10">
    <w:name w:val="heading 4"/>
    <w:basedOn w:val="1"/>
    <w:next w:val="1"/>
    <w:qFormat/>
    <w:locked/>
    <w:uiPriority w:val="1"/>
    <w:pPr>
      <w:outlineLvl w:val="3"/>
    </w:pPr>
    <w:rPr>
      <w:rFonts w:ascii="宋体" w:hAnsi="宋体" w:eastAsia="宋体" w:cs="宋体"/>
      <w:b/>
      <w:bCs/>
      <w:sz w:val="24"/>
      <w:szCs w:val="24"/>
      <w:lang w:val="zh-CN" w:eastAsia="zh-CN" w:bidi="zh-CN"/>
    </w:rPr>
  </w:style>
  <w:style w:type="paragraph" w:styleId="11">
    <w:name w:val="heading 5"/>
    <w:next w:val="1"/>
    <w:unhideWhenUsed/>
    <w:qFormat/>
    <w:locked/>
    <w:uiPriority w:val="0"/>
    <w:pPr>
      <w:keepNext/>
      <w:keepLines/>
      <w:numPr>
        <w:ilvl w:val="4"/>
        <w:numId w:val="1"/>
      </w:numPr>
      <w:spacing w:line="360" w:lineRule="auto"/>
      <w:ind w:firstLine="1440" w:firstLineChars="200"/>
      <w:outlineLvl w:val="4"/>
    </w:pPr>
    <w:rPr>
      <w:rFonts w:ascii="Times New Roman" w:hAnsi="Times New Roman" w:eastAsia="宋体" w:cs="Times New Roman"/>
      <w:b/>
      <w:bCs/>
      <w:sz w:val="24"/>
      <w:szCs w:val="24"/>
      <w:lang w:val="en-US" w:eastAsia="zh-CN" w:bidi="ar-SA"/>
    </w:rPr>
  </w:style>
  <w:style w:type="paragraph" w:styleId="12">
    <w:name w:val="heading 6"/>
    <w:basedOn w:val="1"/>
    <w:next w:val="1"/>
    <w:unhideWhenUsed/>
    <w:qFormat/>
    <w:locked/>
    <w:uiPriority w:val="0"/>
    <w:pPr>
      <w:keepNext/>
      <w:keepLines/>
      <w:numPr>
        <w:ilvl w:val="5"/>
        <w:numId w:val="1"/>
      </w:numPr>
      <w:ind w:firstLine="1440" w:firstLineChars="200"/>
      <w:outlineLvl w:val="5"/>
    </w:pPr>
    <w:rPr>
      <w:szCs w:val="21"/>
    </w:rPr>
  </w:style>
  <w:style w:type="character" w:default="1" w:styleId="46">
    <w:name w:val="Default Paragraph Font"/>
    <w:semiHidden/>
    <w:qFormat/>
    <w:uiPriority w:val="0"/>
  </w:style>
  <w:style w:type="table" w:default="1" w:styleId="44">
    <w:name w:val="Normal Table"/>
    <w:semiHidden/>
    <w:qFormat/>
    <w:uiPriority w:val="0"/>
    <w:tblPr>
      <w:tblCellMar>
        <w:top w:w="0" w:type="dxa"/>
        <w:left w:w="108" w:type="dxa"/>
        <w:bottom w:w="0" w:type="dxa"/>
        <w:right w:w="108" w:type="dxa"/>
      </w:tblCellMar>
    </w:tblPr>
  </w:style>
  <w:style w:type="paragraph" w:customStyle="1" w:styleId="2">
    <w:name w:val="Default"/>
    <w:basedOn w:val="3"/>
    <w:next w:val="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
    <w:name w:val="纯文本1"/>
    <w:basedOn w:val="1"/>
    <w:next w:val="1"/>
    <w:qFormat/>
    <w:uiPriority w:val="0"/>
    <w:pPr>
      <w:adjustRightInd w:val="0"/>
    </w:pPr>
    <w:rPr>
      <w:rFonts w:ascii="宋体" w:hAnsi="Courier New"/>
      <w:szCs w:val="20"/>
    </w:rPr>
  </w:style>
  <w:style w:type="paragraph" w:customStyle="1" w:styleId="4">
    <w:name w:val="正文文字 6"/>
    <w:basedOn w:val="5"/>
    <w:next w:val="1"/>
    <w:qFormat/>
    <w:uiPriority w:val="0"/>
    <w:pPr>
      <w:widowControl w:val="0"/>
      <w:ind w:left="240"/>
      <w:jc w:val="both"/>
    </w:pPr>
    <w:rPr>
      <w:rFonts w:ascii="宋体"/>
      <w:b/>
      <w:bCs/>
      <w:kern w:val="2"/>
      <w:sz w:val="32"/>
      <w:szCs w:val="32"/>
      <w:lang w:val="en-US" w:eastAsia="zh-CN" w:bidi="ar-SA"/>
    </w:rPr>
  </w:style>
  <w:style w:type="paragraph" w:customStyle="1" w:styleId="5">
    <w:name w:val="图位置"/>
    <w:next w:val="6"/>
    <w:qFormat/>
    <w:uiPriority w:val="0"/>
    <w:pPr>
      <w:jc w:val="center"/>
    </w:pPr>
    <w:rPr>
      <w:rFonts w:ascii="Times New Roman" w:hAnsi="Times New Roman" w:eastAsia="宋体" w:cs="Times New Roman"/>
      <w:kern w:val="2"/>
      <w:sz w:val="24"/>
      <w:szCs w:val="21"/>
      <w:lang w:val="en-US" w:eastAsia="zh-CN" w:bidi="ar-SA"/>
    </w:rPr>
  </w:style>
  <w:style w:type="paragraph" w:customStyle="1" w:styleId="6">
    <w:name w:val="图题"/>
    <w:basedOn w:val="1"/>
    <w:next w:val="1"/>
    <w:qFormat/>
    <w:uiPriority w:val="0"/>
    <w:pPr>
      <w:jc w:val="center"/>
    </w:pPr>
    <w:rPr>
      <w:rFonts w:ascii="宋体" w:hAnsi="宋体" w:eastAsia="黑体"/>
      <w:b/>
    </w:rPr>
  </w:style>
  <w:style w:type="paragraph" w:styleId="13">
    <w:name w:val="List 3"/>
    <w:basedOn w:val="1"/>
    <w:next w:val="1"/>
    <w:qFormat/>
    <w:locked/>
    <w:uiPriority w:val="0"/>
    <w:pPr>
      <w:ind w:left="100" w:leftChars="400" w:hanging="200" w:hangingChars="200"/>
    </w:pPr>
    <w:rPr>
      <w:szCs w:val="20"/>
    </w:rPr>
  </w:style>
  <w:style w:type="paragraph" w:styleId="14">
    <w:name w:val="E-mail Signature"/>
    <w:basedOn w:val="1"/>
    <w:next w:val="15"/>
    <w:unhideWhenUsed/>
    <w:qFormat/>
    <w:locked/>
    <w:uiPriority w:val="99"/>
    <w:pPr>
      <w:spacing w:line="460" w:lineRule="exact"/>
      <w:ind w:firstLine="200"/>
    </w:pPr>
  </w:style>
  <w:style w:type="paragraph" w:customStyle="1" w:styleId="15">
    <w:name w:val="文章"/>
    <w:basedOn w:val="16"/>
    <w:next w:val="18"/>
    <w:qFormat/>
    <w:uiPriority w:val="0"/>
    <w:pPr>
      <w:widowControl/>
      <w:spacing w:line="240" w:lineRule="auto"/>
      <w:jc w:val="center"/>
    </w:pPr>
    <w:rPr>
      <w:sz w:val="26"/>
    </w:rPr>
  </w:style>
  <w:style w:type="paragraph" w:styleId="16">
    <w:name w:val="Body Text Indent"/>
    <w:basedOn w:val="1"/>
    <w:next w:val="17"/>
    <w:link w:val="63"/>
    <w:qFormat/>
    <w:uiPriority w:val="0"/>
    <w:pPr>
      <w:spacing w:after="120"/>
      <w:ind w:left="420" w:leftChars="200"/>
    </w:pPr>
    <w:rPr>
      <w:kern w:val="0"/>
      <w:sz w:val="24"/>
      <w:szCs w:val="20"/>
    </w:rPr>
  </w:style>
  <w:style w:type="paragraph" w:styleId="17">
    <w:name w:val="caption"/>
    <w:basedOn w:val="1"/>
    <w:next w:val="1"/>
    <w:qFormat/>
    <w:locked/>
    <w:uiPriority w:val="35"/>
    <w:pPr>
      <w:tabs>
        <w:tab w:val="left" w:pos="3240"/>
        <w:tab w:val="left" w:pos="6120"/>
      </w:tabs>
    </w:pPr>
    <w:rPr>
      <w:rFonts w:ascii="Cambria" w:hAnsi="Cambria" w:eastAsia="黑体" w:cs="Times New Roman"/>
      <w:sz w:val="20"/>
      <w:szCs w:val="20"/>
    </w:rPr>
  </w:style>
  <w:style w:type="paragraph" w:styleId="18">
    <w:name w:val="List"/>
    <w:basedOn w:val="1"/>
    <w:next w:val="1"/>
    <w:qFormat/>
    <w:locked/>
    <w:uiPriority w:val="0"/>
    <w:pPr>
      <w:ind w:left="200" w:hanging="200" w:hangingChars="200"/>
    </w:pPr>
  </w:style>
  <w:style w:type="paragraph" w:styleId="19">
    <w:name w:val="Normal Indent"/>
    <w:basedOn w:val="1"/>
    <w:next w:val="10"/>
    <w:qFormat/>
    <w:locked/>
    <w:uiPriority w:val="0"/>
    <w:pPr>
      <w:spacing w:line="360" w:lineRule="auto"/>
      <w:ind w:firstLine="420" w:firstLineChars="200"/>
    </w:pPr>
    <w:rPr>
      <w:sz w:val="24"/>
    </w:rPr>
  </w:style>
  <w:style w:type="paragraph" w:styleId="20">
    <w:name w:val="annotation text"/>
    <w:basedOn w:val="1"/>
    <w:link w:val="65"/>
    <w:semiHidden/>
    <w:qFormat/>
    <w:uiPriority w:val="0"/>
    <w:pPr>
      <w:jc w:val="left"/>
    </w:pPr>
    <w:rPr>
      <w:kern w:val="0"/>
      <w:sz w:val="24"/>
      <w:szCs w:val="20"/>
    </w:rPr>
  </w:style>
  <w:style w:type="paragraph" w:styleId="21">
    <w:name w:val="Salutation"/>
    <w:basedOn w:val="1"/>
    <w:next w:val="1"/>
    <w:qFormat/>
    <w:locked/>
    <w:uiPriority w:val="0"/>
  </w:style>
  <w:style w:type="paragraph" w:styleId="22">
    <w:name w:val="Body Text"/>
    <w:basedOn w:val="1"/>
    <w:next w:val="23"/>
    <w:link w:val="64"/>
    <w:qFormat/>
    <w:uiPriority w:val="0"/>
    <w:pPr>
      <w:widowControl/>
      <w:snapToGrid w:val="0"/>
      <w:spacing w:before="60" w:after="160" w:line="259" w:lineRule="auto"/>
      <w:ind w:right="113"/>
    </w:pPr>
    <w:rPr>
      <w:kern w:val="0"/>
      <w:sz w:val="18"/>
      <w:szCs w:val="20"/>
    </w:rPr>
  </w:style>
  <w:style w:type="paragraph" w:styleId="23">
    <w:name w:val="List Bullet 5"/>
    <w:basedOn w:val="1"/>
    <w:qFormat/>
    <w:locked/>
    <w:uiPriority w:val="0"/>
    <w:pPr>
      <w:numPr>
        <w:ilvl w:val="0"/>
        <w:numId w:val="2"/>
      </w:numPr>
    </w:pPr>
  </w:style>
  <w:style w:type="paragraph" w:styleId="24">
    <w:name w:val="Block Text"/>
    <w:basedOn w:val="1"/>
    <w:qFormat/>
    <w:locked/>
    <w:uiPriority w:val="0"/>
    <w:pPr>
      <w:spacing w:after="120"/>
      <w:ind w:left="1440" w:leftChars="700" w:right="1440" w:rightChars="700"/>
    </w:pPr>
  </w:style>
  <w:style w:type="paragraph" w:styleId="25">
    <w:name w:val="List Bullet 2"/>
    <w:basedOn w:val="1"/>
    <w:next w:val="26"/>
    <w:qFormat/>
    <w:locked/>
    <w:uiPriority w:val="0"/>
    <w:pPr>
      <w:numPr>
        <w:ilvl w:val="0"/>
        <w:numId w:val="3"/>
      </w:numPr>
    </w:pPr>
  </w:style>
  <w:style w:type="paragraph" w:customStyle="1" w:styleId="26">
    <w:name w:val="xl70"/>
    <w:basedOn w:val="1"/>
    <w:next w:val="27"/>
    <w:qFormat/>
    <w:uiPriority w:val="0"/>
    <w:pPr>
      <w:widowControl/>
      <w:spacing w:before="100" w:beforeAutospacing="1" w:after="100" w:afterAutospacing="1" w:line="240" w:lineRule="auto"/>
      <w:ind w:firstLine="0" w:firstLineChars="0"/>
    </w:pPr>
    <w:rPr>
      <w:rFonts w:ascii="Arial" w:hAnsi="Arial" w:cs="Arial"/>
    </w:rPr>
  </w:style>
  <w:style w:type="paragraph" w:customStyle="1" w:styleId="27">
    <w:name w:val="正文缩进1"/>
    <w:basedOn w:val="1"/>
    <w:next w:val="28"/>
    <w:qFormat/>
    <w:uiPriority w:val="0"/>
    <w:pPr>
      <w:spacing w:line="240" w:lineRule="auto"/>
      <w:ind w:firstLine="420" w:firstLineChars="0"/>
    </w:pPr>
  </w:style>
  <w:style w:type="paragraph" w:customStyle="1" w:styleId="28">
    <w:name w:val="td1"/>
    <w:basedOn w:val="1"/>
    <w:next w:val="1"/>
    <w:qFormat/>
    <w:uiPriority w:val="0"/>
    <w:pPr>
      <w:widowControl/>
      <w:spacing w:before="280" w:after="280" w:line="300" w:lineRule="atLeast"/>
    </w:pPr>
    <w:rPr>
      <w:sz w:val="18"/>
    </w:rPr>
  </w:style>
  <w:style w:type="paragraph" w:styleId="29">
    <w:name w:val="Plain Text"/>
    <w:basedOn w:val="1"/>
    <w:qFormat/>
    <w:locked/>
    <w:uiPriority w:val="0"/>
    <w:rPr>
      <w:rFonts w:ascii="宋体" w:hAnsi="Courier New"/>
      <w:szCs w:val="20"/>
    </w:rPr>
  </w:style>
  <w:style w:type="paragraph" w:styleId="30">
    <w:name w:val="Date"/>
    <w:basedOn w:val="1"/>
    <w:next w:val="1"/>
    <w:link w:val="66"/>
    <w:qFormat/>
    <w:uiPriority w:val="0"/>
    <w:pPr>
      <w:ind w:left="100" w:leftChars="2500"/>
    </w:pPr>
    <w:rPr>
      <w:kern w:val="0"/>
      <w:sz w:val="24"/>
      <w:szCs w:val="20"/>
    </w:rPr>
  </w:style>
  <w:style w:type="paragraph" w:styleId="31">
    <w:name w:val="Body Text Indent 2"/>
    <w:basedOn w:val="1"/>
    <w:qFormat/>
    <w:locked/>
    <w:uiPriority w:val="0"/>
    <w:pPr>
      <w:spacing w:line="300" w:lineRule="auto"/>
      <w:ind w:firstLine="570"/>
    </w:pPr>
    <w:rPr>
      <w:sz w:val="28"/>
      <w:szCs w:val="20"/>
    </w:rPr>
  </w:style>
  <w:style w:type="paragraph" w:styleId="32">
    <w:name w:val="Balloon Text"/>
    <w:basedOn w:val="1"/>
    <w:link w:val="67"/>
    <w:semiHidden/>
    <w:qFormat/>
    <w:uiPriority w:val="0"/>
    <w:rPr>
      <w:kern w:val="0"/>
      <w:sz w:val="18"/>
      <w:szCs w:val="20"/>
    </w:rPr>
  </w:style>
  <w:style w:type="paragraph" w:styleId="33">
    <w:name w:val="footer"/>
    <w:basedOn w:val="1"/>
    <w:link w:val="68"/>
    <w:qFormat/>
    <w:uiPriority w:val="99"/>
    <w:pPr>
      <w:tabs>
        <w:tab w:val="center" w:pos="4153"/>
        <w:tab w:val="right" w:pos="8306"/>
      </w:tabs>
      <w:snapToGrid w:val="0"/>
      <w:jc w:val="left"/>
    </w:pPr>
    <w:rPr>
      <w:kern w:val="0"/>
      <w:sz w:val="18"/>
      <w:szCs w:val="20"/>
    </w:rPr>
  </w:style>
  <w:style w:type="paragraph" w:styleId="34">
    <w:name w:val="header"/>
    <w:basedOn w:val="1"/>
    <w:link w:val="69"/>
    <w:qFormat/>
    <w:uiPriority w:val="0"/>
    <w:pPr>
      <w:pBdr>
        <w:bottom w:val="single" w:color="auto" w:sz="6" w:space="1"/>
      </w:pBdr>
      <w:tabs>
        <w:tab w:val="center" w:pos="4153"/>
        <w:tab w:val="right" w:pos="8306"/>
      </w:tabs>
      <w:snapToGrid w:val="0"/>
      <w:jc w:val="center"/>
    </w:pPr>
    <w:rPr>
      <w:kern w:val="0"/>
      <w:sz w:val="18"/>
      <w:szCs w:val="20"/>
    </w:rPr>
  </w:style>
  <w:style w:type="paragraph" w:styleId="35">
    <w:name w:val="toc 1"/>
    <w:basedOn w:val="1"/>
    <w:next w:val="1"/>
    <w:unhideWhenUsed/>
    <w:qFormat/>
    <w:locked/>
    <w:uiPriority w:val="0"/>
  </w:style>
  <w:style w:type="paragraph" w:styleId="36">
    <w:name w:val="Body Text Indent 3"/>
    <w:basedOn w:val="1"/>
    <w:qFormat/>
    <w:locked/>
    <w:uiPriority w:val="99"/>
    <w:pPr>
      <w:snapToGrid w:val="0"/>
      <w:spacing w:line="480" w:lineRule="exact"/>
      <w:ind w:firstLine="535" w:firstLineChars="191"/>
    </w:pPr>
    <w:rPr>
      <w:sz w:val="28"/>
    </w:rPr>
  </w:style>
  <w:style w:type="paragraph" w:styleId="37">
    <w:name w:val="toc 2"/>
    <w:basedOn w:val="1"/>
    <w:next w:val="14"/>
    <w:qFormat/>
    <w:locked/>
    <w:uiPriority w:val="39"/>
    <w:pPr>
      <w:tabs>
        <w:tab w:val="left" w:pos="840"/>
        <w:tab w:val="right" w:leader="dot" w:pos="9060"/>
      </w:tabs>
      <w:spacing w:line="400" w:lineRule="exact"/>
      <w:ind w:left="210"/>
      <w:jc w:val="left"/>
    </w:pPr>
    <w:rPr>
      <w:smallCaps/>
      <w:sz w:val="20"/>
      <w:szCs w:val="20"/>
    </w:rPr>
  </w:style>
  <w:style w:type="paragraph" w:styleId="38">
    <w:name w:val="toc 9"/>
    <w:basedOn w:val="1"/>
    <w:next w:val="1"/>
    <w:qFormat/>
    <w:locked/>
    <w:uiPriority w:val="39"/>
    <w:pPr>
      <w:ind w:left="1680"/>
      <w:jc w:val="left"/>
    </w:pPr>
    <w:rPr>
      <w:sz w:val="20"/>
      <w:szCs w:val="20"/>
    </w:rPr>
  </w:style>
  <w:style w:type="paragraph" w:styleId="39">
    <w:name w:val="Body Text 2"/>
    <w:basedOn w:val="1"/>
    <w:unhideWhenUsed/>
    <w:qFormat/>
    <w:locked/>
    <w:uiPriority w:val="0"/>
    <w:pPr>
      <w:spacing w:after="120" w:line="480" w:lineRule="auto"/>
    </w:pPr>
  </w:style>
  <w:style w:type="paragraph" w:styleId="40">
    <w:name w:val="HTML Preformatted"/>
    <w:basedOn w:val="1"/>
    <w:qFormat/>
    <w:lock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41">
    <w:name w:val="Normal (Web)"/>
    <w:basedOn w:val="1"/>
    <w:link w:val="70"/>
    <w:qFormat/>
    <w:uiPriority w:val="0"/>
    <w:pPr>
      <w:widowControl/>
      <w:spacing w:before="100" w:beforeAutospacing="1" w:after="100" w:afterAutospacing="1"/>
      <w:jc w:val="left"/>
    </w:pPr>
    <w:rPr>
      <w:rFonts w:ascii="宋体" w:hAnsi="宋体"/>
      <w:kern w:val="0"/>
      <w:sz w:val="24"/>
      <w:szCs w:val="20"/>
    </w:rPr>
  </w:style>
  <w:style w:type="paragraph" w:styleId="42">
    <w:name w:val="annotation subject"/>
    <w:basedOn w:val="20"/>
    <w:next w:val="20"/>
    <w:link w:val="71"/>
    <w:semiHidden/>
    <w:qFormat/>
    <w:uiPriority w:val="0"/>
    <w:rPr>
      <w:b/>
      <w:sz w:val="24"/>
      <w:szCs w:val="20"/>
    </w:rPr>
  </w:style>
  <w:style w:type="paragraph" w:styleId="43">
    <w:name w:val="Body Text First Indent"/>
    <w:basedOn w:val="22"/>
    <w:unhideWhenUsed/>
    <w:qFormat/>
    <w:locked/>
    <w:uiPriority w:val="99"/>
    <w:pPr>
      <w:ind w:firstLine="420" w:firstLineChars="100"/>
    </w:pPr>
  </w:style>
  <w:style w:type="table" w:styleId="45">
    <w:name w:val="Table Grid"/>
    <w:basedOn w:val="44"/>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basedOn w:val="46"/>
    <w:qFormat/>
    <w:locked/>
    <w:uiPriority w:val="0"/>
    <w:rPr>
      <w:b/>
    </w:rPr>
  </w:style>
  <w:style w:type="character" w:styleId="48">
    <w:name w:val="page number"/>
    <w:qFormat/>
    <w:locked/>
    <w:uiPriority w:val="0"/>
  </w:style>
  <w:style w:type="character" w:styleId="49">
    <w:name w:val="Emphasis"/>
    <w:qFormat/>
    <w:locked/>
    <w:uiPriority w:val="20"/>
    <w:rPr>
      <w:i/>
    </w:rPr>
  </w:style>
  <w:style w:type="character" w:styleId="50">
    <w:name w:val="Hyperlink"/>
    <w:qFormat/>
    <w:locked/>
    <w:uiPriority w:val="0"/>
    <w:rPr>
      <w:color w:val="0000FF"/>
      <w:u w:val="single"/>
    </w:rPr>
  </w:style>
  <w:style w:type="character" w:styleId="51">
    <w:name w:val="annotation reference"/>
    <w:semiHidden/>
    <w:qFormat/>
    <w:uiPriority w:val="0"/>
    <w:rPr>
      <w:sz w:val="21"/>
    </w:rPr>
  </w:style>
  <w:style w:type="paragraph" w:customStyle="1" w:styleId="52">
    <w:name w:val="样式35"/>
    <w:basedOn w:val="53"/>
    <w:next w:val="58"/>
    <w:qFormat/>
    <w:uiPriority w:val="0"/>
    <w:pPr>
      <w:tabs>
        <w:tab w:val="left" w:pos="0"/>
        <w:tab w:val="left" w:pos="360"/>
        <w:tab w:val="left" w:pos="480"/>
        <w:tab w:val="left" w:pos="540"/>
        <w:tab w:val="left" w:pos="567"/>
        <w:tab w:val="left" w:pos="720"/>
        <w:tab w:val="left" w:pos="992"/>
      </w:tabs>
      <w:ind w:hanging="567"/>
    </w:pPr>
  </w:style>
  <w:style w:type="paragraph" w:customStyle="1" w:styleId="53">
    <w:name w:val="样式26"/>
    <w:basedOn w:val="54"/>
    <w:qFormat/>
    <w:uiPriority w:val="0"/>
    <w:pPr>
      <w:tabs>
        <w:tab w:val="left" w:pos="0"/>
        <w:tab w:val="left" w:pos="360"/>
        <w:tab w:val="left" w:pos="480"/>
        <w:tab w:val="left" w:pos="540"/>
        <w:tab w:val="left" w:pos="567"/>
        <w:tab w:val="left" w:pos="720"/>
      </w:tabs>
    </w:pPr>
  </w:style>
  <w:style w:type="paragraph" w:customStyle="1" w:styleId="54">
    <w:name w:val="样式21"/>
    <w:basedOn w:val="55"/>
    <w:qFormat/>
    <w:uiPriority w:val="0"/>
    <w:pPr>
      <w:numPr>
        <w:ilvl w:val="1"/>
        <w:numId w:val="4"/>
      </w:numPr>
    </w:pPr>
    <w:rPr>
      <w:bCs/>
    </w:rPr>
  </w:style>
  <w:style w:type="paragraph" w:customStyle="1" w:styleId="55">
    <w:name w:val="样式5"/>
    <w:basedOn w:val="56"/>
    <w:qFormat/>
    <w:uiPriority w:val="0"/>
    <w:pPr>
      <w:keepNext w:val="0"/>
      <w:keepLines w:val="0"/>
      <w:widowControl/>
      <w:spacing w:beforeLines="50" w:afterLines="50" w:line="360" w:lineRule="auto"/>
      <w:ind w:left="780" w:hanging="360"/>
      <w:jc w:val="left"/>
    </w:pPr>
    <w:rPr>
      <w:rFonts w:ascii="Times New Roman" w:hAnsi="Times New Roman"/>
      <w:bCs w:val="0"/>
      <w:kern w:val="0"/>
      <w:sz w:val="30"/>
      <w:szCs w:val="30"/>
    </w:rPr>
  </w:style>
  <w:style w:type="paragraph" w:customStyle="1" w:styleId="56">
    <w:name w:val="样式12"/>
    <w:basedOn w:val="57"/>
    <w:qFormat/>
    <w:uiPriority w:val="0"/>
    <w:pPr>
      <w:spacing w:before="180" w:after="120" w:line="500" w:lineRule="exact"/>
      <w:ind w:firstLine="200" w:firstLineChars="200"/>
      <w:jc w:val="center"/>
    </w:pPr>
    <w:rPr>
      <w:rFonts w:ascii="Arial" w:hAnsi="Arial"/>
      <w:sz w:val="36"/>
    </w:rPr>
  </w:style>
  <w:style w:type="paragraph" w:customStyle="1" w:styleId="57">
    <w:name w:val="样式 标题 3标题 3 Char标题3H3h33rd level第二层条三级标题ReHead 3 WSA头..."/>
    <w:basedOn w:val="9"/>
    <w:qFormat/>
    <w:uiPriority w:val="0"/>
    <w:pPr>
      <w:ind w:left="4140" w:hanging="720"/>
    </w:pPr>
    <w:rPr>
      <w:rFonts w:eastAsia="黑体"/>
      <w:color w:val="FF0000"/>
    </w:rPr>
  </w:style>
  <w:style w:type="paragraph" w:customStyle="1" w:styleId="58">
    <w:name w:val="font6"/>
    <w:basedOn w:val="1"/>
    <w:next w:val="37"/>
    <w:qFormat/>
    <w:uiPriority w:val="0"/>
    <w:pPr>
      <w:widowControl/>
      <w:spacing w:before="100" w:beforeAutospacing="1" w:after="100" w:afterAutospacing="1"/>
      <w:jc w:val="left"/>
    </w:pPr>
    <w:rPr>
      <w:rFonts w:eastAsia="Arial Unicode MS"/>
      <w:kern w:val="0"/>
      <w:sz w:val="28"/>
      <w:szCs w:val="28"/>
    </w:rPr>
  </w:style>
  <w:style w:type="paragraph" w:customStyle="1" w:styleId="59">
    <w:name w:val="图表名称"/>
    <w:basedOn w:val="43"/>
    <w:next w:val="60"/>
    <w:qFormat/>
    <w:uiPriority w:val="0"/>
    <w:pPr>
      <w:tabs>
        <w:tab w:val="left" w:pos="3240"/>
        <w:tab w:val="left" w:pos="6120"/>
      </w:tabs>
      <w:adjustRightInd w:val="0"/>
      <w:snapToGrid w:val="0"/>
      <w:ind w:left="0" w:firstLine="0" w:firstLineChars="0"/>
      <w:jc w:val="center"/>
    </w:pPr>
    <w:rPr>
      <w:rFonts w:ascii="Times New Roman" w:hAnsi="Times New Roman"/>
      <w:b/>
      <w:bCs/>
      <w:kern w:val="2"/>
      <w:sz w:val="24"/>
      <w:szCs w:val="28"/>
      <w:lang w:eastAsia="zh-CN"/>
    </w:rPr>
  </w:style>
  <w:style w:type="paragraph" w:customStyle="1" w:styleId="60">
    <w:name w:val="报告正文"/>
    <w:basedOn w:val="61"/>
    <w:qFormat/>
    <w:uiPriority w:val="1"/>
    <w:pPr>
      <w:ind w:firstLine="200"/>
      <w:jc w:val="both"/>
    </w:pPr>
    <w:rPr>
      <w:kern w:val="2"/>
      <w:szCs w:val="22"/>
    </w:rPr>
  </w:style>
  <w:style w:type="paragraph" w:styleId="61">
    <w:name w:val="List Paragraph"/>
    <w:basedOn w:val="1"/>
    <w:qFormat/>
    <w:uiPriority w:val="1"/>
    <w:pPr>
      <w:ind w:left="1057" w:firstLine="480"/>
    </w:pPr>
    <w:rPr>
      <w:rFonts w:ascii="宋体" w:hAnsi="宋体" w:eastAsia="宋体" w:cs="宋体"/>
      <w:lang w:val="en-US" w:eastAsia="zh-CN" w:bidi="ar-SA"/>
    </w:rPr>
  </w:style>
  <w:style w:type="character" w:customStyle="1" w:styleId="62">
    <w:name w:val="标题 2 字符"/>
    <w:link w:val="8"/>
    <w:semiHidden/>
    <w:qFormat/>
    <w:uiPriority w:val="0"/>
    <w:rPr>
      <w:rFonts w:ascii="等线 Light" w:hAnsi="等线 Light" w:eastAsia="等线 Light" w:cs="Times New Roman"/>
      <w:b/>
      <w:bCs/>
      <w:kern w:val="2"/>
      <w:sz w:val="32"/>
      <w:szCs w:val="32"/>
    </w:rPr>
  </w:style>
  <w:style w:type="character" w:customStyle="1" w:styleId="63">
    <w:name w:val="正文文本缩进 字符"/>
    <w:link w:val="16"/>
    <w:semiHidden/>
    <w:qFormat/>
    <w:locked/>
    <w:uiPriority w:val="0"/>
    <w:rPr>
      <w:rFonts w:ascii="Times New Roman" w:hAnsi="Times New Roman" w:eastAsia="宋体"/>
      <w:sz w:val="24"/>
    </w:rPr>
  </w:style>
  <w:style w:type="character" w:customStyle="1" w:styleId="64">
    <w:name w:val="正文文本 字符"/>
    <w:link w:val="22"/>
    <w:qFormat/>
    <w:locked/>
    <w:uiPriority w:val="0"/>
    <w:rPr>
      <w:sz w:val="18"/>
    </w:rPr>
  </w:style>
  <w:style w:type="character" w:customStyle="1" w:styleId="65">
    <w:name w:val="批注文字 字符"/>
    <w:link w:val="20"/>
    <w:qFormat/>
    <w:locked/>
    <w:uiPriority w:val="0"/>
    <w:rPr>
      <w:rFonts w:ascii="Times New Roman" w:hAnsi="Times New Roman" w:eastAsia="宋体"/>
      <w:sz w:val="24"/>
    </w:rPr>
  </w:style>
  <w:style w:type="character" w:customStyle="1" w:styleId="66">
    <w:name w:val="日期 字符1"/>
    <w:link w:val="30"/>
    <w:qFormat/>
    <w:locked/>
    <w:uiPriority w:val="0"/>
    <w:rPr>
      <w:rFonts w:ascii="Times New Roman" w:hAnsi="Times New Roman" w:eastAsia="宋体"/>
      <w:sz w:val="24"/>
    </w:rPr>
  </w:style>
  <w:style w:type="character" w:customStyle="1" w:styleId="67">
    <w:name w:val="批注框文本 字符"/>
    <w:link w:val="32"/>
    <w:semiHidden/>
    <w:qFormat/>
    <w:locked/>
    <w:uiPriority w:val="0"/>
    <w:rPr>
      <w:rFonts w:ascii="Times New Roman" w:hAnsi="Times New Roman" w:eastAsia="宋体"/>
      <w:sz w:val="18"/>
    </w:rPr>
  </w:style>
  <w:style w:type="character" w:customStyle="1" w:styleId="68">
    <w:name w:val="页脚 字符1"/>
    <w:link w:val="33"/>
    <w:qFormat/>
    <w:locked/>
    <w:uiPriority w:val="99"/>
    <w:rPr>
      <w:sz w:val="18"/>
    </w:rPr>
  </w:style>
  <w:style w:type="character" w:customStyle="1" w:styleId="69">
    <w:name w:val="页眉 字符"/>
    <w:link w:val="34"/>
    <w:qFormat/>
    <w:locked/>
    <w:uiPriority w:val="0"/>
    <w:rPr>
      <w:sz w:val="18"/>
    </w:rPr>
  </w:style>
  <w:style w:type="character" w:customStyle="1" w:styleId="70">
    <w:name w:val="普通(网站) 字符"/>
    <w:link w:val="41"/>
    <w:qFormat/>
    <w:locked/>
    <w:uiPriority w:val="0"/>
    <w:rPr>
      <w:rFonts w:ascii="宋体" w:hAnsi="宋体" w:eastAsia="宋体"/>
      <w:sz w:val="24"/>
    </w:rPr>
  </w:style>
  <w:style w:type="character" w:customStyle="1" w:styleId="71">
    <w:name w:val="批注主题 字符"/>
    <w:link w:val="42"/>
    <w:semiHidden/>
    <w:qFormat/>
    <w:locked/>
    <w:uiPriority w:val="0"/>
    <w:rPr>
      <w:rFonts w:ascii="Times New Roman" w:hAnsi="Times New Roman" w:eastAsia="宋体"/>
      <w:b/>
      <w:kern w:val="2"/>
      <w:sz w:val="24"/>
    </w:rPr>
  </w:style>
  <w:style w:type="paragraph" w:customStyle="1" w:styleId="72">
    <w:name w:val="TT标题"/>
    <w:basedOn w:val="1"/>
    <w:qFormat/>
    <w:uiPriority w:val="0"/>
    <w:pPr>
      <w:widowControl/>
      <w:jc w:val="center"/>
    </w:pPr>
    <w:rPr>
      <w:b/>
      <w:kern w:val="0"/>
      <w:sz w:val="24"/>
      <w:szCs w:val="20"/>
    </w:rPr>
  </w:style>
  <w:style w:type="paragraph" w:customStyle="1" w:styleId="73">
    <w:name w:val="Default1"/>
    <w:next w:val="7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正文样式1"/>
    <w:basedOn w:val="1"/>
    <w:next w:val="1"/>
    <w:qFormat/>
    <w:uiPriority w:val="0"/>
    <w:pPr>
      <w:widowControl/>
      <w:ind w:firstLine="510"/>
    </w:pPr>
    <w:rPr>
      <w:rFonts w:ascii="Tahoma" w:hAnsi="Tahoma" w:eastAsia="Tahoma" w:cs="Tahoma"/>
      <w:kern w:val="24"/>
    </w:rPr>
  </w:style>
  <w:style w:type="paragraph" w:customStyle="1" w:styleId="75">
    <w:name w:val="标题2"/>
    <w:basedOn w:val="8"/>
    <w:next w:val="1"/>
    <w:qFormat/>
    <w:uiPriority w:val="0"/>
    <w:pPr>
      <w:numPr>
        <w:ilvl w:val="1"/>
        <w:numId w:val="5"/>
      </w:numPr>
      <w:spacing w:before="0" w:after="0" w:line="440" w:lineRule="exact"/>
    </w:pPr>
    <w:rPr>
      <w:kern w:val="0"/>
      <w:sz w:val="28"/>
    </w:rPr>
  </w:style>
  <w:style w:type="paragraph" w:customStyle="1" w:styleId="76">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77">
    <w:name w:val="xl27"/>
    <w:basedOn w:val="1"/>
    <w:qFormat/>
    <w:uiPriority w:val="0"/>
    <w:pPr>
      <w:widowControl/>
      <w:pBdr>
        <w:bottom w:val="single" w:color="auto" w:sz="4" w:space="0"/>
        <w:right w:val="single" w:color="auto" w:sz="4" w:space="0"/>
      </w:pBdr>
      <w:spacing w:beforeAutospacing="1" w:afterAutospacing="1"/>
      <w:jc w:val="center"/>
    </w:pPr>
    <w:rPr>
      <w:kern w:val="0"/>
      <w:szCs w:val="21"/>
    </w:rPr>
  </w:style>
  <w:style w:type="paragraph" w:customStyle="1" w:styleId="78">
    <w:name w:val="我的表格"/>
    <w:basedOn w:val="52"/>
    <w:next w:val="79"/>
    <w:qFormat/>
    <w:uiPriority w:val="0"/>
    <w:pPr>
      <w:adjustRightInd w:val="0"/>
      <w:snapToGrid w:val="0"/>
      <w:spacing w:before="280" w:after="290"/>
      <w:jc w:val="center"/>
    </w:pPr>
    <w:rPr>
      <w:rFonts w:ascii="宋体" w:hAnsi="宋体" w:cs="宋体"/>
      <w:szCs w:val="21"/>
    </w:rPr>
  </w:style>
  <w:style w:type="paragraph" w:customStyle="1" w:styleId="79">
    <w:name w:val="正文1"/>
    <w:basedOn w:val="1"/>
    <w:qFormat/>
    <w:uiPriority w:val="99"/>
    <w:pPr>
      <w:widowControl/>
      <w:tabs>
        <w:tab w:val="left" w:pos="432"/>
      </w:tabs>
      <w:adjustRightInd w:val="0"/>
      <w:spacing w:line="480" w:lineRule="exact"/>
      <w:jc w:val="center"/>
      <w:textAlignment w:val="baseline"/>
    </w:pPr>
    <w:rPr>
      <w:rFonts w:ascii="宋体" w:hAnsi="Times New Roman"/>
      <w:kern w:val="0"/>
      <w:sz w:val="28"/>
      <w:szCs w:val="20"/>
    </w:rPr>
  </w:style>
  <w:style w:type="paragraph" w:customStyle="1" w:styleId="80">
    <w:name w:val="样式8"/>
    <w:basedOn w:val="81"/>
    <w:qFormat/>
    <w:uiPriority w:val="0"/>
    <w:pPr>
      <w:tabs>
        <w:tab w:val="left" w:pos="567"/>
      </w:tabs>
    </w:pPr>
    <w:rPr>
      <w:snapToGrid w:val="0"/>
    </w:rPr>
  </w:style>
  <w:style w:type="paragraph" w:customStyle="1" w:styleId="81">
    <w:name w:val="样式 标题 1标题 11一、 + Times New Roman 行距: 固定值 23 磅"/>
    <w:basedOn w:val="7"/>
    <w:qFormat/>
    <w:uiPriority w:val="0"/>
    <w:pPr>
      <w:spacing w:before="0" w:after="0" w:line="460" w:lineRule="exact"/>
    </w:pPr>
    <w:rPr>
      <w:rFonts w:ascii="黑体" w:eastAsia="黑体" w:cs="宋体"/>
      <w:b w:val="0"/>
      <w:sz w:val="32"/>
      <w:szCs w:val="32"/>
    </w:rPr>
  </w:style>
  <w:style w:type="character" w:customStyle="1" w:styleId="82">
    <w:name w:val="font11"/>
    <w:basedOn w:val="46"/>
    <w:qFormat/>
    <w:uiPriority w:val="0"/>
    <w:rPr>
      <w:rFonts w:hint="eastAsia" w:ascii="宋体" w:hAnsi="宋体" w:eastAsia="宋体" w:cs="宋体"/>
      <w:b/>
      <w:color w:val="000000"/>
      <w:sz w:val="18"/>
      <w:szCs w:val="18"/>
      <w:u w:val="none"/>
    </w:rPr>
  </w:style>
  <w:style w:type="character" w:customStyle="1" w:styleId="83">
    <w:name w:val="页脚 字符"/>
    <w:qFormat/>
    <w:uiPriority w:val="99"/>
  </w:style>
  <w:style w:type="character" w:customStyle="1" w:styleId="84">
    <w:name w:val="日期 字符"/>
    <w:semiHidden/>
    <w:qFormat/>
    <w:uiPriority w:val="0"/>
    <w:rPr>
      <w:rFonts w:ascii="Times New Roman" w:hAnsi="Times New Roman" w:eastAsia="宋体"/>
      <w:sz w:val="24"/>
    </w:rPr>
  </w:style>
  <w:style w:type="character" w:customStyle="1" w:styleId="85">
    <w:name w:val="正文文本 字符1"/>
    <w:semiHidden/>
    <w:qFormat/>
    <w:uiPriority w:val="0"/>
    <w:rPr>
      <w:rFonts w:ascii="Times New Roman" w:hAnsi="Times New Roman" w:eastAsia="宋体"/>
      <w:sz w:val="24"/>
    </w:rPr>
  </w:style>
  <w:style w:type="character" w:customStyle="1" w:styleId="86">
    <w:name w:val="批注文字 字符1"/>
    <w:semiHidden/>
    <w:qFormat/>
    <w:uiPriority w:val="0"/>
    <w:rPr>
      <w:rFonts w:ascii="Times New Roman" w:hAnsi="Times New Roman" w:eastAsia="宋体"/>
      <w:sz w:val="24"/>
    </w:rPr>
  </w:style>
  <w:style w:type="character" w:customStyle="1" w:styleId="87">
    <w:name w:val="表格 Char"/>
    <w:link w:val="88"/>
    <w:qFormat/>
    <w:locked/>
    <w:uiPriority w:val="0"/>
    <w:rPr>
      <w:rFonts w:ascii="宋体"/>
      <w:sz w:val="21"/>
    </w:rPr>
  </w:style>
  <w:style w:type="paragraph" w:customStyle="1" w:styleId="88">
    <w:name w:val="表格"/>
    <w:basedOn w:val="19"/>
    <w:next w:val="1"/>
    <w:link w:val="87"/>
    <w:qFormat/>
    <w:uiPriority w:val="0"/>
    <w:pPr>
      <w:adjustRightInd w:val="0"/>
      <w:snapToGrid w:val="0"/>
      <w:spacing w:beforeLines="10" w:afterLines="10" w:line="259" w:lineRule="auto"/>
      <w:jc w:val="center"/>
    </w:pPr>
    <w:rPr>
      <w:rFonts w:ascii="宋体"/>
      <w:kern w:val="0"/>
      <w:szCs w:val="20"/>
    </w:rPr>
  </w:style>
  <w:style w:type="paragraph" w:customStyle="1" w:styleId="89">
    <w:name w:val="Lux 正文"/>
    <w:basedOn w:val="1"/>
    <w:qFormat/>
    <w:uiPriority w:val="0"/>
    <w:pPr>
      <w:spacing w:before="80" w:after="80" w:line="500" w:lineRule="exact"/>
      <w:ind w:firstLine="200" w:firstLineChars="200"/>
    </w:pPr>
    <w:rPr>
      <w:kern w:val="0"/>
      <w:sz w:val="24"/>
      <w:szCs w:val="20"/>
    </w:rPr>
  </w:style>
  <w:style w:type="paragraph" w:customStyle="1" w:styleId="90">
    <w:name w:val="0表格内容"/>
    <w:basedOn w:val="1"/>
    <w:qFormat/>
    <w:uiPriority w:val="0"/>
    <w:pPr>
      <w:jc w:val="center"/>
    </w:pPr>
    <w:rPr>
      <w:szCs w:val="24"/>
    </w:rPr>
  </w:style>
  <w:style w:type="paragraph" w:customStyle="1" w:styleId="91">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2">
    <w:name w:val="正文_7"/>
    <w:qFormat/>
    <w:uiPriority w:val="0"/>
    <w:pPr>
      <w:widowControl w:val="0"/>
      <w:jc w:val="both"/>
    </w:pPr>
    <w:rPr>
      <w:rFonts w:ascii="Calibri" w:hAnsi="Calibri" w:eastAsia="宋体" w:cs="Times New Roman"/>
      <w:kern w:val="2"/>
      <w:sz w:val="21"/>
      <w:lang w:val="en-US" w:eastAsia="zh-CN" w:bidi="ar-SA"/>
    </w:rPr>
  </w:style>
  <w:style w:type="paragraph" w:customStyle="1" w:styleId="93">
    <w:name w:val="TT表格文字"/>
    <w:basedOn w:val="1"/>
    <w:qFormat/>
    <w:uiPriority w:val="0"/>
    <w:pPr>
      <w:jc w:val="center"/>
    </w:pPr>
    <w:rPr>
      <w:rFonts w:ascii="Times New Roman" w:hAnsi="Times New Roman"/>
      <w:sz w:val="21"/>
      <w:szCs w:val="20"/>
    </w:rPr>
  </w:style>
  <w:style w:type="paragraph" w:customStyle="1" w:styleId="94">
    <w:name w:val="样式 小四 行距: 1.5 倍行距"/>
    <w:basedOn w:val="10"/>
    <w:qFormat/>
    <w:uiPriority w:val="0"/>
    <w:pPr>
      <w:spacing w:line="360" w:lineRule="auto"/>
    </w:pPr>
    <w:rPr>
      <w:rFonts w:eastAsia="宋体" w:cs="宋体"/>
      <w:sz w:val="24"/>
      <w:szCs w:val="20"/>
    </w:rPr>
  </w:style>
  <w:style w:type="paragraph" w:customStyle="1" w:styleId="95">
    <w:name w:val="Other|2"/>
    <w:basedOn w:val="1"/>
    <w:qFormat/>
    <w:uiPriority w:val="0"/>
    <w:pPr>
      <w:widowControl w:val="0"/>
      <w:shd w:val="clear" w:color="auto" w:fill="auto"/>
      <w:spacing w:before="80"/>
    </w:pPr>
    <w:rPr>
      <w:rFonts w:ascii="宋体" w:hAnsi="宋体" w:eastAsia="宋体" w:cs="宋体"/>
      <w:sz w:val="19"/>
      <w:szCs w:val="19"/>
      <w:u w:val="none"/>
      <w:shd w:val="clear" w:color="auto" w:fill="auto"/>
      <w:lang w:val="zh-TW" w:eastAsia="zh-TW" w:bidi="zh-TW"/>
    </w:rPr>
  </w:style>
  <w:style w:type="paragraph" w:customStyle="1" w:styleId="96">
    <w:name w:val="Body text|1"/>
    <w:basedOn w:val="1"/>
    <w:qFormat/>
    <w:uiPriority w:val="0"/>
    <w:pPr>
      <w:widowControl w:val="0"/>
      <w:shd w:val="clear" w:color="auto" w:fill="auto"/>
      <w:spacing w:line="408" w:lineRule="auto"/>
      <w:ind w:firstLine="400"/>
    </w:pPr>
    <w:rPr>
      <w:rFonts w:ascii="宋体" w:hAnsi="宋体" w:eastAsia="宋体" w:cs="宋体"/>
      <w:u w:val="none"/>
      <w:shd w:val="clear" w:color="auto" w:fill="auto"/>
      <w:lang w:val="zh-TW" w:eastAsia="zh-TW" w:bidi="zh-TW"/>
    </w:rPr>
  </w:style>
  <w:style w:type="paragraph" w:customStyle="1" w:styleId="97">
    <w:name w:val="标题 31"/>
    <w:basedOn w:val="1"/>
    <w:next w:val="1"/>
    <w:qFormat/>
    <w:uiPriority w:val="0"/>
    <w:pPr>
      <w:keepNext/>
      <w:keepLines/>
      <w:spacing w:before="260" w:after="260" w:line="416" w:lineRule="auto"/>
      <w:outlineLvl w:val="2"/>
    </w:pPr>
    <w:rPr>
      <w:b/>
      <w:bCs/>
      <w:sz w:val="32"/>
      <w:szCs w:val="32"/>
    </w:rPr>
  </w:style>
  <w:style w:type="paragraph" w:customStyle="1" w:styleId="98">
    <w:name w:val="Heading #1|1"/>
    <w:basedOn w:val="1"/>
    <w:qFormat/>
    <w:uiPriority w:val="0"/>
    <w:pPr>
      <w:widowControl w:val="0"/>
      <w:shd w:val="clear" w:color="auto" w:fill="auto"/>
      <w:spacing w:line="468" w:lineRule="exact"/>
      <w:ind w:left="1360"/>
      <w:outlineLvl w:val="0"/>
    </w:pPr>
    <w:rPr>
      <w:rFonts w:ascii="宋体" w:hAnsi="宋体" w:eastAsia="宋体" w:cs="宋体"/>
      <w:b/>
      <w:bCs/>
      <w:u w:val="none"/>
      <w:shd w:val="clear" w:color="auto" w:fill="auto"/>
      <w:lang w:val="zh-TW" w:eastAsia="zh-TW" w:bidi="zh-TW"/>
    </w:rPr>
  </w:style>
  <w:style w:type="paragraph" w:customStyle="1" w:styleId="99">
    <w:name w:val="Table caption|1"/>
    <w:basedOn w:val="1"/>
    <w:qFormat/>
    <w:uiPriority w:val="0"/>
    <w:pPr>
      <w:widowControl w:val="0"/>
      <w:shd w:val="clear" w:color="auto" w:fill="auto"/>
      <w:spacing w:line="468" w:lineRule="exact"/>
      <w:ind w:firstLine="480"/>
    </w:pPr>
    <w:rPr>
      <w:rFonts w:ascii="宋体" w:hAnsi="宋体" w:eastAsia="宋体" w:cs="宋体"/>
      <w:u w:val="none"/>
      <w:shd w:val="clear" w:color="auto" w:fill="auto"/>
      <w:lang w:val="zh-TW" w:eastAsia="zh-TW" w:bidi="zh-TW"/>
    </w:rPr>
  </w:style>
  <w:style w:type="paragraph" w:customStyle="1" w:styleId="100">
    <w:name w:val="Other|1"/>
    <w:basedOn w:val="1"/>
    <w:qFormat/>
    <w:uiPriority w:val="0"/>
    <w:pPr>
      <w:widowControl w:val="0"/>
      <w:shd w:val="clear" w:color="auto" w:fill="auto"/>
      <w:spacing w:after="70" w:line="410" w:lineRule="auto"/>
      <w:ind w:firstLine="400"/>
    </w:pPr>
    <w:rPr>
      <w:rFonts w:ascii="宋体" w:hAnsi="宋体" w:eastAsia="宋体" w:cs="宋体"/>
      <w:u w:val="none"/>
      <w:shd w:val="clear" w:color="auto" w:fill="auto"/>
      <w:lang w:val="zh-TW" w:eastAsia="zh-TW" w:bidi="zh-TW"/>
    </w:rPr>
  </w:style>
  <w:style w:type="paragraph" w:customStyle="1" w:styleId="101">
    <w:name w:val="表格字体"/>
    <w:basedOn w:val="1"/>
    <w:semiHidden/>
    <w:qFormat/>
    <w:uiPriority w:val="0"/>
    <w:pPr>
      <w:adjustRightInd w:val="0"/>
      <w:spacing w:beforeLines="20" w:afterLines="20"/>
      <w:jc w:val="center"/>
      <w:textAlignment w:val="center"/>
    </w:pPr>
    <w:rPr>
      <w:szCs w:val="21"/>
    </w:rPr>
  </w:style>
  <w:style w:type="paragraph" w:customStyle="1" w:styleId="102">
    <w:name w:val="mm标题3"/>
    <w:basedOn w:val="1"/>
    <w:qFormat/>
    <w:uiPriority w:val="0"/>
    <w:pPr>
      <w:widowControl/>
      <w:spacing w:line="480" w:lineRule="exact"/>
      <w:ind w:firstLine="200" w:firstLineChars="200"/>
      <w:jc w:val="left"/>
    </w:pPr>
    <w:rPr>
      <w:rFonts w:cs="宋体"/>
      <w:b/>
      <w:bCs/>
      <w:color w:val="000000"/>
      <w:sz w:val="24"/>
      <w:szCs w:val="20"/>
    </w:rPr>
  </w:style>
  <w:style w:type="paragraph" w:customStyle="1" w:styleId="103">
    <w:name w:val="表格文字01"/>
    <w:basedOn w:val="1"/>
    <w:qFormat/>
    <w:uiPriority w:val="0"/>
    <w:pPr>
      <w:tabs>
        <w:tab w:val="left" w:pos="480"/>
      </w:tabs>
      <w:wordWrap w:val="0"/>
      <w:overflowPunct w:val="0"/>
      <w:topLinePunct/>
      <w:spacing w:line="360" w:lineRule="auto"/>
      <w:jc w:val="center"/>
    </w:pPr>
    <w:rPr>
      <w:rFonts w:ascii="Calibri" w:hAnsi="Calibri"/>
      <w:color w:val="000000"/>
      <w:sz w:val="24"/>
    </w:rPr>
  </w:style>
  <w:style w:type="paragraph" w:customStyle="1" w:styleId="104">
    <w:name w:val="表格1"/>
    <w:basedOn w:val="1"/>
    <w:next w:val="1"/>
    <w:qFormat/>
    <w:uiPriority w:val="0"/>
    <w:pPr>
      <w:adjustRightInd w:val="0"/>
      <w:spacing w:line="20" w:lineRule="atLeast"/>
      <w:jc w:val="center"/>
      <w:textAlignment w:val="center"/>
    </w:pPr>
    <w:rPr>
      <w:rFonts w:ascii="宋体"/>
      <w:kern w:val="0"/>
      <w:szCs w:val="20"/>
    </w:rPr>
  </w:style>
  <w:style w:type="paragraph" w:customStyle="1" w:styleId="105">
    <w:name w:val="TT正文"/>
    <w:basedOn w:val="1"/>
    <w:qFormat/>
    <w:uiPriority w:val="0"/>
    <w:pPr>
      <w:spacing w:line="360" w:lineRule="auto"/>
      <w:ind w:firstLine="200" w:firstLineChars="200"/>
    </w:pPr>
    <w:rPr>
      <w:sz w:val="24"/>
    </w:rPr>
  </w:style>
  <w:style w:type="paragraph" w:customStyle="1" w:styleId="106">
    <w:name w:val="【表头】"/>
    <w:basedOn w:val="1"/>
    <w:qFormat/>
    <w:uiPriority w:val="0"/>
    <w:pPr>
      <w:spacing w:after="0" w:line="360" w:lineRule="auto"/>
      <w:jc w:val="center"/>
    </w:pPr>
    <w:rPr>
      <w:rFonts w:ascii="Times New Roman" w:hAnsi="Times New Roman" w:eastAsia="宋体" w:cs="Arial"/>
      <w:b/>
      <w:sz w:val="24"/>
      <w:szCs w:val="20"/>
      <w:lang w:eastAsia="zh-CN"/>
    </w:rPr>
  </w:style>
  <w:style w:type="paragraph" w:customStyle="1" w:styleId="107">
    <w:name w:val="正 文"/>
    <w:qFormat/>
    <w:uiPriority w:val="0"/>
    <w:pPr>
      <w:widowControl w:val="0"/>
      <w:spacing w:line="480" w:lineRule="exact"/>
      <w:ind w:firstLine="471"/>
      <w:jc w:val="both"/>
    </w:pPr>
    <w:rPr>
      <w:rFonts w:ascii="Times New Roman" w:hAnsi="Times New Roman" w:eastAsia="Times New Roman" w:cs="Times New Roman"/>
      <w:kern w:val="2"/>
      <w:sz w:val="24"/>
      <w:szCs w:val="24"/>
      <w:lang w:val="en-US" w:eastAsia="zh-CN" w:bidi="ar-SA"/>
    </w:rPr>
  </w:style>
  <w:style w:type="paragraph" w:customStyle="1" w:styleId="108">
    <w:name w:val="表格内容jophy"/>
    <w:basedOn w:val="1"/>
    <w:qFormat/>
    <w:uiPriority w:val="0"/>
    <w:pPr>
      <w:adjustRightInd w:val="0"/>
      <w:snapToGrid w:val="0"/>
      <w:jc w:val="center"/>
    </w:pPr>
    <w:rPr>
      <w:szCs w:val="18"/>
    </w:rPr>
  </w:style>
  <w:style w:type="paragraph" w:customStyle="1" w:styleId="109">
    <w:name w:val="表格文字"/>
    <w:basedOn w:val="29"/>
    <w:qFormat/>
    <w:uiPriority w:val="0"/>
    <w:pPr>
      <w:adjustRightInd w:val="0"/>
      <w:snapToGrid w:val="0"/>
      <w:jc w:val="center"/>
    </w:pPr>
    <w:rPr>
      <w:sz w:val="21"/>
      <w:lang w:val="en-US" w:eastAsia="zh-CN" w:bidi="ar-SA"/>
    </w:rPr>
  </w:style>
  <w:style w:type="paragraph" w:customStyle="1" w:styleId="110">
    <w:name w:val="表格 32"/>
    <w:basedOn w:val="1"/>
    <w:qFormat/>
    <w:uiPriority w:val="0"/>
    <w:pPr>
      <w:autoSpaceDE w:val="0"/>
      <w:autoSpaceDN w:val="0"/>
      <w:adjustRightInd w:val="0"/>
      <w:jc w:val="center"/>
      <w:textAlignment w:val="baseline"/>
    </w:pPr>
    <w:rPr>
      <w:rFonts w:eastAsia="楷体_GB2312"/>
      <w:kern w:val="0"/>
      <w:sz w:val="24"/>
      <w:szCs w:val="20"/>
    </w:rPr>
  </w:style>
  <w:style w:type="paragraph" w:customStyle="1" w:styleId="111">
    <w:name w:val="Body text|2"/>
    <w:basedOn w:val="1"/>
    <w:qFormat/>
    <w:uiPriority w:val="0"/>
    <w:pPr>
      <w:widowControl w:val="0"/>
      <w:shd w:val="clear" w:color="auto" w:fill="auto"/>
      <w:jc w:val="center"/>
    </w:pPr>
    <w:rPr>
      <w:rFonts w:ascii="宋体" w:hAnsi="宋体" w:eastAsia="宋体" w:cs="宋体"/>
      <w:b/>
      <w:bCs/>
      <w:sz w:val="20"/>
      <w:szCs w:val="20"/>
      <w:u w:val="none"/>
      <w:shd w:val="clear" w:color="auto" w:fill="auto"/>
      <w:lang w:val="zh-TW" w:eastAsia="zh-TW" w:bidi="zh-TW"/>
    </w:rPr>
  </w:style>
  <w:style w:type="paragraph" w:customStyle="1" w:styleId="112">
    <w:name w:val="Table Paragraph"/>
    <w:basedOn w:val="1"/>
    <w:qFormat/>
    <w:uiPriority w:val="1"/>
    <w:pPr>
      <w:jc w:val="left"/>
    </w:pPr>
    <w:rPr>
      <w:rFonts w:ascii="Calibri" w:hAnsi="Calibri"/>
      <w:kern w:val="0"/>
      <w:sz w:val="22"/>
      <w:szCs w:val="22"/>
      <w:lang w:eastAsia="en-US"/>
    </w:rPr>
  </w:style>
  <w:style w:type="paragraph" w:customStyle="1" w:styleId="113">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114">
    <w:name w:val="表 内容"/>
    <w:basedOn w:val="1"/>
    <w:qFormat/>
    <w:uiPriority w:val="0"/>
    <w:pPr>
      <w:spacing w:line="240" w:lineRule="atLeast"/>
      <w:jc w:val="center"/>
    </w:pPr>
    <w:rPr>
      <w:szCs w:val="21"/>
    </w:rPr>
  </w:style>
  <w:style w:type="paragraph" w:customStyle="1" w:styleId="115">
    <w:name w:val="文本正文"/>
    <w:basedOn w:val="1"/>
    <w:qFormat/>
    <w:uiPriority w:val="0"/>
    <w:pPr>
      <w:spacing w:line="360" w:lineRule="auto"/>
      <w:ind w:firstLine="480" w:firstLineChars="200"/>
    </w:pPr>
    <w:rPr>
      <w:sz w:val="24"/>
      <w:szCs w:val="24"/>
    </w:rPr>
  </w:style>
  <w:style w:type="paragraph" w:customStyle="1" w:styleId="116">
    <w:name w:val="表头，图名"/>
    <w:basedOn w:val="1"/>
    <w:qFormat/>
    <w:uiPriority w:val="0"/>
    <w:pPr>
      <w:jc w:val="center"/>
    </w:pPr>
    <w:rPr>
      <w:b/>
    </w:rPr>
  </w:style>
  <w:style w:type="paragraph" w:customStyle="1" w:styleId="117">
    <w:name w:val="!正文"/>
    <w:basedOn w:val="1"/>
    <w:qFormat/>
    <w:uiPriority w:val="0"/>
    <w:pPr>
      <w:spacing w:line="480" w:lineRule="exact"/>
      <w:ind w:firstLine="480"/>
    </w:pPr>
    <w:rPr>
      <w:rFonts w:hAnsi="宋体" w:cs="宋体"/>
    </w:rPr>
  </w:style>
  <w:style w:type="paragraph" w:customStyle="1" w:styleId="118">
    <w:name w:val="样式 表格 32 + 首行缩进:  2 字符"/>
    <w:basedOn w:val="110"/>
    <w:qFormat/>
    <w:uiPriority w:val="0"/>
    <w:pPr>
      <w:autoSpaceDE w:val="0"/>
      <w:autoSpaceDN w:val="0"/>
      <w:adjustRightInd w:val="0"/>
      <w:spacing w:line="0" w:lineRule="atLeast"/>
      <w:jc w:val="center"/>
      <w:textAlignment w:val="baseline"/>
    </w:pPr>
    <w:rPr>
      <w:kern w:val="0"/>
      <w:szCs w:val="21"/>
    </w:rPr>
  </w:style>
  <w:style w:type="paragraph" w:customStyle="1" w:styleId="119">
    <w:name w:val="报告表  段"/>
    <w:basedOn w:val="1"/>
    <w:qFormat/>
    <w:uiPriority w:val="0"/>
    <w:pPr>
      <w:snapToGrid/>
      <w:ind w:firstLine="505"/>
      <w:textAlignment w:val="baseline"/>
    </w:pPr>
    <w:rPr>
      <w:rFonts w:ascii="宋体" w:eastAsia="宋体"/>
      <w:sz w:val="24"/>
      <w:lang w:val="en-US" w:eastAsia="zh-CN" w:bidi="ar-SA"/>
    </w:rPr>
  </w:style>
  <w:style w:type="paragraph" w:customStyle="1" w:styleId="120">
    <w:name w:val="0正文"/>
    <w:basedOn w:val="1"/>
    <w:qFormat/>
    <w:uiPriority w:val="0"/>
    <w:pPr>
      <w:adjustRightInd w:val="0"/>
      <w:spacing w:line="360" w:lineRule="auto"/>
      <w:ind w:firstLine="480" w:firstLineChars="200"/>
    </w:pPr>
    <w:rPr>
      <w:sz w:val="24"/>
      <w:szCs w:val="24"/>
    </w:rPr>
  </w:style>
  <w:style w:type="paragraph" w:customStyle="1" w:styleId="121">
    <w:name w:val="表格标题1111"/>
    <w:basedOn w:val="1"/>
    <w:semiHidden/>
    <w:qFormat/>
    <w:uiPriority w:val="0"/>
    <w:pPr>
      <w:jc w:val="center"/>
    </w:pPr>
    <w:rPr>
      <w:rFonts w:cs="宋体"/>
      <w:b/>
      <w:bCs/>
      <w:color w:val="000000"/>
      <w:sz w:val="24"/>
      <w:szCs w:val="20"/>
    </w:rPr>
  </w:style>
  <w:style w:type="paragraph" w:customStyle="1" w:styleId="122">
    <w:name w:val="TTT"/>
    <w:basedOn w:val="1"/>
    <w:qFormat/>
    <w:uiPriority w:val="0"/>
    <w:pPr>
      <w:tabs>
        <w:tab w:val="left" w:pos="480"/>
      </w:tabs>
      <w:spacing w:line="360" w:lineRule="auto"/>
      <w:ind w:firstLine="200" w:firstLineChars="200"/>
      <w:jc w:val="both"/>
    </w:pPr>
    <w:rPr>
      <w:rFonts w:ascii="Times New Roman" w:hAnsi="Times New Roman" w:cs="Times New Roman"/>
      <w:b/>
    </w:rPr>
  </w:style>
  <w:style w:type="paragraph" w:customStyle="1" w:styleId="123">
    <w:name w:val="Heading 3"/>
    <w:basedOn w:val="1"/>
    <w:qFormat/>
    <w:uiPriority w:val="1"/>
    <w:pPr>
      <w:ind w:left="700"/>
      <w:outlineLvl w:val="3"/>
    </w:pPr>
    <w:rPr>
      <w:rFonts w:ascii="宋体" w:hAnsi="宋体" w:eastAsia="宋体" w:cs="宋体"/>
      <w:b/>
      <w:bCs/>
      <w:sz w:val="24"/>
      <w:szCs w:val="24"/>
      <w:lang w:val="en-US" w:eastAsia="zh-CN" w:bidi="ar-SA"/>
    </w:rPr>
  </w:style>
  <w:style w:type="paragraph" w:customStyle="1" w:styleId="124">
    <w:name w:val="【正文】"/>
    <w:basedOn w:val="1"/>
    <w:link w:val="125"/>
    <w:qFormat/>
    <w:uiPriority w:val="0"/>
    <w:pPr>
      <w:adjustRightInd w:val="0"/>
      <w:snapToGrid w:val="0"/>
      <w:spacing w:line="360" w:lineRule="auto"/>
      <w:ind w:firstLine="200" w:firstLineChars="200"/>
      <w:jc w:val="left"/>
    </w:pPr>
    <w:rPr>
      <w:color w:val="000000"/>
      <w:sz w:val="24"/>
    </w:rPr>
  </w:style>
  <w:style w:type="character" w:customStyle="1" w:styleId="125">
    <w:name w:val="【正文】 Char"/>
    <w:link w:val="124"/>
    <w:qFormat/>
    <w:uiPriority w:val="0"/>
    <w:rPr>
      <w:color w:val="000000"/>
      <w:sz w:val="24"/>
    </w:rPr>
  </w:style>
  <w:style w:type="paragraph" w:customStyle="1" w:styleId="126">
    <w:name w:val="缩进"/>
    <w:basedOn w:val="1"/>
    <w:qFormat/>
    <w:uiPriority w:val="0"/>
    <w:pPr>
      <w:tabs>
        <w:tab w:val="left" w:pos="-52"/>
      </w:tabs>
      <w:spacing w:line="400" w:lineRule="atLeast"/>
      <w:ind w:right="-4" w:firstLine="425"/>
    </w:pPr>
    <w:rPr>
      <w:rFonts w:ascii="宋体" w:hAnsi="宋体"/>
      <w:sz w:val="24"/>
    </w:rPr>
  </w:style>
  <w:style w:type="paragraph" w:customStyle="1" w:styleId="127">
    <w:name w:val="表1表2"/>
    <w:basedOn w:val="1"/>
    <w:qFormat/>
    <w:uiPriority w:val="0"/>
    <w:pPr>
      <w:autoSpaceDE w:val="0"/>
      <w:autoSpaceDN w:val="0"/>
      <w:snapToGrid/>
      <w:spacing w:line="240" w:lineRule="auto"/>
      <w:jc w:val="center"/>
      <w:textAlignment w:val="center"/>
    </w:pPr>
    <w:rPr>
      <w:rFonts w:eastAsia="仿宋体"/>
      <w:kern w:val="0"/>
      <w:sz w:val="24"/>
      <w:szCs w:val="20"/>
    </w:rPr>
  </w:style>
  <w:style w:type="paragraph" w:customStyle="1" w:styleId="128">
    <w:name w:val="样式 正文缩进正文（首行缩进两字） Char Char Char Char Char Char正文（首行缩进两字） Char..."/>
    <w:basedOn w:val="19"/>
    <w:qFormat/>
    <w:uiPriority w:val="0"/>
    <w:pPr>
      <w:ind w:firstLine="480"/>
    </w:pPr>
    <w:rPr>
      <w:rFonts w:ascii="宋体" w:hAnsi="宋体" w:eastAsia="宋体"/>
      <w:color w:val="000000"/>
      <w:szCs w:val="20"/>
    </w:rPr>
  </w:style>
  <w:style w:type="paragraph" w:customStyle="1" w:styleId="129">
    <w:name w:val="mm正文"/>
    <w:basedOn w:val="1"/>
    <w:qFormat/>
    <w:uiPriority w:val="0"/>
    <w:pPr>
      <w:spacing w:line="480" w:lineRule="exact"/>
      <w:ind w:firstLine="200" w:firstLineChars="200"/>
    </w:pPr>
    <w:rPr>
      <w:rFonts w:cs="宋体"/>
      <w:color w:val="000000"/>
    </w:rPr>
  </w:style>
  <w:style w:type="paragraph" w:customStyle="1" w:styleId="130">
    <w:name w:val="WPSOffice手动目录 1"/>
    <w:qFormat/>
    <w:uiPriority w:val="0"/>
    <w:rPr>
      <w:rFonts w:ascii="Times New Roman" w:hAnsi="Times New Roman" w:eastAsia="宋体" w:cs="Times New Roman"/>
      <w:lang w:val="en-US" w:eastAsia="zh-CN" w:bidi="ar-SA"/>
    </w:rPr>
  </w:style>
  <w:style w:type="table" w:customStyle="1" w:styleId="131">
    <w:name w:val="网格型1"/>
    <w:basedOn w:val="4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2">
    <w:name w:val="Table Normal"/>
    <w:unhideWhenUsed/>
    <w:qFormat/>
    <w:uiPriority w:val="0"/>
    <w:rPr>
      <w:lang w:val="en-US" w:eastAsia="zh-CN" w:bidi="ar-SA"/>
    </w:rPr>
    <w:tblPr>
      <w:tblCellMar>
        <w:top w:w="0" w:type="dxa"/>
        <w:left w:w="0" w:type="dxa"/>
        <w:bottom w:w="0" w:type="dxa"/>
        <w:right w:w="0" w:type="dxa"/>
      </w:tblCellMar>
    </w:tblPr>
  </w:style>
  <w:style w:type="paragraph" w:customStyle="1" w:styleId="133">
    <w:name w:val="0表格标题"/>
    <w:basedOn w:val="1"/>
    <w:qFormat/>
    <w:uiPriority w:val="0"/>
    <w:pPr>
      <w:spacing w:before="156" w:beforeLines="50"/>
      <w:jc w:val="center"/>
    </w:pPr>
    <w:rPr>
      <w:b/>
      <w:sz w:val="24"/>
    </w:rPr>
  </w:style>
  <w:style w:type="paragraph" w:customStyle="1" w:styleId="134">
    <w:name w:val="B表内"/>
    <w:basedOn w:val="1"/>
    <w:qFormat/>
    <w:uiPriority w:val="0"/>
    <w:pPr>
      <w:spacing w:line="0" w:lineRule="atLeast"/>
      <w:jc w:val="center"/>
    </w:pPr>
    <w:rPr>
      <w:rFonts w:cs="宋体"/>
    </w:rPr>
  </w:style>
  <w:style w:type="character" w:customStyle="1" w:styleId="135">
    <w:name w:val="NormalCharacter"/>
    <w:qFormat/>
    <w:uiPriority w:val="0"/>
  </w:style>
  <w:style w:type="paragraph" w:customStyle="1" w:styleId="136">
    <w:name w:val="Table Text"/>
    <w:basedOn w:val="1"/>
    <w:semiHidden/>
    <w:qFormat/>
    <w:uiPriority w:val="0"/>
    <w:rPr>
      <w:rFonts w:ascii="宋体" w:hAnsi="宋体" w:eastAsia="宋体" w:cs="宋体"/>
      <w:sz w:val="20"/>
      <w:szCs w:val="20"/>
      <w:lang w:val="en-US" w:eastAsia="en-US" w:bidi="ar-SA"/>
    </w:rPr>
  </w:style>
  <w:style w:type="paragraph" w:customStyle="1" w:styleId="137">
    <w:name w:val="样式 正文首行缩进:  2 字符 + 首行缩进:  2 字符"/>
    <w:basedOn w:val="1"/>
    <w:qFormat/>
    <w:uiPriority w:val="0"/>
    <w:pPr>
      <w:spacing w:line="360" w:lineRule="auto"/>
      <w:ind w:firstLine="480" w:firstLineChars="200"/>
    </w:pPr>
    <w:rPr>
      <w:rFonts w:ascii="Times New Roman" w:hAnsi="Times New Roman" w:eastAsia="宋体" w:cs="宋体"/>
      <w:sz w:val="24"/>
      <w:szCs w:val="20"/>
    </w:rPr>
  </w:style>
  <w:style w:type="paragraph" w:customStyle="1" w:styleId="138">
    <w:name w:val="J表格"/>
    <w:basedOn w:val="139"/>
    <w:qFormat/>
    <w:uiPriority w:val="0"/>
    <w:pPr>
      <w:spacing w:line="240" w:lineRule="auto"/>
      <w:ind w:firstLine="0" w:firstLineChars="0"/>
      <w:jc w:val="center"/>
    </w:pPr>
    <w:rPr>
      <w:sz w:val="21"/>
    </w:rPr>
  </w:style>
  <w:style w:type="paragraph" w:customStyle="1" w:styleId="139">
    <w:name w:val="J"/>
    <w:basedOn w:val="24"/>
    <w:qFormat/>
    <w:uiPriority w:val="0"/>
    <w:pPr>
      <w:autoSpaceDE w:val="0"/>
      <w:autoSpaceDN w:val="0"/>
      <w:adjustRightInd w:val="0"/>
      <w:snapToGrid w:val="0"/>
      <w:spacing w:after="0"/>
      <w:ind w:left="0" w:leftChars="0" w:right="0" w:rightChars="0" w:firstLine="200" w:firstLineChars="200"/>
    </w:pPr>
  </w:style>
  <w:style w:type="character" w:customStyle="1" w:styleId="140">
    <w:name w:val="font21"/>
    <w:basedOn w:val="46"/>
    <w:qFormat/>
    <w:uiPriority w:val="0"/>
    <w:rPr>
      <w:rFonts w:hint="eastAsia" w:ascii="宋体" w:hAnsi="宋体" w:eastAsia="宋体" w:cs="宋体"/>
      <w:color w:val="000000"/>
      <w:sz w:val="21"/>
      <w:szCs w:val="21"/>
      <w:u w:val="none"/>
    </w:rPr>
  </w:style>
  <w:style w:type="paragraph" w:customStyle="1" w:styleId="141">
    <w:name w:val="表格内容居中"/>
    <w:qFormat/>
    <w:uiPriority w:val="0"/>
    <w:pPr>
      <w:adjustRightInd w:val="0"/>
      <w:snapToGrid w:val="0"/>
      <w:spacing w:line="360" w:lineRule="auto"/>
      <w:jc w:val="center"/>
    </w:pPr>
    <w:rPr>
      <w:rFonts w:ascii="Times New Roman" w:hAnsi="Times New Roman" w:eastAsia="宋体" w:cs="Times New Roman"/>
      <w:snapToGrid w:val="0"/>
      <w:kern w:val="0"/>
      <w:sz w:val="21"/>
      <w:szCs w:val="21"/>
      <w:lang w:val="en-US" w:eastAsia="zh-CN" w:bidi="ar-SA"/>
    </w:rPr>
  </w:style>
  <w:style w:type="paragraph" w:customStyle="1" w:styleId="142">
    <w:name w:val="表头"/>
    <w:basedOn w:val="143"/>
    <w:next w:val="1"/>
    <w:qFormat/>
    <w:uiPriority w:val="0"/>
    <w:pPr>
      <w:spacing w:line="360" w:lineRule="auto"/>
      <w:jc w:val="center"/>
    </w:pPr>
    <w:rPr>
      <w:sz w:val="21"/>
      <w:szCs w:val="22"/>
      <w:lang w:val="en-US" w:eastAsia="zh-CN" w:bidi="ar-SA"/>
    </w:rPr>
  </w:style>
  <w:style w:type="paragraph" w:customStyle="1" w:styleId="143">
    <w:name w:val="表标题"/>
    <w:basedOn w:val="22"/>
    <w:next w:val="22"/>
    <w:qFormat/>
    <w:uiPriority w:val="0"/>
    <w:pPr>
      <w:widowControl/>
      <w:ind w:firstLine="510"/>
      <w:jc w:val="center"/>
    </w:pPr>
    <w:rPr>
      <w:rFonts w:ascii="宋体" w:hAnsi="宋体"/>
      <w:b/>
    </w:rPr>
  </w:style>
  <w:style w:type="paragraph" w:customStyle="1" w:styleId="144">
    <w:name w:val="文本"/>
    <w:basedOn w:val="16"/>
    <w:next w:val="1"/>
    <w:qFormat/>
    <w:uiPriority w:val="0"/>
    <w:pPr>
      <w:autoSpaceDE w:val="0"/>
      <w:autoSpaceDN w:val="0"/>
      <w:ind w:firstLine="480"/>
    </w:pPr>
    <w:rPr>
      <w:rFonts w:cs="Times New Roman"/>
      <w:szCs w:val="24"/>
      <w:lang w:val="zh-CN"/>
    </w:rPr>
  </w:style>
  <w:style w:type="character" w:customStyle="1" w:styleId="145">
    <w:name w:val="font01"/>
    <w:qFormat/>
    <w:uiPriority w:val="0"/>
    <w:rPr>
      <w:rFonts w:hint="eastAsia" w:ascii="宋体" w:hAnsi="宋体" w:eastAsia="宋体" w:cs="宋体"/>
      <w:color w:val="000000"/>
      <w:sz w:val="22"/>
      <w:szCs w:val="22"/>
      <w:u w:val="none"/>
      <w:vertAlign w:val="superscript"/>
    </w:rPr>
  </w:style>
  <w:style w:type="paragraph" w:customStyle="1" w:styleId="146">
    <w:name w:val="yjjh正文"/>
    <w:basedOn w:val="1"/>
    <w:qFormat/>
    <w:uiPriority w:val="0"/>
    <w:pPr>
      <w:ind w:firstLine="0" w:firstLineChars="0"/>
      <w:jc w:val="center"/>
    </w:pPr>
    <w:rPr>
      <w:rFonts w:ascii="宋体" w:hAnsi="宋体"/>
      <w:iCs/>
      <w:snapToGrid w:val="0"/>
      <w:sz w:val="28"/>
      <w:szCs w:val="28"/>
      <w:lang w:val="zh-CN"/>
    </w:rPr>
  </w:style>
  <w:style w:type="paragraph" w:customStyle="1" w:styleId="147">
    <w:name w:val="正文（首行缩进） Char"/>
    <w:basedOn w:val="1"/>
    <w:qFormat/>
    <w:uiPriority w:val="0"/>
    <w:pPr>
      <w:widowControl/>
      <w:overflowPunct w:val="0"/>
      <w:topLinePunct/>
      <w:autoSpaceDE w:val="0"/>
      <w:autoSpaceDN w:val="0"/>
      <w:adjustRightInd w:val="0"/>
      <w:snapToGrid w:val="0"/>
      <w:spacing w:line="360" w:lineRule="auto"/>
      <w:ind w:firstLine="480" w:firstLineChars="200"/>
      <w:textAlignment w:val="baseline"/>
    </w:pPr>
    <w:rPr>
      <w:kern w:val="0"/>
      <w:sz w:val="24"/>
      <w:szCs w:val="24"/>
    </w:rPr>
  </w:style>
  <w:style w:type="paragraph" w:customStyle="1" w:styleId="148">
    <w:name w:val="表格标题8"/>
    <w:basedOn w:val="17"/>
    <w:next w:val="1"/>
    <w:qFormat/>
    <w:uiPriority w:val="0"/>
    <w:pPr>
      <w:keepNext/>
      <w:spacing w:line="360" w:lineRule="auto"/>
      <w:ind w:firstLine="0" w:firstLineChars="0"/>
      <w:jc w:val="center"/>
    </w:pPr>
    <w:rPr>
      <w:rFonts w:ascii="Times New Roman" w:hAnsi="Times New Roman" w:eastAsia="宋体" w:cs="Times New Roman"/>
      <w:sz w:val="21"/>
    </w:rPr>
  </w:style>
  <w:style w:type="paragraph" w:customStyle="1" w:styleId="149">
    <w:name w:val="样式 加粗 居中"/>
    <w:basedOn w:val="1"/>
    <w:qFormat/>
    <w:uiPriority w:val="0"/>
    <w:pPr>
      <w:spacing w:line="400" w:lineRule="exact"/>
      <w:jc w:val="center"/>
    </w:pPr>
    <w:rPr>
      <w:rFonts w:cs="宋体"/>
      <w:b/>
      <w:bCs/>
      <w:color w:val="auto"/>
      <w:kern w:val="2"/>
      <w:sz w:val="24"/>
      <w:szCs w:val="20"/>
    </w:rPr>
  </w:style>
  <w:style w:type="table" w:customStyle="1" w:styleId="150">
    <w:name w:val="常规"/>
    <w:basedOn w:val="44"/>
    <w:qFormat/>
    <w:uiPriority w:val="0"/>
    <w:pPr>
      <w:keepNext w:val="0"/>
      <w:keepLines w:val="0"/>
      <w:widowControl/>
      <w:suppressLineNumbers w:val="0"/>
      <w:spacing w:before="0" w:beforeAutospacing="0" w:after="0" w:afterAutospacing="0" w:line="276" w:lineRule="auto"/>
      <w:ind w:left="0" w:right="0"/>
      <w:jc w:val="center"/>
    </w:pPr>
    <w:rPr>
      <w:rFonts w:hint="default" w:ascii="Times New Roman" w:hAnsi="Times New Roman" w:eastAsia="宋体" w:cs="Times New Roman"/>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rPr>
        <w:rFonts w:hint="default" w:ascii="Times New Roman" w:hAnsi="Times New Roman" w:eastAsia="宋体" w:cs="Times New Roman"/>
        <w:b w:val="0"/>
        <w:sz w:val="21"/>
        <w:szCs w:val="21"/>
      </w:rPr>
    </w:tblStylePr>
  </w:style>
  <w:style w:type="paragraph" w:customStyle="1" w:styleId="151">
    <w:name w:val="表2"/>
    <w:basedOn w:val="1"/>
    <w:next w:val="88"/>
    <w:qFormat/>
    <w:uiPriority w:val="0"/>
    <w:pPr>
      <w:numPr>
        <w:ilvl w:val="0"/>
        <w:numId w:val="6"/>
      </w:numPr>
    </w:pPr>
  </w:style>
  <w:style w:type="character" w:customStyle="1" w:styleId="152">
    <w:name w:val="font71"/>
    <w:basedOn w:val="46"/>
    <w:qFormat/>
    <w:uiPriority w:val="0"/>
    <w:rPr>
      <w:rFonts w:hint="eastAsia" w:ascii="宋体" w:hAnsi="宋体" w:eastAsia="宋体" w:cs="宋体"/>
      <w:color w:val="000000"/>
      <w:sz w:val="20"/>
      <w:szCs w:val="20"/>
      <w:u w:val="none"/>
    </w:rPr>
  </w:style>
  <w:style w:type="paragraph" w:customStyle="1" w:styleId="153">
    <w:name w:val="小节标题"/>
    <w:basedOn w:val="1"/>
    <w:next w:val="154"/>
    <w:qFormat/>
    <w:uiPriority w:val="0"/>
    <w:pPr>
      <w:widowControl/>
      <w:numPr>
        <w:ilvl w:val="0"/>
        <w:numId w:val="7"/>
      </w:numPr>
      <w:tabs>
        <w:tab w:val="clear" w:pos="0"/>
      </w:tabs>
      <w:spacing w:line="360" w:lineRule="auto"/>
      <w:ind w:firstLine="560" w:firstLineChars="200"/>
      <w:jc w:val="left"/>
    </w:pPr>
    <w:rPr>
      <w:rFonts w:hint="eastAsia" w:cs="宋体"/>
      <w:b/>
      <w:bCs/>
      <w:sz w:val="24"/>
      <w:szCs w:val="21"/>
      <w:lang w:bidi="ar"/>
    </w:rPr>
  </w:style>
  <w:style w:type="paragraph" w:customStyle="1" w:styleId="154">
    <w:name w:val="正文小四"/>
    <w:basedOn w:val="1"/>
    <w:qFormat/>
    <w:uiPriority w:val="0"/>
    <w:pPr>
      <w:spacing w:line="360" w:lineRule="auto"/>
      <w:ind w:firstLine="420" w:firstLineChars="200"/>
    </w:pPr>
    <w:rPr>
      <w:rFonts w:ascii="Times New Roman" w:hAnsi="Times New Roman"/>
      <w:sz w:val="24"/>
    </w:rPr>
  </w:style>
  <w:style w:type="paragraph" w:customStyle="1" w:styleId="155">
    <w:name w:val="表1"/>
    <w:basedOn w:val="1"/>
    <w:next w:val="88"/>
    <w:qFormat/>
    <w:uiPriority w:val="0"/>
    <w:pPr>
      <w:numPr>
        <w:ilvl w:val="0"/>
        <w:numId w:val="8"/>
      </w:numPr>
      <w:spacing w:line="360" w:lineRule="auto"/>
      <w:ind w:firstLine="0" w:firstLineChars="0"/>
      <w:jc w:val="center"/>
    </w:pPr>
    <w:rPr>
      <w:b/>
      <w:sz w:val="24"/>
    </w:rPr>
  </w:style>
  <w:style w:type="character" w:customStyle="1" w:styleId="156">
    <w:name w:val="font31"/>
    <w:basedOn w:val="46"/>
    <w:qFormat/>
    <w:uiPriority w:val="0"/>
    <w:rPr>
      <w:rFonts w:hint="eastAsia" w:ascii="宋体" w:hAnsi="宋体" w:eastAsia="宋体" w:cs="宋体"/>
      <w:color w:val="000000"/>
      <w:sz w:val="24"/>
      <w:szCs w:val="24"/>
      <w:u w:val="none"/>
    </w:rPr>
  </w:style>
  <w:style w:type="character" w:customStyle="1" w:styleId="157">
    <w:name w:val="font41"/>
    <w:basedOn w:val="46"/>
    <w:qFormat/>
    <w:uiPriority w:val="0"/>
    <w:rPr>
      <w:rFonts w:hint="eastAsia" w:ascii="宋体" w:hAnsi="宋体" w:eastAsia="宋体" w:cs="宋体"/>
      <w:color w:val="000000"/>
      <w:sz w:val="24"/>
      <w:szCs w:val="24"/>
      <w:u w:val="none"/>
    </w:rPr>
  </w:style>
  <w:style w:type="paragraph" w:customStyle="1" w:styleId="158">
    <w:name w:val="国寰正文"/>
    <w:basedOn w:val="1"/>
    <w:qFormat/>
    <w:uiPriority w:val="0"/>
    <w:pPr>
      <w:adjustRightInd w:val="0"/>
      <w:snapToGrid w:val="0"/>
      <w:spacing w:line="360" w:lineRule="auto"/>
      <w:ind w:firstLine="200" w:firstLineChars="200"/>
    </w:pPr>
    <w:rPr>
      <w:spacing w:val="0"/>
      <w:kern w:val="2"/>
      <w:sz w:val="24"/>
      <w:szCs w:val="24"/>
    </w:rPr>
  </w:style>
  <w:style w:type="character" w:customStyle="1" w:styleId="159">
    <w:name w:val="fontstyle01"/>
    <w:basedOn w:val="46"/>
    <w:qFormat/>
    <w:uiPriority w:val="0"/>
    <w:rPr>
      <w:rFonts w:hint="eastAsia" w:ascii="宋体" w:hAnsi="宋体" w:eastAsia="宋体"/>
      <w:color w:val="000000"/>
      <w:sz w:val="24"/>
      <w:szCs w:val="24"/>
    </w:rPr>
  </w:style>
  <w:style w:type="character" w:customStyle="1" w:styleId="160">
    <w:name w:val="fontstyle11"/>
    <w:basedOn w:val="46"/>
    <w:qFormat/>
    <w:uiPriority w:val="0"/>
    <w:rPr>
      <w:rFonts w:hint="default" w:ascii="Times New Roman" w:hAnsi="Times New Roman" w:cs="Times New Roman"/>
      <w:color w:val="000000"/>
      <w:sz w:val="24"/>
      <w:szCs w:val="24"/>
    </w:rPr>
  </w:style>
  <w:style w:type="paragraph" w:customStyle="1" w:styleId="161">
    <w:name w:val="附图附件"/>
    <w:basedOn w:val="1"/>
    <w:qFormat/>
    <w:uiPriority w:val="0"/>
    <w:pPr>
      <w:spacing w:line="240" w:lineRule="auto"/>
      <w:jc w:val="center"/>
      <w:outlineLvl w:val="0"/>
    </w:pPr>
  </w:style>
  <w:style w:type="character" w:customStyle="1" w:styleId="162">
    <w:name w:val="fontstyle21"/>
    <w:qFormat/>
    <w:uiPriority w:val="0"/>
    <w:rPr>
      <w:rFonts w:hint="default" w:ascii="Times New Roman" w:hAnsi="Times New Roman" w:cs="Times New Roman"/>
      <w:color w:val="000000"/>
      <w:sz w:val="24"/>
      <w:szCs w:val="24"/>
    </w:rPr>
  </w:style>
  <w:style w:type="paragraph" w:customStyle="1" w:styleId="163">
    <w:name w:val="6-正文"/>
    <w:basedOn w:val="1"/>
    <w:qFormat/>
    <w:uiPriority w:val="0"/>
    <w:rPr>
      <w:szCs w:val="28"/>
    </w:rPr>
  </w:style>
  <w:style w:type="character" w:customStyle="1" w:styleId="164">
    <w:name w:val="font112"/>
    <w:basedOn w:val="46"/>
    <w:qFormat/>
    <w:uiPriority w:val="0"/>
    <w:rPr>
      <w:rFonts w:hint="eastAsia" w:ascii="宋体" w:hAnsi="宋体" w:eastAsia="宋体" w:cs="宋体"/>
      <w:color w:val="000000"/>
      <w:sz w:val="20"/>
      <w:szCs w:val="20"/>
      <w:u w:val="none"/>
    </w:rPr>
  </w:style>
  <w:style w:type="character" w:customStyle="1" w:styleId="165">
    <w:name w:val="font81"/>
    <w:basedOn w:val="46"/>
    <w:qFormat/>
    <w:uiPriority w:val="0"/>
    <w:rPr>
      <w:rFonts w:hint="default" w:ascii="Times New Roman" w:hAnsi="Times New Roman" w:cs="Times New Roman"/>
      <w:b/>
      <w:bCs/>
      <w:color w:val="FF0000"/>
      <w:sz w:val="21"/>
      <w:szCs w:val="21"/>
      <w:u w:val="none"/>
      <w:vertAlign w:val="superscript"/>
    </w:rPr>
  </w:style>
  <w:style w:type="character" w:customStyle="1" w:styleId="166">
    <w:name w:val="font91"/>
    <w:basedOn w:val="46"/>
    <w:qFormat/>
    <w:uiPriority w:val="0"/>
    <w:rPr>
      <w:rFonts w:hint="eastAsia" w:ascii="宋体" w:hAnsi="宋体" w:eastAsia="宋体" w:cs="宋体"/>
      <w:b/>
      <w:bCs/>
      <w:color w:val="000000"/>
      <w:sz w:val="21"/>
      <w:szCs w:val="21"/>
      <w:u w:val="none"/>
    </w:rPr>
  </w:style>
  <w:style w:type="character" w:customStyle="1" w:styleId="167">
    <w:name w:val="font101"/>
    <w:basedOn w:val="46"/>
    <w:qFormat/>
    <w:uiPriority w:val="0"/>
    <w:rPr>
      <w:rFonts w:hint="eastAsia" w:ascii="宋体" w:hAnsi="宋体" w:eastAsia="宋体" w:cs="宋体"/>
      <w:color w:val="FF0000"/>
      <w:sz w:val="21"/>
      <w:szCs w:val="21"/>
      <w:u w:val="none"/>
    </w:rPr>
  </w:style>
  <w:style w:type="character" w:customStyle="1" w:styleId="168">
    <w:name w:val="font51"/>
    <w:basedOn w:val="46"/>
    <w:qFormat/>
    <w:uiPriority w:val="0"/>
    <w:rPr>
      <w:rFonts w:hint="eastAsia" w:ascii="宋体" w:hAnsi="宋体" w:eastAsia="宋体" w:cs="宋体"/>
      <w:b/>
      <w:bCs/>
      <w:color w:val="000000"/>
      <w:sz w:val="21"/>
      <w:szCs w:val="21"/>
      <w:u w:val="none"/>
    </w:rPr>
  </w:style>
  <w:style w:type="character" w:customStyle="1" w:styleId="169">
    <w:name w:val="font61"/>
    <w:basedOn w:val="46"/>
    <w:qFormat/>
    <w:uiPriority w:val="0"/>
    <w:rPr>
      <w:rFonts w:hint="default" w:ascii="Times New Roman" w:hAnsi="Times New Roman" w:cs="Times New Roman"/>
      <w:b/>
      <w:bCs/>
      <w:color w:val="000000"/>
      <w:sz w:val="21"/>
      <w:szCs w:val="21"/>
      <w:u w:val="none"/>
      <w:vertAlign w:val="superscript"/>
    </w:rPr>
  </w:style>
  <w:style w:type="character" w:customStyle="1" w:styleId="170">
    <w:name w:val="font111"/>
    <w:basedOn w:val="46"/>
    <w:qFormat/>
    <w:uiPriority w:val="0"/>
    <w:rPr>
      <w:rFonts w:hint="eastAsia" w:ascii="宋体" w:hAnsi="宋体" w:eastAsia="宋体" w:cs="宋体"/>
      <w:color w:val="FF0000"/>
      <w:sz w:val="21"/>
      <w:szCs w:val="21"/>
      <w:u w:val="none"/>
    </w:rPr>
  </w:style>
  <w:style w:type="character" w:customStyle="1" w:styleId="171">
    <w:name w:val="font122"/>
    <w:basedOn w:val="46"/>
    <w:qFormat/>
    <w:uiPriority w:val="0"/>
    <w:rPr>
      <w:rFonts w:hint="default" w:ascii="Times New Roman" w:hAnsi="Times New Roman" w:cs="Times New Roman"/>
      <w:color w:val="000000"/>
      <w:sz w:val="21"/>
      <w:szCs w:val="21"/>
      <w:u w:val="none"/>
    </w:rPr>
  </w:style>
  <w:style w:type="character" w:customStyle="1" w:styleId="172">
    <w:name w:val="font131"/>
    <w:basedOn w:val="46"/>
    <w:qFormat/>
    <w:uiPriority w:val="0"/>
    <w:rPr>
      <w:rFonts w:hint="eastAsia" w:ascii="宋体" w:hAnsi="宋体" w:eastAsia="宋体" w:cs="宋体"/>
      <w:color w:val="FF0000"/>
      <w:sz w:val="21"/>
      <w:szCs w:val="21"/>
      <w:u w:val="none"/>
    </w:rPr>
  </w:style>
  <w:style w:type="paragraph" w:customStyle="1" w:styleId="173">
    <w:name w:val="报告表小标题"/>
    <w:basedOn w:val="1"/>
    <w:qFormat/>
    <w:uiPriority w:val="0"/>
    <w:pPr>
      <w:spacing w:before="100" w:beforeAutospacing="1" w:line="360" w:lineRule="auto"/>
    </w:pPr>
    <w:rPr>
      <w:b/>
      <w:sz w:val="24"/>
    </w:rPr>
  </w:style>
  <w:style w:type="paragraph" w:customStyle="1" w:styleId="174">
    <w:name w:val="J-表格标题+图片标题（5号+居中）"/>
    <w:basedOn w:val="1"/>
    <w:qFormat/>
    <w:uiPriority w:val="0"/>
    <w:pPr>
      <w:jc w:val="center"/>
    </w:pPr>
    <w:rPr>
      <w:b/>
      <w:sz w:val="21"/>
      <w:szCs w:val="21"/>
    </w:rPr>
  </w:style>
  <w:style w:type="paragraph" w:customStyle="1" w:styleId="175">
    <w:name w:val="表格内容1"/>
    <w:basedOn w:val="1"/>
    <w:qFormat/>
    <w:uiPriority w:val="0"/>
    <w:pPr>
      <w:adjustRightInd w:val="0"/>
      <w:snapToGrid w:val="0"/>
      <w:spacing w:before="15" w:beforeLines="15" w:after="15" w:afterLines="15" w:line="300" w:lineRule="exact"/>
      <w:jc w:val="center"/>
    </w:pPr>
    <w:rPr>
      <w:kern w:val="0"/>
    </w:rPr>
  </w:style>
  <w:style w:type="paragraph" w:customStyle="1" w:styleId="176">
    <w:name w:val="（一）"/>
    <w:basedOn w:val="1"/>
    <w:qFormat/>
    <w:uiPriority w:val="0"/>
    <w:pPr>
      <w:numPr>
        <w:ilvl w:val="0"/>
        <w:numId w:val="9"/>
      </w:numPr>
      <w:spacing w:line="400" w:lineRule="exact"/>
    </w:pPr>
    <w:rPr>
      <w:b/>
      <w:sz w:val="24"/>
    </w:rPr>
  </w:style>
  <w:style w:type="paragraph" w:customStyle="1" w:styleId="177">
    <w:name w:val="正文~"/>
    <w:basedOn w:val="1"/>
    <w:qFormat/>
    <w:uiPriority w:val="0"/>
    <w:pPr>
      <w:spacing w:line="360" w:lineRule="auto"/>
      <w:ind w:firstLine="177" w:firstLineChars="177"/>
    </w:pPr>
  </w:style>
  <w:style w:type="character" w:customStyle="1" w:styleId="178">
    <w:name w:val="font12"/>
    <w:basedOn w:val="46"/>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6" Type="http://schemas.openxmlformats.org/officeDocument/2006/relationships/fontTable" Target="fontTable.xml"/><Relationship Id="rId95" Type="http://schemas.openxmlformats.org/officeDocument/2006/relationships/numbering" Target="numbering.xml"/><Relationship Id="rId94" Type="http://schemas.openxmlformats.org/officeDocument/2006/relationships/customXml" Target="../customXml/item1.xml"/><Relationship Id="rId93" Type="http://schemas.openxmlformats.org/officeDocument/2006/relationships/image" Target="media/image62.jpeg"/><Relationship Id="rId92" Type="http://schemas.openxmlformats.org/officeDocument/2006/relationships/image" Target="media/image61.jpeg"/><Relationship Id="rId91" Type="http://schemas.openxmlformats.org/officeDocument/2006/relationships/image" Target="media/image60.png"/><Relationship Id="rId90" Type="http://schemas.openxmlformats.org/officeDocument/2006/relationships/image" Target="media/image59.jpeg"/><Relationship Id="rId9" Type="http://schemas.openxmlformats.org/officeDocument/2006/relationships/header" Target="header4.xml"/><Relationship Id="rId89" Type="http://schemas.openxmlformats.org/officeDocument/2006/relationships/image" Target="media/image58.jpeg"/><Relationship Id="rId88" Type="http://schemas.openxmlformats.org/officeDocument/2006/relationships/image" Target="media/image57.jpeg"/><Relationship Id="rId87" Type="http://schemas.openxmlformats.org/officeDocument/2006/relationships/image" Target="media/image56.jpeg"/><Relationship Id="rId86" Type="http://schemas.openxmlformats.org/officeDocument/2006/relationships/image" Target="media/image55.png"/><Relationship Id="rId85" Type="http://schemas.openxmlformats.org/officeDocument/2006/relationships/image" Target="media/image54.jpeg"/><Relationship Id="rId84" Type="http://schemas.openxmlformats.org/officeDocument/2006/relationships/image" Target="media/image53.jpeg"/><Relationship Id="rId83" Type="http://schemas.openxmlformats.org/officeDocument/2006/relationships/image" Target="media/image52.png"/><Relationship Id="rId82" Type="http://schemas.openxmlformats.org/officeDocument/2006/relationships/image" Target="media/image51.jpeg"/><Relationship Id="rId81" Type="http://schemas.openxmlformats.org/officeDocument/2006/relationships/image" Target="media/image50.png"/><Relationship Id="rId80" Type="http://schemas.openxmlformats.org/officeDocument/2006/relationships/image" Target="media/image49.jpeg"/><Relationship Id="rId8" Type="http://schemas.openxmlformats.org/officeDocument/2006/relationships/footer" Target="footer3.xml"/><Relationship Id="rId79" Type="http://schemas.openxmlformats.org/officeDocument/2006/relationships/image" Target="media/image48.jpeg"/><Relationship Id="rId78" Type="http://schemas.openxmlformats.org/officeDocument/2006/relationships/image" Target="media/image47.png"/><Relationship Id="rId77" Type="http://schemas.openxmlformats.org/officeDocument/2006/relationships/image" Target="media/image46.jpeg"/><Relationship Id="rId76" Type="http://schemas.openxmlformats.org/officeDocument/2006/relationships/image" Target="media/image45.png"/><Relationship Id="rId75" Type="http://schemas.openxmlformats.org/officeDocument/2006/relationships/image" Target="media/image44.png"/><Relationship Id="rId74" Type="http://schemas.openxmlformats.org/officeDocument/2006/relationships/image" Target="media/image43.jpeg"/><Relationship Id="rId73" Type="http://schemas.openxmlformats.org/officeDocument/2006/relationships/image" Target="media/image42.jpeg"/><Relationship Id="rId72" Type="http://schemas.openxmlformats.org/officeDocument/2006/relationships/image" Target="media/image41.jpeg"/><Relationship Id="rId71" Type="http://schemas.openxmlformats.org/officeDocument/2006/relationships/image" Target="media/image40.jpeg"/><Relationship Id="rId70" Type="http://schemas.openxmlformats.org/officeDocument/2006/relationships/image" Target="media/image39.jpeg"/><Relationship Id="rId7" Type="http://schemas.openxmlformats.org/officeDocument/2006/relationships/footer" Target="footer2.xml"/><Relationship Id="rId69" Type="http://schemas.openxmlformats.org/officeDocument/2006/relationships/image" Target="media/image38.png"/><Relationship Id="rId68" Type="http://schemas.openxmlformats.org/officeDocument/2006/relationships/image" Target="media/image37.png"/><Relationship Id="rId67" Type="http://schemas.openxmlformats.org/officeDocument/2006/relationships/image" Target="media/image36.jpeg"/><Relationship Id="rId66" Type="http://schemas.openxmlformats.org/officeDocument/2006/relationships/image" Target="media/image35.png"/><Relationship Id="rId65" Type="http://schemas.openxmlformats.org/officeDocument/2006/relationships/image" Target="media/image34.jpeg"/><Relationship Id="rId64" Type="http://schemas.openxmlformats.org/officeDocument/2006/relationships/image" Target="media/image33.jpeg"/><Relationship Id="rId63" Type="http://schemas.openxmlformats.org/officeDocument/2006/relationships/image" Target="media/image32.jpeg"/><Relationship Id="rId62" Type="http://schemas.openxmlformats.org/officeDocument/2006/relationships/image" Target="media/image31.jpeg"/><Relationship Id="rId61" Type="http://schemas.openxmlformats.org/officeDocument/2006/relationships/image" Target="media/image30.jpeg"/><Relationship Id="rId60" Type="http://schemas.openxmlformats.org/officeDocument/2006/relationships/image" Target="media/image29.png"/><Relationship Id="rId6" Type="http://schemas.openxmlformats.org/officeDocument/2006/relationships/footer" Target="footer1.xml"/><Relationship Id="rId59" Type="http://schemas.openxmlformats.org/officeDocument/2006/relationships/image" Target="media/image28.bmp"/><Relationship Id="rId58" Type="http://schemas.openxmlformats.org/officeDocument/2006/relationships/image" Target="media/image27.png"/><Relationship Id="rId57" Type="http://schemas.openxmlformats.org/officeDocument/2006/relationships/image" Target="media/image26.jpeg"/><Relationship Id="rId56" Type="http://schemas.openxmlformats.org/officeDocument/2006/relationships/image" Target="media/image25.png"/><Relationship Id="rId55" Type="http://schemas.openxmlformats.org/officeDocument/2006/relationships/image" Target="media/image24.png"/><Relationship Id="rId54" Type="http://schemas.openxmlformats.org/officeDocument/2006/relationships/image" Target="media/image23.png"/><Relationship Id="rId53" Type="http://schemas.openxmlformats.org/officeDocument/2006/relationships/image" Target="media/image22.jpeg"/><Relationship Id="rId52" Type="http://schemas.openxmlformats.org/officeDocument/2006/relationships/image" Target="media/image21.jpeg"/><Relationship Id="rId51" Type="http://schemas.openxmlformats.org/officeDocument/2006/relationships/image" Target="media/image20.jpeg"/><Relationship Id="rId50" Type="http://schemas.openxmlformats.org/officeDocument/2006/relationships/image" Target="media/image19.jpeg"/><Relationship Id="rId5" Type="http://schemas.openxmlformats.org/officeDocument/2006/relationships/header" Target="header3.xml"/><Relationship Id="rId49" Type="http://schemas.openxmlformats.org/officeDocument/2006/relationships/image" Target="media/image18.wmf"/><Relationship Id="rId48" Type="http://schemas.openxmlformats.org/officeDocument/2006/relationships/oleObject" Target="embeddings/oleObject12.bin"/><Relationship Id="rId47" Type="http://schemas.openxmlformats.org/officeDocument/2006/relationships/image" Target="media/image17.wmf"/><Relationship Id="rId46" Type="http://schemas.openxmlformats.org/officeDocument/2006/relationships/oleObject" Target="embeddings/oleObject11.bin"/><Relationship Id="rId45" Type="http://schemas.openxmlformats.org/officeDocument/2006/relationships/image" Target="media/image16.wmf"/><Relationship Id="rId44" Type="http://schemas.openxmlformats.org/officeDocument/2006/relationships/oleObject" Target="embeddings/oleObject10.bin"/><Relationship Id="rId43" Type="http://schemas.openxmlformats.org/officeDocument/2006/relationships/image" Target="media/image15.wmf"/><Relationship Id="rId42" Type="http://schemas.openxmlformats.org/officeDocument/2006/relationships/oleObject" Target="embeddings/oleObject9.bin"/><Relationship Id="rId41" Type="http://schemas.openxmlformats.org/officeDocument/2006/relationships/image" Target="media/image14.wmf"/><Relationship Id="rId40" Type="http://schemas.openxmlformats.org/officeDocument/2006/relationships/oleObject" Target="embeddings/oleObject8.bin"/><Relationship Id="rId4" Type="http://schemas.openxmlformats.org/officeDocument/2006/relationships/header" Target="header2.xml"/><Relationship Id="rId39" Type="http://schemas.openxmlformats.org/officeDocument/2006/relationships/image" Target="media/image13.wmf"/><Relationship Id="rId38" Type="http://schemas.openxmlformats.org/officeDocument/2006/relationships/oleObject" Target="embeddings/oleObject7.bin"/><Relationship Id="rId37" Type="http://schemas.openxmlformats.org/officeDocument/2006/relationships/image" Target="media/image12.png"/><Relationship Id="rId36" Type="http://schemas.openxmlformats.org/officeDocument/2006/relationships/image" Target="media/image11.png"/><Relationship Id="rId35" Type="http://schemas.openxmlformats.org/officeDocument/2006/relationships/image" Target="media/image10.png"/><Relationship Id="rId34" Type="http://schemas.openxmlformats.org/officeDocument/2006/relationships/image" Target="media/image9.wmf"/><Relationship Id="rId33" Type="http://schemas.openxmlformats.org/officeDocument/2006/relationships/oleObject" Target="embeddings/oleObject6.bin"/><Relationship Id="rId32" Type="http://schemas.openxmlformats.org/officeDocument/2006/relationships/image" Target="media/image8.jpeg"/><Relationship Id="rId31" Type="http://schemas.openxmlformats.org/officeDocument/2006/relationships/image" Target="media/image7.emf"/><Relationship Id="rId30" Type="http://schemas.openxmlformats.org/officeDocument/2006/relationships/oleObject" Target="embeddings/oleObject5.bin"/><Relationship Id="rId3" Type="http://schemas.openxmlformats.org/officeDocument/2006/relationships/header" Target="header1.xml"/><Relationship Id="rId29" Type="http://schemas.openxmlformats.org/officeDocument/2006/relationships/image" Target="media/image6.png"/><Relationship Id="rId28" Type="http://schemas.openxmlformats.org/officeDocument/2006/relationships/image" Target="media/image5.emf"/><Relationship Id="rId27" Type="http://schemas.openxmlformats.org/officeDocument/2006/relationships/oleObject" Target="embeddings/oleObject4.bin"/><Relationship Id="rId26" Type="http://schemas.openxmlformats.org/officeDocument/2006/relationships/image" Target="media/image4.wmf"/><Relationship Id="rId25" Type="http://schemas.openxmlformats.org/officeDocument/2006/relationships/oleObject" Target="embeddings/oleObject3.bin"/><Relationship Id="rId24" Type="http://schemas.openxmlformats.org/officeDocument/2006/relationships/image" Target="media/image3.emf"/><Relationship Id="rId23" Type="http://schemas.openxmlformats.org/officeDocument/2006/relationships/oleObject" Target="embeddings/oleObject2.bin"/><Relationship Id="rId22" Type="http://schemas.openxmlformats.org/officeDocument/2006/relationships/image" Target="media/image2.emf"/><Relationship Id="rId21" Type="http://schemas.openxmlformats.org/officeDocument/2006/relationships/oleObject" Target="embeddings/oleObject1.bin"/><Relationship Id="rId20" Type="http://schemas.openxmlformats.org/officeDocument/2006/relationships/image" Target="media/image1.jpe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182</Pages>
  <Words>13334</Words>
  <Characters>14133</Characters>
  <Lines>353</Lines>
  <Paragraphs>99</Paragraphs>
  <TotalTime>7</TotalTime>
  <ScaleCrop>false</ScaleCrop>
  <LinksUpToDate>false</LinksUpToDate>
  <CharactersWithSpaces>14240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柳桤</cp:lastModifiedBy>
  <cp:lastPrinted>2021-03-31T08:31:00Z</cp:lastPrinted>
  <dcterms:modified xsi:type="dcterms:W3CDTF">2026-08-20T08:18:59Z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DBD0E132BC7441B4AA26D24F36243B5D_13</vt:lpwstr>
  </property>
  <property fmtid="{D5CDD505-2E9C-101B-9397-08002B2CF9AE}" pid="4" name="KSOTemplateDocerSaveRecord">
    <vt:lpwstr>eyJoZGlkIjoiODQzZjM4Y2JlY2VjZjE1YWMxZjcxOGU4N2IzNTk5OGEiLCJ1c2VySWQiOiI4NzIyMDUzOTgifQ==</vt:lpwstr>
  </property>
</Properties>
</file>